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29FFAE0" w14:textId="77777777" w:rsidR="008B3CF0" w:rsidRDefault="00000000">
      <w:pPr>
        <w:rPr>
          <w:rFonts w:ascii="Arial" w:eastAsia="Arial" w:hAnsi="Arial" w:cs="Arial"/>
          <w:color w:val="000000"/>
        </w:rPr>
      </w:pPr>
      <w:r>
        <w:rPr>
          <w:rFonts w:ascii="Roche Sans" w:eastAsia="Roche Sans" w:hAnsi="Roche Sans" w:cs="Roche Sans"/>
          <w:b/>
          <w:bCs/>
          <w:sz w:val="28"/>
          <w:szCs w:val="28"/>
        </w:rPr>
        <w:t>European Commission approves Roche’s Lunsumio subcutaneous for relapsed or refractory follicular lymphoma</w:t>
      </w:r>
    </w:p>
    <w:p w14:paraId="0E68460F" w14:textId="77777777" w:rsidR="008B3CF0" w:rsidRDefault="00000000" w:rsidP="0080681E">
      <w:pPr>
        <w:numPr>
          <w:ilvl w:val="0"/>
          <w:numId w:val="1"/>
        </w:numPr>
        <w:rPr>
          <w:rFonts w:ascii="Helvetica Neue" w:eastAsia="Helvetica Neue" w:hAnsi="Helvetica Neue" w:cs="Helvetica Neue"/>
          <w:b/>
          <w:bCs/>
        </w:rPr>
      </w:pPr>
      <w:r>
        <w:rPr>
          <w:rFonts w:ascii="Roche Sans" w:eastAsia="Roche Sans" w:hAnsi="Roche Sans" w:cs="Roche Sans"/>
          <w:b/>
          <w:bCs/>
        </w:rPr>
        <w:t>Lunsumio provides high rates of deep and long-lasting responses in third-line and later follicular lymphoma, a disease that typically becomes harder to treat each time a patient relapses</w:t>
      </w:r>
      <w:r>
        <w:rPr>
          <w:rFonts w:ascii="Roche Sans" w:eastAsia="Roche Sans" w:hAnsi="Roche Sans" w:cs="Roche Sans"/>
          <w:b/>
          <w:bCs/>
          <w:vertAlign w:val="superscript"/>
        </w:rPr>
        <w:t>1,2</w:t>
      </w:r>
    </w:p>
    <w:p w14:paraId="51546964" w14:textId="77777777" w:rsidR="008B3CF0" w:rsidRDefault="00000000" w:rsidP="0080681E">
      <w:pPr>
        <w:numPr>
          <w:ilvl w:val="0"/>
          <w:numId w:val="1"/>
        </w:numPr>
        <w:rPr>
          <w:rFonts w:ascii="Helvetica Neue" w:eastAsia="Helvetica Neue" w:hAnsi="Helvetica Neue" w:cs="Helvetica Neue"/>
          <w:b/>
          <w:bCs/>
        </w:rPr>
      </w:pPr>
      <w:r>
        <w:rPr>
          <w:rFonts w:ascii="Roche Sans" w:eastAsia="Roche Sans" w:hAnsi="Roche Sans" w:cs="Roche Sans"/>
          <w:b/>
          <w:bCs/>
        </w:rPr>
        <w:t>Lunsumio subcutaneous offers a new treatment option that can significantly reduce administration time to approximately one minute</w:t>
      </w:r>
    </w:p>
    <w:p w14:paraId="1B8B5D9A" w14:textId="6D5BAEBF" w:rsidR="008B3CF0" w:rsidRPr="0080681E" w:rsidRDefault="00000000" w:rsidP="0080681E">
      <w:pPr>
        <w:numPr>
          <w:ilvl w:val="0"/>
          <w:numId w:val="1"/>
        </w:numPr>
        <w:rPr>
          <w:rFonts w:ascii="Roche Sans" w:eastAsia="Roche Sans" w:hAnsi="Roche Sans" w:cs="Roche Sans"/>
          <w:b/>
          <w:bCs/>
        </w:rPr>
      </w:pPr>
      <w:r>
        <w:rPr>
          <w:rFonts w:ascii="Roche Sans" w:eastAsia="Roche Sans" w:hAnsi="Roche Sans" w:cs="Roche Sans"/>
          <w:b/>
          <w:bCs/>
        </w:rPr>
        <w:t>Availability of Lunsumio SC allows patients to receive treatment aligned to clinical requirements and lifestyle preferences</w:t>
      </w:r>
    </w:p>
    <w:p w14:paraId="3255DBE2" w14:textId="714BBB5D" w:rsidR="008B3CF0" w:rsidRPr="0080681E" w:rsidRDefault="00000000" w:rsidP="0080681E">
      <w:pPr>
        <w:rPr>
          <w:rFonts w:ascii="Roche Sans" w:eastAsia="Roche Sans" w:hAnsi="Roche Sans" w:cs="Roche Sans"/>
          <w:vertAlign w:val="superscript"/>
        </w:rPr>
      </w:pPr>
      <w:bookmarkStart w:id="0" w:name="_zzt5aq08dzd" w:colFirst="0" w:colLast="0"/>
      <w:bookmarkEnd w:id="0"/>
      <w:r>
        <w:rPr>
          <w:rFonts w:ascii="Roche Sans" w:eastAsia="Roche Sans" w:hAnsi="Roche Sans" w:cs="Roche Sans"/>
        </w:rPr>
        <w:t>Basel, 19 November 2025 - Roche (SIX: RO, ROG; OTCQX: RHHBY) announced today that the European Commission has granted conditional marketing authorisation of Lunsumio® (mosunetuzumab) subcutaneous (SC) for the treatment of adult patients with relapsed or refractory (R/R) follicular lymphoma (FL) after two or more lines of systemic therapy. Approval is based on results from the phase I/II GO29781 study, which showed that Lunsumio SC had pharmacokinetic non-inferiority compared with intravenous (IV) administration, with no unexpected safety signals.</w:t>
      </w:r>
      <w:r>
        <w:rPr>
          <w:rFonts w:ascii="Roche Sans" w:eastAsia="Roche Sans" w:hAnsi="Roche Sans" w:cs="Roche Sans"/>
          <w:vertAlign w:val="superscript"/>
        </w:rPr>
        <w:t>3</w:t>
      </w:r>
    </w:p>
    <w:p w14:paraId="371AE0D8" w14:textId="4AC99CA8" w:rsidR="008B3CF0" w:rsidRDefault="00000000" w:rsidP="0080681E">
      <w:pPr>
        <w:rPr>
          <w:rFonts w:ascii="Roche Sans" w:eastAsia="Roche Sans" w:hAnsi="Roche Sans" w:cs="Roche Sans"/>
        </w:rPr>
      </w:pPr>
      <w:r>
        <w:rPr>
          <w:rFonts w:ascii="Roche Sans" w:eastAsia="Roche Sans" w:hAnsi="Roche Sans" w:cs="Roche Sans"/>
        </w:rPr>
        <w:t>“Building on the benefits of its fixed-duration dosing schedule, Lunsumio can now be administered with a one-minute subcutaneous injection, providing people with relapsed or refractory follicular lymphoma an additional treatment option to help meet their individual clinical requirements and lifestyle preferences,” said Levi Garraway, MD, PhD, Roche’s Chief Medical Officer and Head of Global Product Development. “Developing new formulations of our medicines is part of our commitment to offering greater flexibility and a better treatment experience for patients.”</w:t>
      </w:r>
    </w:p>
    <w:p w14:paraId="6C4A20A1" w14:textId="338BA8E8" w:rsidR="008B3CF0" w:rsidRDefault="00000000" w:rsidP="0080681E">
      <w:pPr>
        <w:rPr>
          <w:rFonts w:ascii="Roche Sans" w:eastAsia="Roche Sans" w:hAnsi="Roche Sans" w:cs="Roche Sans"/>
        </w:rPr>
      </w:pPr>
      <w:r>
        <w:rPr>
          <w:rFonts w:ascii="Roche Sans" w:eastAsia="Roche Sans" w:hAnsi="Roche Sans" w:cs="Roche Sans"/>
        </w:rPr>
        <w:t>Lunsumio SC is a fixed-duration treatment that can be initiated in the outpatient setting and has the potential to substantially reduce treatment administration time with an approximately one-minute injection, compared with a 2-4 hour IV infusion.</w:t>
      </w:r>
    </w:p>
    <w:p w14:paraId="15A24CD1" w14:textId="0FDB97E3" w:rsidR="008B3CF0" w:rsidRDefault="00000000" w:rsidP="0080681E">
      <w:pPr>
        <w:rPr>
          <w:rFonts w:ascii="Roche Sans" w:eastAsia="Roche Sans" w:hAnsi="Roche Sans" w:cs="Roche Sans"/>
        </w:rPr>
      </w:pPr>
      <w:r>
        <w:rPr>
          <w:rFonts w:ascii="Roche Sans" w:eastAsia="Roche Sans" w:hAnsi="Roche Sans" w:cs="Roche Sans"/>
        </w:rPr>
        <w:t>Lunsumio has shown a favourable benefit-risk profile and high rates of deep and durable remissions with both IV and SC administration routes in third-line or later (3L+) FL.</w:t>
      </w:r>
      <w:r>
        <w:rPr>
          <w:rFonts w:ascii="Roche Sans" w:eastAsia="Roche Sans" w:hAnsi="Roche Sans" w:cs="Roche Sans"/>
          <w:vertAlign w:val="superscript"/>
        </w:rPr>
        <w:t>1,4</w:t>
      </w:r>
      <w:r>
        <w:rPr>
          <w:rFonts w:ascii="Roche Sans" w:eastAsia="Roche Sans" w:hAnsi="Roche Sans" w:cs="Roche Sans"/>
        </w:rPr>
        <w:t xml:space="preserve"> Lunsumio IV was the first bispecific antibody approved for 3L+ FL and has shown sustained responses, with 57% of patients who achieved a CR still in remission at five years.</w:t>
      </w:r>
      <w:r>
        <w:rPr>
          <w:rFonts w:ascii="Roche Sans" w:eastAsia="Roche Sans" w:hAnsi="Roche Sans" w:cs="Roche Sans"/>
          <w:vertAlign w:val="superscript"/>
        </w:rPr>
        <w:t>1</w:t>
      </w:r>
      <w:r>
        <w:rPr>
          <w:rFonts w:ascii="Roche Sans" w:eastAsia="Roche Sans" w:hAnsi="Roche Sans" w:cs="Roche Sans"/>
        </w:rPr>
        <w:t xml:space="preserve"> Long-term data from the SC and IV arms of the GO29781 study will be presented at the 67th American Society of Hematology (ASH) Annual Meeting and Exposition. </w:t>
      </w:r>
    </w:p>
    <w:p w14:paraId="0561BE18" w14:textId="765E9D81" w:rsidR="008B3CF0" w:rsidRDefault="00000000" w:rsidP="0080681E">
      <w:pPr>
        <w:rPr>
          <w:rFonts w:ascii="Roche Sans" w:eastAsia="Roche Sans" w:hAnsi="Roche Sans" w:cs="Roche Sans"/>
        </w:rPr>
      </w:pPr>
      <w:r>
        <w:rPr>
          <w:rFonts w:ascii="Roche Sans" w:eastAsia="Roche Sans" w:hAnsi="Roche Sans" w:cs="Roche Sans"/>
        </w:rPr>
        <w:lastRenderedPageBreak/>
        <w:t>These data have been submitted to other healthcare authorities around the world, including the US Food and Drug Administration.</w:t>
      </w:r>
    </w:p>
    <w:p w14:paraId="003ADA9E" w14:textId="26CD46FD" w:rsidR="008B3CF0" w:rsidRDefault="00000000" w:rsidP="0080681E">
      <w:pPr>
        <w:rPr>
          <w:rFonts w:ascii="Roche Sans" w:eastAsia="Roche Sans" w:hAnsi="Roche Sans" w:cs="Roche Sans"/>
        </w:rPr>
      </w:pPr>
      <w:r>
        <w:rPr>
          <w:rFonts w:ascii="Roche Sans" w:eastAsia="Roche Sans" w:hAnsi="Roche Sans" w:cs="Roche Sans"/>
        </w:rPr>
        <w:t>Phase III studies involving Lunsumio SC are ongoing, including the MorningLyte trial investigating Lunsumio SC in combination with lenalidomide in previously untreated FL. Lunsumio, along with Columvi® (glofitamab), is part of Roche’s industry-leading CD20xCD3 bispecific antibody portfolio. Continuing to explore new formulations and combinations of these medicines across different disease areas and lines of treatment is part of Roche’s commitment to improve the patient experience and provide more choice to suit diverse patient and healthcare system needs.</w:t>
      </w:r>
    </w:p>
    <w:p w14:paraId="6CE184C9" w14:textId="77777777" w:rsidR="008B3CF0" w:rsidRDefault="00000000" w:rsidP="0080681E">
      <w:pPr>
        <w:spacing w:line="276" w:lineRule="auto"/>
        <w:rPr>
          <w:rFonts w:ascii="Roche Sans" w:eastAsia="Roche Sans" w:hAnsi="Roche Sans" w:cs="Roche Sans"/>
        </w:rPr>
      </w:pPr>
      <w:r>
        <w:rPr>
          <w:rFonts w:ascii="Roche Sans" w:eastAsia="Roche Sans" w:hAnsi="Roche Sans" w:cs="Roche Sans"/>
          <w:b/>
          <w:bCs/>
          <w:color w:val="0B41CD"/>
        </w:rPr>
        <w:t>About the GO29781 study</w:t>
      </w:r>
      <w:r>
        <w:rPr>
          <w:rFonts w:ascii="Roche Sans" w:eastAsia="Roche Sans" w:hAnsi="Roche Sans" w:cs="Roche Sans"/>
        </w:rPr>
        <w:br/>
        <w:t>The GO29781 study is a phase II, multicentre, open-label, dose-escalation and expansion study evaluating the safety, efficacy and pharmacokinetics of Lunsumio® (mosunetuzumab), administered both as an intravenous (IV) and subcutaneous (SC) treatment, in people with relapsed or refractory B-cell non-Hodgkin lymphoma. The primary objective for the SC cohort was to show pharmacokinetic (PK) non-inferiority of the SC formulation of Lunsumio compared with the IV formulation, based on the study’s co-primary endpoints. Key secondary endpoints include complete response (CR) rate, objective response rate (ORR), duration of response, progression-free survival, safety and tolerability.</w:t>
      </w:r>
    </w:p>
    <w:p w14:paraId="399CA3A5" w14:textId="5ACD8B8A" w:rsidR="00D635D8" w:rsidRPr="004A7937" w:rsidRDefault="00000000" w:rsidP="004A7937">
      <w:pPr>
        <w:spacing w:line="276" w:lineRule="auto"/>
        <w:rPr>
          <w:rFonts w:ascii="Roche Sans" w:eastAsia="Roche Sans" w:hAnsi="Roche Sans" w:cs="Roche Sans"/>
        </w:rPr>
      </w:pPr>
      <w:bookmarkStart w:id="1" w:name="_e7icha3ms8z9" w:colFirst="0" w:colLast="0"/>
      <w:bookmarkEnd w:id="1"/>
      <w:r>
        <w:rPr>
          <w:rFonts w:ascii="Roche Sans" w:eastAsia="Roche Sans" w:hAnsi="Roche Sans" w:cs="Roche Sans"/>
        </w:rPr>
        <w:t>This approval is based on a primary analysis that explored Lunsumio administered subcutaneously in patients with 3L+ follicular lymphoma. Results from the primary analysis showed PK non-inferiority compared with IV administration, and the ORR and CR rates in patients treated with the fixed-duration, subcutaneous formulation of Lunsumio were 74.5% (95% confidence interval [CI]: 64.4-82.9%) and 58.5% (95% CI: 46.9-68.6%), respectively, as evaluated by the independent review faculty. The median duration of CR was 20.8 months (95% CI: 18.8-not evaluable [NE]) for patients receiving Lunsumio SC. The most common all-grade adverse events were injection-site reactions (60.6%; all Grade 1-2), fatigue (35.1%), and cytokine release syndrome (CRS; 29.8%). Overall, the rate and severity of CRS were low; events were low grade (Grade 1-2, 27.7%; Grade 3, 2.1%), occurred during cycle 1 and all fully resolved in a median of two days (range 1-15 days).</w:t>
      </w:r>
      <w:r>
        <w:rPr>
          <w:rFonts w:ascii="Roche Sans" w:eastAsia="Roche Sans" w:hAnsi="Roche Sans" w:cs="Roche Sans"/>
          <w:vertAlign w:val="superscript"/>
        </w:rPr>
        <w:t>3</w:t>
      </w:r>
    </w:p>
    <w:p w14:paraId="18D54E74" w14:textId="1177BD0F" w:rsidR="0080681E" w:rsidRDefault="00000000" w:rsidP="0080681E">
      <w:pPr>
        <w:spacing w:line="276" w:lineRule="auto"/>
        <w:rPr>
          <w:rFonts w:ascii="Roche Sans" w:eastAsia="Roche Sans" w:hAnsi="Roche Sans" w:cs="Roche Sans"/>
        </w:rPr>
      </w:pPr>
      <w:r>
        <w:rPr>
          <w:rFonts w:ascii="Roche Sans" w:eastAsia="Roche Sans" w:hAnsi="Roche Sans" w:cs="Roche Sans"/>
          <w:b/>
          <w:bCs/>
          <w:color w:val="0B41CD"/>
        </w:rPr>
        <w:t>About follicular lymphoma</w:t>
      </w:r>
      <w:bookmarkStart w:id="2" w:name="_3yh4kphdpwwn" w:colFirst="0" w:colLast="0"/>
      <w:bookmarkEnd w:id="2"/>
      <w:r w:rsidR="00D635D8">
        <w:rPr>
          <w:rFonts w:ascii="Roche Sans" w:eastAsia="Roche Sans" w:hAnsi="Roche Sans" w:cs="Roche Sans"/>
        </w:rPr>
        <w:br/>
      </w:r>
      <w:r>
        <w:rPr>
          <w:rFonts w:ascii="Roche Sans" w:eastAsia="Roche Sans" w:hAnsi="Roche Sans" w:cs="Roche Sans"/>
        </w:rPr>
        <w:t>Follicular lymphoma (FL) is the most common slow-growing (indolent) form of non-Hodgkin lymphoma, accounting for about one in five cases.</w:t>
      </w:r>
      <w:r>
        <w:rPr>
          <w:rFonts w:ascii="Roche Sans" w:eastAsia="Roche Sans" w:hAnsi="Roche Sans" w:cs="Roche Sans"/>
          <w:vertAlign w:val="superscript"/>
        </w:rPr>
        <w:t>2,5</w:t>
      </w:r>
      <w:r>
        <w:rPr>
          <w:rFonts w:ascii="Roche Sans" w:eastAsia="Roche Sans" w:hAnsi="Roche Sans" w:cs="Roche Sans"/>
        </w:rPr>
        <w:t xml:space="preserve"> It typically responds well to treatment but is often characterised by periods of remission and relapse.</w:t>
      </w:r>
      <w:r>
        <w:rPr>
          <w:rFonts w:ascii="Roche Sans" w:eastAsia="Roche Sans" w:hAnsi="Roche Sans" w:cs="Roche Sans"/>
          <w:vertAlign w:val="superscript"/>
        </w:rPr>
        <w:t>2</w:t>
      </w:r>
      <w:r>
        <w:rPr>
          <w:rFonts w:ascii="Roche Sans" w:eastAsia="Roche Sans" w:hAnsi="Roche Sans" w:cs="Roche Sans"/>
        </w:rPr>
        <w:t xml:space="preserve"> The disease typically </w:t>
      </w:r>
      <w:r>
        <w:rPr>
          <w:rFonts w:ascii="Roche Sans" w:eastAsia="Roche Sans" w:hAnsi="Roche Sans" w:cs="Roche Sans"/>
        </w:rPr>
        <w:lastRenderedPageBreak/>
        <w:t>becomes harder to treat each time a patient relapses, and early progression can be associated with poor long-term prognosis.</w:t>
      </w:r>
      <w:r>
        <w:rPr>
          <w:rFonts w:ascii="Roche Sans" w:eastAsia="Roche Sans" w:hAnsi="Roche Sans" w:cs="Roche Sans"/>
          <w:vertAlign w:val="superscript"/>
        </w:rPr>
        <w:t>5</w:t>
      </w:r>
      <w:r>
        <w:rPr>
          <w:rFonts w:ascii="Roche Sans" w:eastAsia="Roche Sans" w:hAnsi="Roche Sans" w:cs="Roche Sans"/>
        </w:rPr>
        <w:t xml:space="preserve"> It is estimated that more than 110,000 people are diagnosed with FL each year worldwide.</w:t>
      </w:r>
      <w:r>
        <w:rPr>
          <w:rFonts w:ascii="Roche Sans" w:eastAsia="Roche Sans" w:hAnsi="Roche Sans" w:cs="Roche Sans"/>
          <w:vertAlign w:val="superscript"/>
        </w:rPr>
        <w:t>5,6</w:t>
      </w:r>
    </w:p>
    <w:p w14:paraId="5AC57862" w14:textId="47BF816F" w:rsidR="0080681E" w:rsidRDefault="00000000" w:rsidP="0080681E">
      <w:pPr>
        <w:spacing w:line="276" w:lineRule="auto"/>
        <w:rPr>
          <w:rFonts w:ascii="Roche Sans" w:eastAsia="Roche Sans" w:hAnsi="Roche Sans" w:cs="Roche Sans"/>
        </w:rPr>
      </w:pPr>
      <w:r>
        <w:rPr>
          <w:rFonts w:ascii="Roche Sans" w:eastAsia="Roche Sans" w:hAnsi="Roche Sans" w:cs="Roche Sans"/>
          <w:b/>
          <w:bCs/>
          <w:color w:val="0B41CD"/>
        </w:rPr>
        <w:t>About Lunsumio® (mosunetuzumab)</w:t>
      </w:r>
      <w:r>
        <w:rPr>
          <w:rFonts w:ascii="Roche Sans" w:eastAsia="Roche Sans" w:hAnsi="Roche Sans" w:cs="Roche Sans"/>
        </w:rPr>
        <w:br/>
        <w:t>Lunsumio is a first-in-class CD20xCD3 T-cell engaging bispecific antibody designed to target CD20 on the surface of B cells and CD3 on the surface of T cells. This dual targeting activates and redirects a patient’s existing T cells to engage and eliminate target B cells by releasing cytotoxic proteins into the B cells. A robust clinical development programme for Lunsumio is ongoing, investigating the molecule as a monotherapy and in combination with other medicines, for the treatment of people with B-cell non-Hodgkin lymphomas, including follicular lymphoma and diffuse large B-cell lymphoma, other blood cancers and autoimmune disorders.</w:t>
      </w:r>
    </w:p>
    <w:p w14:paraId="06108DB3" w14:textId="33622DFD" w:rsidR="00D635D8" w:rsidRPr="004A7937" w:rsidRDefault="00000000" w:rsidP="004A7937">
      <w:pPr>
        <w:spacing w:line="276" w:lineRule="auto"/>
        <w:rPr>
          <w:rFonts w:ascii="Roche Sans" w:eastAsia="Roche Sans" w:hAnsi="Roche Sans" w:cs="Roche Sans"/>
        </w:rPr>
      </w:pPr>
      <w:r>
        <w:rPr>
          <w:rFonts w:ascii="Roche Sans" w:eastAsia="Roche Sans" w:hAnsi="Roche Sans" w:cs="Roche Sans"/>
          <w:b/>
          <w:bCs/>
          <w:color w:val="0B41CD"/>
        </w:rPr>
        <w:t>About Roche in haematology</w:t>
      </w:r>
      <w:r>
        <w:rPr>
          <w:rFonts w:ascii="Roche Sans" w:eastAsia="Roche Sans" w:hAnsi="Roche Sans" w:cs="Roche Sans"/>
          <w:b/>
          <w:bCs/>
          <w:color w:val="0B41CD"/>
        </w:rPr>
        <w:br/>
      </w:r>
      <w:r>
        <w:rPr>
          <w:rFonts w:ascii="Roche Sans" w:eastAsia="Roche Sans" w:hAnsi="Roche Sans" w:cs="Roche Sans"/>
        </w:rPr>
        <w:t>Roche has been developing medicines for people with malignant and non-malignant blood diseases for more than 25 years; our experience and knowledge in this therapeutic area runs deep. Today, we are investing more than ever in our effort to bring innovative treatment options to patients across a wide range of haematologic diseases. Our approved medicines include MabThera®/Rituxan® (rituximab), Gazyva®/Gazyvaro® (obinutuzumab), Polivy® (polatuzumab vedotin), Venclexta®/Venclyxto® (venetoclax) in collaboration with AbbVie, Hemlibra® (emicizumab), PiaSky® (crovalimab), Lunsumio® (mosunetuzumab) and Columvi® (glofitamab). Our pipeline of investigational haematology medicines includes T-cell-engaging bispecific antibody cevostamab, targeting both FcRH5 and CD3, and Tecentriq® (atezolizumab). Our scientific expertise, combined with the breadth of our portfolio and pipeline, also provides a unique opportunity to develop combination regimens that aim to improve the lives of patients even further.</w:t>
      </w:r>
    </w:p>
    <w:p w14:paraId="33EABEFC" w14:textId="493EB773" w:rsidR="0080681E" w:rsidRDefault="00000000" w:rsidP="0080681E">
      <w:pPr>
        <w:spacing w:line="276" w:lineRule="auto"/>
        <w:rPr>
          <w:rFonts w:ascii="Roche Sans" w:eastAsia="Roche Sans" w:hAnsi="Roche Sans" w:cs="Roche Sans"/>
        </w:rPr>
      </w:pPr>
      <w:r>
        <w:rPr>
          <w:rFonts w:ascii="Roche Sans" w:eastAsia="Roche Sans" w:hAnsi="Roche Sans" w:cs="Roche Sans"/>
          <w:b/>
          <w:bCs/>
          <w:color w:val="0B41CD"/>
        </w:rPr>
        <w:t>About Roche</w:t>
      </w:r>
      <w:r>
        <w:rPr>
          <w:rFonts w:ascii="Roche Sans" w:eastAsia="Roche Sans" w:hAnsi="Roche Sans" w:cs="Roche Sans"/>
        </w:rPr>
        <w:t xml:space="preserve"> </w:t>
      </w:r>
      <w:r>
        <w:rPr>
          <w:rFonts w:ascii="Roche Sans" w:eastAsia="Roche Sans" w:hAnsi="Roche Sans" w:cs="Roche Sans"/>
          <w:color w:val="0B41CD"/>
        </w:rPr>
        <w:br/>
      </w:r>
      <w:r>
        <w:rPr>
          <w:rFonts w:ascii="Roche Sans" w:eastAsia="Roche Sans" w:hAnsi="Roche Sans" w:cs="Roche Sans"/>
        </w:rPr>
        <w:t xml:space="preserve">Founded in 1896 in Basel, Switzerland, as one of the first industrial manufacturers of branded medicines, Roche has grown into the world’s largest biotechnology company and the global leader in in-vitro diagnostics. The company pursues scientific excellence to discover and develop medicines and diagnostics for improving and saving the lives of people around the world. We are a pioneer in personalised healthcare and want to further transform how healthcare is delivered to have an even greater impact. To provide the best care for each </w:t>
      </w:r>
      <w:r>
        <w:rPr>
          <w:rFonts w:ascii="Roche Sans" w:eastAsia="Roche Sans" w:hAnsi="Roche Sans" w:cs="Roche Sans"/>
        </w:rPr>
        <w:lastRenderedPageBreak/>
        <w:t>person, we partner with many stakeholders and combine our strengths in Diagnostics and Pharma with data insights from clinical practice.</w:t>
      </w:r>
    </w:p>
    <w:p w14:paraId="24A85ED8" w14:textId="77777777" w:rsidR="0080681E" w:rsidRDefault="00000000" w:rsidP="0080681E">
      <w:pPr>
        <w:spacing w:line="276" w:lineRule="auto"/>
        <w:rPr>
          <w:rFonts w:ascii="Roche Sans" w:eastAsia="Roche Sans" w:hAnsi="Roche Sans" w:cs="Roche Sans"/>
        </w:rPr>
      </w:pPr>
      <w:r>
        <w:rPr>
          <w:rFonts w:ascii="Roche Sans" w:eastAsia="Roche Sans" w:hAnsi="Roche Sans" w:cs="Roche Sans"/>
          <w:highlight w:val="white"/>
        </w:rPr>
        <w:t>For over 125 years, sustainability has been an integral part of Roche’s business. As a science-driven company, our greatest contribution to society is developing innovative medicines and diagnostics that help people live healthier lives. Roche is committed to the Science Based Targets initiative and the Sustainable Markets Initiative to achieve net zero by 2045.</w:t>
      </w:r>
    </w:p>
    <w:p w14:paraId="3186930B" w14:textId="598D815B" w:rsidR="0080681E" w:rsidRDefault="00000000" w:rsidP="0080681E">
      <w:pPr>
        <w:spacing w:line="276" w:lineRule="auto"/>
        <w:rPr>
          <w:rFonts w:ascii="Roche Sans" w:eastAsia="Roche Sans" w:hAnsi="Roche Sans" w:cs="Roche Sans"/>
        </w:rPr>
      </w:pPr>
      <w:r>
        <w:rPr>
          <w:rFonts w:ascii="Roche Sans" w:eastAsia="Roche Sans" w:hAnsi="Roche Sans" w:cs="Roche Sans"/>
        </w:rPr>
        <w:t>Genentech, in the United States, is a wholly owned member of the Roche Group. Roche is the majority shareholder in Chugai Pharmaceutical, Japan.</w:t>
      </w:r>
    </w:p>
    <w:p w14:paraId="55CA89B0" w14:textId="49CF51EB" w:rsidR="008B3CF0" w:rsidRDefault="00000000" w:rsidP="0080681E">
      <w:pPr>
        <w:spacing w:line="276" w:lineRule="auto"/>
        <w:rPr>
          <w:rFonts w:ascii="Roche Sans" w:eastAsia="Roche Sans" w:hAnsi="Roche Sans" w:cs="Roche Sans"/>
          <w:b/>
          <w:bCs/>
        </w:rPr>
      </w:pPr>
      <w:r>
        <w:rPr>
          <w:rFonts w:ascii="Roche Sans" w:eastAsia="Roche Sans" w:hAnsi="Roche Sans" w:cs="Roche Sans"/>
        </w:rPr>
        <w:t xml:space="preserve">For more information, please visit </w:t>
      </w:r>
      <w:hyperlink r:id="rId7">
        <w:r>
          <w:rPr>
            <w:rFonts w:ascii="Roche Sans" w:eastAsia="Roche Sans" w:hAnsi="Roche Sans" w:cs="Roche Sans"/>
            <w:color w:val="1155CC"/>
            <w:u w:val="single"/>
          </w:rPr>
          <w:t>www.roche.com</w:t>
        </w:r>
      </w:hyperlink>
      <w:r>
        <w:rPr>
          <w:rFonts w:ascii="Roche Sans" w:eastAsia="Roche Sans" w:hAnsi="Roche Sans" w:cs="Roche Sans"/>
        </w:rPr>
        <w:t>.</w:t>
      </w:r>
    </w:p>
    <w:p w14:paraId="56111B06" w14:textId="77777777" w:rsidR="008B3CF0" w:rsidRDefault="00000000" w:rsidP="0080681E">
      <w:pPr>
        <w:rPr>
          <w:rFonts w:ascii="Roche Sans" w:eastAsia="Roche Sans" w:hAnsi="Roche Sans" w:cs="Roche Sans"/>
          <w:sz w:val="18"/>
          <w:szCs w:val="18"/>
        </w:rPr>
      </w:pPr>
      <w:r>
        <w:rPr>
          <w:rFonts w:ascii="Roche Sans" w:eastAsia="Roche Sans" w:hAnsi="Roche Sans" w:cs="Roche Sans"/>
          <w:sz w:val="18"/>
          <w:szCs w:val="18"/>
        </w:rPr>
        <w:t>All trademarks used or mentioned in this release are protected by law.</w:t>
      </w:r>
      <w:r>
        <w:rPr>
          <w:rFonts w:ascii="Roche Sans" w:eastAsia="Roche Sans" w:hAnsi="Roche Sans" w:cs="Roche Sans"/>
          <w:sz w:val="18"/>
          <w:szCs w:val="18"/>
        </w:rPr>
        <w:br/>
      </w:r>
    </w:p>
    <w:p w14:paraId="69469935" w14:textId="4418B41D" w:rsidR="008B3CF0" w:rsidRDefault="00000000">
      <w:pPr>
        <w:rPr>
          <w:rFonts w:ascii="Roche Sans" w:eastAsia="Roche Sans" w:hAnsi="Roche Sans" w:cs="Roche Sans"/>
          <w:sz w:val="18"/>
          <w:szCs w:val="18"/>
        </w:rPr>
      </w:pPr>
      <w:r>
        <w:rPr>
          <w:rFonts w:ascii="Roche Sans" w:eastAsia="Roche Sans" w:hAnsi="Roche Sans" w:cs="Roche Sans"/>
          <w:b/>
          <w:bCs/>
          <w:color w:val="0B41CD"/>
        </w:rPr>
        <w:t>References</w:t>
      </w:r>
      <w:r>
        <w:rPr>
          <w:rFonts w:ascii="Roche Sans" w:eastAsia="Roche Sans" w:hAnsi="Roche Sans" w:cs="Roche Sans"/>
          <w:sz w:val="18"/>
          <w:szCs w:val="18"/>
        </w:rPr>
        <w:br/>
        <w:t>[1]</w:t>
      </w:r>
      <w:r w:rsidR="00D635D8">
        <w:rPr>
          <w:rFonts w:ascii="Roche Sans" w:eastAsia="Roche Sans" w:hAnsi="Roche Sans" w:cs="Roche Sans"/>
          <w:sz w:val="18"/>
          <w:szCs w:val="18"/>
        </w:rPr>
        <w:t xml:space="preserve"> </w:t>
      </w:r>
      <w:r>
        <w:rPr>
          <w:rFonts w:ascii="Roche Sans" w:eastAsia="Roche Sans" w:hAnsi="Roche Sans" w:cs="Roche Sans"/>
          <w:sz w:val="18"/>
          <w:szCs w:val="18"/>
        </w:rPr>
        <w:t>Budde E, et al. Fixed treatment duration mosunetuzumab continues to demonstrate clinically meaningful outcomes in patients with relapsed/refractory (R/R) follicular lymphoma (FL) after ≥2 prior therapies: 5-year follow-up of a pivotal Phase II study. Presented at: ASH Annual Meeting and Exposition; 2025 Dec 6-9; San Diego, CA, USA. Abstract #5352.</w:t>
      </w:r>
      <w:r>
        <w:rPr>
          <w:rFonts w:ascii="Roche Sans" w:eastAsia="Roche Sans" w:hAnsi="Roche Sans" w:cs="Roche Sans"/>
          <w:sz w:val="18"/>
          <w:szCs w:val="18"/>
        </w:rPr>
        <w:br/>
        <w:t xml:space="preserve">[2] Adult Non-Hodgkin Lymphoma Treatment-Health Professional Version (PDQ®) National Cancer Institute [Internet; cited November 2025]. Available from: </w:t>
      </w:r>
      <w:hyperlink r:id="rId8" w:anchor="link/_552_toc">
        <w:r>
          <w:rPr>
            <w:rFonts w:ascii="Roche Sans" w:eastAsia="Roche Sans" w:hAnsi="Roche Sans" w:cs="Roche Sans"/>
            <w:color w:val="1155CC"/>
            <w:sz w:val="18"/>
            <w:szCs w:val="18"/>
            <w:u w:val="single"/>
          </w:rPr>
          <w:t>https://www.cancer.gov/types/lymphoma/hp/adult-nhl-treatment-pdq#link/_552_toc</w:t>
        </w:r>
      </w:hyperlink>
      <w:r>
        <w:rPr>
          <w:rFonts w:ascii="Roche Sans" w:eastAsia="Roche Sans" w:hAnsi="Roche Sans" w:cs="Roche Sans"/>
          <w:sz w:val="18"/>
          <w:szCs w:val="18"/>
        </w:rPr>
        <w:t>.</w:t>
      </w:r>
      <w:r>
        <w:rPr>
          <w:rFonts w:ascii="Roche Sans" w:eastAsia="Roche Sans" w:hAnsi="Roche Sans" w:cs="Roche Sans"/>
          <w:sz w:val="18"/>
          <w:szCs w:val="18"/>
        </w:rPr>
        <w:br/>
        <w:t>[3] Roche data on file.</w:t>
      </w:r>
      <w:r>
        <w:rPr>
          <w:rFonts w:ascii="Roche Sans" w:eastAsia="Roche Sans" w:hAnsi="Roche Sans" w:cs="Roche Sans"/>
          <w:sz w:val="18"/>
          <w:szCs w:val="18"/>
        </w:rPr>
        <w:br/>
        <w:t>[4] Assouline S, et al. Fixed-duration subcutaneous mosunetuzumab continues to demonstrate high rates of durable responses in patients with relapsed/refractory follicular lymphoma after ≥2 prior therapies: 3-year follow-up from a pivotal Phase II study. Presented at: ASH Annual Meeting and Exposition; 2025 Dec 6-9; San Diego, CA, USA. Abstract #5353.</w:t>
      </w:r>
      <w:r>
        <w:rPr>
          <w:rFonts w:ascii="Roche Sans" w:eastAsia="Roche Sans" w:hAnsi="Roche Sans" w:cs="Roche Sans"/>
          <w:sz w:val="18"/>
          <w:szCs w:val="18"/>
        </w:rPr>
        <w:br/>
        <w:t xml:space="preserve">[5] Cancer.Net. Lymphoma - Non-Hodgkin: Subtypes. [Internet; cited November 2025]. Available from: </w:t>
      </w:r>
      <w:hyperlink r:id="rId9">
        <w:r>
          <w:rPr>
            <w:rFonts w:ascii="Roche Sans" w:eastAsia="Roche Sans" w:hAnsi="Roche Sans" w:cs="Roche Sans"/>
            <w:color w:val="1155CC"/>
            <w:sz w:val="18"/>
            <w:szCs w:val="18"/>
            <w:u w:val="single"/>
          </w:rPr>
          <w:t>https://www.cancer.net/cancer-types/lymphoma-non-hodgkin/subtypes</w:t>
        </w:r>
      </w:hyperlink>
      <w:r>
        <w:rPr>
          <w:rFonts w:ascii="Roche Sans" w:eastAsia="Roche Sans" w:hAnsi="Roche Sans" w:cs="Roche Sans"/>
          <w:sz w:val="18"/>
          <w:szCs w:val="18"/>
        </w:rPr>
        <w:t>.</w:t>
      </w:r>
      <w:r>
        <w:rPr>
          <w:rFonts w:ascii="Roche Sans" w:eastAsia="Roche Sans" w:hAnsi="Roche Sans" w:cs="Roche Sans"/>
          <w:sz w:val="18"/>
          <w:szCs w:val="18"/>
        </w:rPr>
        <w:br/>
        <w:t xml:space="preserve">[6] World Health Organization. Numbers derived from GLOBOCAN 2022. Non-Hodgkin Lymphoma Factsheet [Internet; cited November2025]. Available from: </w:t>
      </w:r>
      <w:hyperlink r:id="rId10">
        <w:r>
          <w:rPr>
            <w:rFonts w:ascii="Roche Sans" w:eastAsia="Roche Sans" w:hAnsi="Roche Sans" w:cs="Roche Sans"/>
            <w:color w:val="1155CC"/>
            <w:sz w:val="18"/>
            <w:szCs w:val="18"/>
            <w:u w:val="single"/>
          </w:rPr>
          <w:t>https://gco.iarc.who.int/media/globocan/factsheets/cancers/34-non-hodgkin-lymphoma-fact-sheet.pdf</w:t>
        </w:r>
      </w:hyperlink>
      <w:r>
        <w:rPr>
          <w:rFonts w:ascii="Roche Sans" w:eastAsia="Roche Sans" w:hAnsi="Roche Sans" w:cs="Roche Sans"/>
          <w:sz w:val="18"/>
          <w:szCs w:val="18"/>
        </w:rPr>
        <w:t>.</w:t>
      </w:r>
      <w:r>
        <w:rPr>
          <w:rFonts w:ascii="Roche Sans" w:eastAsia="Roche Sans" w:hAnsi="Roche Sans" w:cs="Roche Sans"/>
          <w:sz w:val="18"/>
          <w:szCs w:val="18"/>
        </w:rPr>
        <w:br/>
      </w:r>
    </w:p>
    <w:p w14:paraId="547072E6" w14:textId="77777777" w:rsidR="008B3CF0" w:rsidRDefault="00000000">
      <w:pPr>
        <w:rPr>
          <w:rFonts w:ascii="Roche Sans" w:eastAsia="Roche Sans" w:hAnsi="Roche Sans" w:cs="Roche Sans"/>
        </w:rPr>
      </w:pPr>
      <w:r>
        <w:rPr>
          <w:rFonts w:ascii="Roche Sans" w:eastAsia="Roche Sans" w:hAnsi="Roche Sans" w:cs="Roche Sans"/>
          <w:b/>
          <w:bCs/>
          <w:color w:val="0B41CD"/>
        </w:rPr>
        <w:t>Roche Global Media Relations</w:t>
      </w:r>
      <w:r>
        <w:rPr>
          <w:rFonts w:ascii="Roche Sans" w:eastAsia="Roche Sans" w:hAnsi="Roche Sans" w:cs="Roche Sans"/>
          <w:b/>
          <w:bCs/>
        </w:rPr>
        <w:br/>
      </w:r>
      <w:r>
        <w:rPr>
          <w:rFonts w:ascii="Roche Sans" w:eastAsia="Roche Sans" w:hAnsi="Roche Sans" w:cs="Roche Sans"/>
        </w:rPr>
        <w:t>Phone: +41 61 688 8888 / e-mail: media.relations@roche.com</w:t>
      </w:r>
    </w:p>
    <w:tbl>
      <w:tblPr>
        <w:tblStyle w:val="a"/>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40"/>
      </w:tblGrid>
      <w:tr w:rsidR="008B3CF0" w14:paraId="156F93EA" w14:textId="77777777">
        <w:trPr>
          <w:trHeight w:val="660"/>
        </w:trPr>
        <w:tc>
          <w:tcPr>
            <w:tcW w:w="4440" w:type="dxa"/>
            <w:tcBorders>
              <w:top w:val="nil"/>
              <w:left w:val="nil"/>
              <w:bottom w:val="nil"/>
              <w:right w:val="nil"/>
            </w:tcBorders>
            <w:tcMar>
              <w:top w:w="0" w:type="dxa"/>
              <w:left w:w="0" w:type="dxa"/>
              <w:bottom w:w="0" w:type="dxa"/>
              <w:right w:w="0" w:type="dxa"/>
            </w:tcMar>
          </w:tcPr>
          <w:p w14:paraId="78F4C9ED" w14:textId="77777777" w:rsidR="008B3CF0" w:rsidRDefault="00000000">
            <w:pPr>
              <w:rPr>
                <w:rFonts w:ascii="Roche Sans" w:eastAsia="Roche Sans" w:hAnsi="Roche Sans" w:cs="Roche Sans"/>
              </w:rPr>
            </w:pPr>
            <w:r>
              <w:rPr>
                <w:rFonts w:ascii="Roche Sans" w:eastAsia="Roche Sans" w:hAnsi="Roche Sans" w:cs="Roche Sans"/>
                <w:b/>
                <w:bCs/>
              </w:rPr>
              <w:t>Hans Trees, PhD</w:t>
            </w:r>
            <w:r>
              <w:rPr>
                <w:rFonts w:ascii="Roche Sans" w:eastAsia="Roche Sans" w:hAnsi="Roche Sans" w:cs="Roche Sans"/>
              </w:rPr>
              <w:br/>
              <w:t>Phone: +41 79 407 72 58</w:t>
            </w:r>
          </w:p>
        </w:tc>
        <w:tc>
          <w:tcPr>
            <w:tcW w:w="4440" w:type="dxa"/>
            <w:tcBorders>
              <w:top w:val="nil"/>
              <w:left w:val="nil"/>
              <w:bottom w:val="nil"/>
              <w:right w:val="nil"/>
            </w:tcBorders>
            <w:tcMar>
              <w:top w:w="0" w:type="dxa"/>
              <w:left w:w="0" w:type="dxa"/>
              <w:bottom w:w="0" w:type="dxa"/>
              <w:right w:w="0" w:type="dxa"/>
            </w:tcMar>
          </w:tcPr>
          <w:p w14:paraId="61F38A46" w14:textId="77777777" w:rsidR="008B3CF0" w:rsidRDefault="00000000">
            <w:pPr>
              <w:rPr>
                <w:rFonts w:ascii="Roche Sans" w:eastAsia="Roche Sans" w:hAnsi="Roche Sans" w:cs="Roche Sans"/>
              </w:rPr>
            </w:pPr>
            <w:r>
              <w:rPr>
                <w:rFonts w:ascii="Roche Sans" w:eastAsia="Roche Sans" w:hAnsi="Roche Sans" w:cs="Roche Sans"/>
                <w:b/>
                <w:bCs/>
              </w:rPr>
              <w:t>Sileia Urech</w:t>
            </w:r>
            <w:r>
              <w:rPr>
                <w:rFonts w:ascii="Roche Sans" w:eastAsia="Roche Sans" w:hAnsi="Roche Sans" w:cs="Roche Sans"/>
              </w:rPr>
              <w:br/>
              <w:t>Phone: +41 79 935 81 48</w:t>
            </w:r>
          </w:p>
          <w:p w14:paraId="570C7EF6" w14:textId="77777777" w:rsidR="008B3CF0" w:rsidRDefault="008B3CF0">
            <w:pPr>
              <w:rPr>
                <w:rFonts w:ascii="Roche Sans" w:eastAsia="Roche Sans" w:hAnsi="Roche Sans" w:cs="Roche Sans"/>
              </w:rPr>
            </w:pPr>
          </w:p>
        </w:tc>
      </w:tr>
      <w:tr w:rsidR="008B3CF0" w14:paraId="0D38C2DA" w14:textId="77777777">
        <w:trPr>
          <w:trHeight w:val="660"/>
        </w:trPr>
        <w:tc>
          <w:tcPr>
            <w:tcW w:w="4440" w:type="dxa"/>
            <w:tcBorders>
              <w:top w:val="nil"/>
              <w:left w:val="nil"/>
              <w:bottom w:val="nil"/>
              <w:right w:val="nil"/>
            </w:tcBorders>
            <w:tcMar>
              <w:top w:w="0" w:type="dxa"/>
              <w:left w:w="0" w:type="dxa"/>
              <w:bottom w:w="0" w:type="dxa"/>
              <w:right w:w="0" w:type="dxa"/>
            </w:tcMar>
          </w:tcPr>
          <w:p w14:paraId="748A24BD" w14:textId="77777777" w:rsidR="008B3CF0" w:rsidRDefault="00000000">
            <w:pPr>
              <w:rPr>
                <w:rFonts w:ascii="Roche Sans" w:eastAsia="Roche Sans" w:hAnsi="Roche Sans" w:cs="Roche Sans"/>
              </w:rPr>
            </w:pPr>
            <w:r>
              <w:rPr>
                <w:rFonts w:ascii="Roche Sans" w:eastAsia="Roche Sans" w:hAnsi="Roche Sans" w:cs="Roche Sans"/>
                <w:b/>
                <w:bCs/>
              </w:rPr>
              <w:lastRenderedPageBreak/>
              <w:t>Nathalie Altermatt</w:t>
            </w:r>
            <w:r>
              <w:rPr>
                <w:rFonts w:ascii="Roche Sans" w:eastAsia="Roche Sans" w:hAnsi="Roche Sans" w:cs="Roche Sans"/>
              </w:rPr>
              <w:br/>
              <w:t>Phone: +41 79 771 05 25</w:t>
            </w:r>
          </w:p>
        </w:tc>
        <w:tc>
          <w:tcPr>
            <w:tcW w:w="4440" w:type="dxa"/>
            <w:tcBorders>
              <w:top w:val="nil"/>
              <w:left w:val="nil"/>
              <w:bottom w:val="nil"/>
              <w:right w:val="nil"/>
            </w:tcBorders>
            <w:tcMar>
              <w:top w:w="0" w:type="dxa"/>
              <w:left w:w="0" w:type="dxa"/>
              <w:bottom w:w="0" w:type="dxa"/>
              <w:right w:w="0" w:type="dxa"/>
            </w:tcMar>
          </w:tcPr>
          <w:p w14:paraId="72B0515B" w14:textId="77777777" w:rsidR="008B3CF0" w:rsidRDefault="00000000">
            <w:pPr>
              <w:rPr>
                <w:rFonts w:ascii="Roche Sans" w:eastAsia="Roche Sans" w:hAnsi="Roche Sans" w:cs="Roche Sans"/>
              </w:rPr>
            </w:pPr>
            <w:r>
              <w:rPr>
                <w:rFonts w:ascii="Roche Sans" w:eastAsia="Roche Sans" w:hAnsi="Roche Sans" w:cs="Roche Sans"/>
                <w:b/>
                <w:bCs/>
              </w:rPr>
              <w:t>Lorena Corfas</w:t>
            </w:r>
            <w:r>
              <w:rPr>
                <w:rFonts w:ascii="Roche Sans" w:eastAsia="Roche Sans" w:hAnsi="Roche Sans" w:cs="Roche Sans"/>
              </w:rPr>
              <w:br/>
              <w:t>Phone: +41 79 568 24 95</w:t>
            </w:r>
          </w:p>
          <w:p w14:paraId="712E0312" w14:textId="77777777" w:rsidR="008B3CF0" w:rsidRDefault="008B3CF0">
            <w:pPr>
              <w:rPr>
                <w:rFonts w:ascii="Roche Sans" w:eastAsia="Roche Sans" w:hAnsi="Roche Sans" w:cs="Roche Sans"/>
              </w:rPr>
            </w:pPr>
          </w:p>
        </w:tc>
      </w:tr>
      <w:tr w:rsidR="008B3CF0" w14:paraId="4D1B5F12" w14:textId="77777777">
        <w:trPr>
          <w:trHeight w:val="660"/>
        </w:trPr>
        <w:tc>
          <w:tcPr>
            <w:tcW w:w="4440" w:type="dxa"/>
            <w:tcBorders>
              <w:top w:val="nil"/>
              <w:left w:val="nil"/>
              <w:bottom w:val="nil"/>
              <w:right w:val="nil"/>
            </w:tcBorders>
            <w:tcMar>
              <w:top w:w="0" w:type="dxa"/>
              <w:left w:w="0" w:type="dxa"/>
              <w:bottom w:w="0" w:type="dxa"/>
              <w:right w:w="0" w:type="dxa"/>
            </w:tcMar>
          </w:tcPr>
          <w:p w14:paraId="5597DBAB" w14:textId="77777777" w:rsidR="008B3CF0" w:rsidRDefault="00000000">
            <w:pPr>
              <w:rPr>
                <w:rFonts w:ascii="Roche Sans" w:eastAsia="Roche Sans" w:hAnsi="Roche Sans" w:cs="Roche Sans"/>
              </w:rPr>
            </w:pPr>
            <w:r>
              <w:rPr>
                <w:rFonts w:ascii="Roche Sans" w:eastAsia="Roche Sans" w:hAnsi="Roche Sans" w:cs="Roche Sans"/>
                <w:b/>
                <w:bCs/>
              </w:rPr>
              <w:t>Simon Goldsborough</w:t>
            </w:r>
            <w:r>
              <w:rPr>
                <w:rFonts w:ascii="Roche Sans" w:eastAsia="Roche Sans" w:hAnsi="Roche Sans" w:cs="Roche Sans"/>
              </w:rPr>
              <w:br/>
              <w:t>Phone: +44 797 32 72 915</w:t>
            </w:r>
          </w:p>
        </w:tc>
        <w:tc>
          <w:tcPr>
            <w:tcW w:w="4440" w:type="dxa"/>
            <w:tcBorders>
              <w:top w:val="nil"/>
              <w:left w:val="nil"/>
              <w:bottom w:val="nil"/>
              <w:right w:val="nil"/>
            </w:tcBorders>
            <w:tcMar>
              <w:top w:w="0" w:type="dxa"/>
              <w:left w:w="0" w:type="dxa"/>
              <w:bottom w:w="0" w:type="dxa"/>
              <w:right w:w="0" w:type="dxa"/>
            </w:tcMar>
          </w:tcPr>
          <w:p w14:paraId="3DD30AFC" w14:textId="77777777" w:rsidR="008B3CF0" w:rsidRDefault="00000000">
            <w:pPr>
              <w:rPr>
                <w:rFonts w:ascii="Roche Sans" w:eastAsia="Roche Sans" w:hAnsi="Roche Sans" w:cs="Roche Sans"/>
              </w:rPr>
            </w:pPr>
            <w:r>
              <w:rPr>
                <w:rFonts w:ascii="Roche Sans" w:eastAsia="Roche Sans" w:hAnsi="Roche Sans" w:cs="Roche Sans"/>
                <w:b/>
                <w:bCs/>
              </w:rPr>
              <w:t>Karsten Kleine</w:t>
            </w:r>
            <w:r>
              <w:rPr>
                <w:rFonts w:ascii="Roche Sans" w:eastAsia="Roche Sans" w:hAnsi="Roche Sans" w:cs="Roche Sans"/>
              </w:rPr>
              <w:br/>
              <w:t>Phone: +41 79 461 86 83</w:t>
            </w:r>
          </w:p>
          <w:p w14:paraId="6459338C" w14:textId="77777777" w:rsidR="008B3CF0" w:rsidRDefault="008B3CF0">
            <w:pPr>
              <w:rPr>
                <w:rFonts w:ascii="Roche Sans" w:eastAsia="Roche Sans" w:hAnsi="Roche Sans" w:cs="Roche Sans"/>
              </w:rPr>
            </w:pPr>
          </w:p>
        </w:tc>
      </w:tr>
      <w:tr w:rsidR="008B3CF0" w14:paraId="57B50C70" w14:textId="77777777">
        <w:trPr>
          <w:trHeight w:val="660"/>
        </w:trPr>
        <w:tc>
          <w:tcPr>
            <w:tcW w:w="4440" w:type="dxa"/>
            <w:tcBorders>
              <w:top w:val="nil"/>
              <w:left w:val="nil"/>
              <w:bottom w:val="nil"/>
              <w:right w:val="nil"/>
            </w:tcBorders>
            <w:tcMar>
              <w:top w:w="0" w:type="dxa"/>
              <w:left w:w="0" w:type="dxa"/>
              <w:bottom w:w="0" w:type="dxa"/>
              <w:right w:w="0" w:type="dxa"/>
            </w:tcMar>
          </w:tcPr>
          <w:p w14:paraId="2E1B0DE2" w14:textId="77777777" w:rsidR="008B3CF0" w:rsidRDefault="00000000">
            <w:pPr>
              <w:rPr>
                <w:rFonts w:ascii="Roche Sans" w:eastAsia="Roche Sans" w:hAnsi="Roche Sans" w:cs="Roche Sans"/>
              </w:rPr>
            </w:pPr>
            <w:r>
              <w:rPr>
                <w:rFonts w:ascii="Roche Sans" w:eastAsia="Roche Sans" w:hAnsi="Roche Sans" w:cs="Roche Sans"/>
                <w:b/>
                <w:bCs/>
              </w:rPr>
              <w:t>Kirti Pandey</w:t>
            </w:r>
            <w:r>
              <w:rPr>
                <w:rFonts w:ascii="Roche Sans" w:eastAsia="Roche Sans" w:hAnsi="Roche Sans" w:cs="Roche Sans"/>
              </w:rPr>
              <w:br/>
              <w:t>Phone: +49 172 6367262</w:t>
            </w:r>
          </w:p>
          <w:p w14:paraId="5EF0507F" w14:textId="77777777" w:rsidR="008B3CF0" w:rsidRDefault="008B3CF0">
            <w:pPr>
              <w:rPr>
                <w:rFonts w:ascii="Roche Sans" w:eastAsia="Roche Sans" w:hAnsi="Roche Sans" w:cs="Roche Sans"/>
              </w:rPr>
            </w:pPr>
          </w:p>
        </w:tc>
        <w:tc>
          <w:tcPr>
            <w:tcW w:w="4440" w:type="dxa"/>
            <w:tcBorders>
              <w:top w:val="nil"/>
              <w:left w:val="nil"/>
              <w:bottom w:val="nil"/>
              <w:right w:val="nil"/>
            </w:tcBorders>
            <w:tcMar>
              <w:top w:w="0" w:type="dxa"/>
              <w:left w:w="0" w:type="dxa"/>
              <w:bottom w:w="0" w:type="dxa"/>
              <w:right w:w="0" w:type="dxa"/>
            </w:tcMar>
          </w:tcPr>
          <w:p w14:paraId="444CF739" w14:textId="77777777" w:rsidR="008B3CF0" w:rsidRDefault="00000000">
            <w:pPr>
              <w:rPr>
                <w:rFonts w:ascii="Roche Sans" w:eastAsia="Roche Sans" w:hAnsi="Roche Sans" w:cs="Roche Sans"/>
              </w:rPr>
            </w:pPr>
            <w:r>
              <w:rPr>
                <w:rFonts w:ascii="Roche Sans" w:eastAsia="Roche Sans" w:hAnsi="Roche Sans" w:cs="Roche Sans"/>
                <w:b/>
                <w:bCs/>
              </w:rPr>
              <w:t>Yvette Petillon</w:t>
            </w:r>
            <w:r>
              <w:rPr>
                <w:rFonts w:ascii="Roche Sans" w:eastAsia="Roche Sans" w:hAnsi="Roche Sans" w:cs="Roche Sans"/>
              </w:rPr>
              <w:br/>
              <w:t>Phone: +41 79 961 92 50</w:t>
            </w:r>
          </w:p>
        </w:tc>
      </w:tr>
      <w:tr w:rsidR="008B3CF0" w14:paraId="54BC55A1" w14:textId="77777777">
        <w:trPr>
          <w:trHeight w:val="660"/>
        </w:trPr>
        <w:tc>
          <w:tcPr>
            <w:tcW w:w="4440" w:type="dxa"/>
            <w:tcBorders>
              <w:top w:val="nil"/>
              <w:left w:val="nil"/>
              <w:bottom w:val="nil"/>
              <w:right w:val="nil"/>
            </w:tcBorders>
            <w:tcMar>
              <w:top w:w="0" w:type="dxa"/>
              <w:left w:w="0" w:type="dxa"/>
              <w:bottom w:w="0" w:type="dxa"/>
              <w:right w:w="0" w:type="dxa"/>
            </w:tcMar>
          </w:tcPr>
          <w:p w14:paraId="57AB1082" w14:textId="4A2F646C" w:rsidR="008B3CF0" w:rsidRDefault="00000000">
            <w:pPr>
              <w:rPr>
                <w:rFonts w:ascii="Roche Sans" w:eastAsia="Roche Sans" w:hAnsi="Roche Sans" w:cs="Roche Sans"/>
              </w:rPr>
            </w:pPr>
            <w:r>
              <w:rPr>
                <w:rFonts w:ascii="Roche Sans" w:eastAsia="Roche Sans" w:hAnsi="Roche Sans" w:cs="Roche Sans"/>
                <w:b/>
                <w:bCs/>
              </w:rPr>
              <w:t>Dr Rebekka Schnell</w:t>
            </w:r>
            <w:r>
              <w:rPr>
                <w:rFonts w:ascii="Roche Sans" w:eastAsia="Roche Sans" w:hAnsi="Roche Sans" w:cs="Roche Sans"/>
              </w:rPr>
              <w:br/>
              <w:t>Phone: +41 79 205 27 03</w:t>
            </w:r>
          </w:p>
        </w:tc>
        <w:tc>
          <w:tcPr>
            <w:tcW w:w="4440" w:type="dxa"/>
            <w:tcBorders>
              <w:top w:val="nil"/>
              <w:left w:val="nil"/>
              <w:bottom w:val="nil"/>
              <w:right w:val="nil"/>
            </w:tcBorders>
            <w:tcMar>
              <w:top w:w="0" w:type="dxa"/>
              <w:left w:w="0" w:type="dxa"/>
              <w:bottom w:w="0" w:type="dxa"/>
              <w:right w:w="0" w:type="dxa"/>
            </w:tcMar>
          </w:tcPr>
          <w:p w14:paraId="58A533AD" w14:textId="77777777" w:rsidR="008B3CF0" w:rsidRDefault="008B3CF0">
            <w:pPr>
              <w:rPr>
                <w:rFonts w:ascii="Roche Sans" w:eastAsia="Roche Sans" w:hAnsi="Roche Sans" w:cs="Roche Sans"/>
              </w:rPr>
            </w:pPr>
          </w:p>
        </w:tc>
      </w:tr>
    </w:tbl>
    <w:p w14:paraId="582DDCE6" w14:textId="77777777" w:rsidR="008B3CF0" w:rsidRDefault="008B3CF0">
      <w:pPr>
        <w:rPr>
          <w:rFonts w:ascii="Roche Sans" w:eastAsia="Roche Sans" w:hAnsi="Roche Sans" w:cs="Roche Sans"/>
          <w:b/>
          <w:bCs/>
          <w:color w:val="0B41CD"/>
        </w:rPr>
      </w:pPr>
    </w:p>
    <w:p w14:paraId="72805478" w14:textId="77777777" w:rsidR="008B3CF0" w:rsidRDefault="00000000">
      <w:r>
        <w:rPr>
          <w:rFonts w:ascii="Roche Sans" w:eastAsia="Roche Sans" w:hAnsi="Roche Sans" w:cs="Roche Sans"/>
          <w:b/>
          <w:bCs/>
          <w:color w:val="0B41CD"/>
        </w:rPr>
        <w:t>Roche Investor Relations</w:t>
      </w:r>
    </w:p>
    <w:tbl>
      <w:tblPr>
        <w:tblStyle w:val="a0"/>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8B3CF0" w14:paraId="045D2ECF" w14:textId="77777777">
        <w:trPr>
          <w:trHeight w:val="990"/>
        </w:trPr>
        <w:tc>
          <w:tcPr>
            <w:tcW w:w="4425" w:type="dxa"/>
            <w:tcBorders>
              <w:top w:val="nil"/>
              <w:left w:val="nil"/>
              <w:bottom w:val="nil"/>
              <w:right w:val="nil"/>
            </w:tcBorders>
            <w:tcMar>
              <w:top w:w="0" w:type="dxa"/>
              <w:left w:w="0" w:type="dxa"/>
              <w:bottom w:w="0" w:type="dxa"/>
              <w:right w:w="0" w:type="dxa"/>
            </w:tcMar>
          </w:tcPr>
          <w:p w14:paraId="40357588" w14:textId="633831C9" w:rsidR="008B3CF0" w:rsidRDefault="00000000">
            <w:pPr>
              <w:rPr>
                <w:rFonts w:ascii="Roche Sans" w:eastAsia="Roche Sans" w:hAnsi="Roche Sans" w:cs="Roche Sans"/>
              </w:rPr>
            </w:pPr>
            <w:r>
              <w:rPr>
                <w:rFonts w:ascii="Roche Sans" w:eastAsia="Roche Sans" w:hAnsi="Roche Sans" w:cs="Roche Sans"/>
                <w:b/>
                <w:bCs/>
              </w:rPr>
              <w:t>Dr Bruno Eschli</w:t>
            </w:r>
            <w:r>
              <w:rPr>
                <w:rFonts w:ascii="Roche Sans" w:eastAsia="Roche Sans" w:hAnsi="Roche Sans" w:cs="Roche Sans"/>
              </w:rPr>
              <w:br/>
              <w:t>Phone: +41 61 68-75284</w:t>
            </w:r>
            <w:r>
              <w:rPr>
                <w:rFonts w:ascii="Roche Sans" w:eastAsia="Roche Sans" w:hAnsi="Roche Sans" w:cs="Roche Sans"/>
              </w:rPr>
              <w:br/>
              <w:t>e-mail: bruno.eschli@roche.com</w:t>
            </w:r>
          </w:p>
        </w:tc>
        <w:tc>
          <w:tcPr>
            <w:tcW w:w="4455" w:type="dxa"/>
            <w:tcBorders>
              <w:top w:val="nil"/>
              <w:left w:val="nil"/>
              <w:bottom w:val="nil"/>
              <w:right w:val="nil"/>
            </w:tcBorders>
            <w:tcMar>
              <w:top w:w="0" w:type="dxa"/>
              <w:left w:w="0" w:type="dxa"/>
              <w:bottom w:w="0" w:type="dxa"/>
              <w:right w:w="0" w:type="dxa"/>
            </w:tcMar>
          </w:tcPr>
          <w:p w14:paraId="5DEAB87F" w14:textId="7DDAE4F3" w:rsidR="008B3CF0" w:rsidRDefault="00000000">
            <w:r>
              <w:rPr>
                <w:rFonts w:ascii="Roche Sans" w:eastAsia="Roche Sans" w:hAnsi="Roche Sans" w:cs="Roche Sans"/>
                <w:b/>
                <w:bCs/>
              </w:rPr>
              <w:t>Dr Sabine Borngräber</w:t>
            </w:r>
            <w:r>
              <w:rPr>
                <w:rFonts w:ascii="Roche Sans" w:eastAsia="Roche Sans" w:hAnsi="Roche Sans" w:cs="Roche Sans"/>
              </w:rPr>
              <w:br/>
              <w:t>Phone: +41 61 68-88027</w:t>
            </w:r>
            <w:r>
              <w:rPr>
                <w:rFonts w:ascii="Roche Sans" w:eastAsia="Roche Sans" w:hAnsi="Roche Sans" w:cs="Roche Sans"/>
              </w:rPr>
              <w:br/>
              <w:t xml:space="preserve">e-mail: </w:t>
            </w:r>
            <w:hyperlink r:id="rId11">
              <w:r>
                <w:rPr>
                  <w:rFonts w:ascii="Roche Sans" w:eastAsia="Roche Sans" w:hAnsi="Roche Sans" w:cs="Roche Sans"/>
                </w:rPr>
                <w:t>sabine.borngraeber@roche.com</w:t>
              </w:r>
            </w:hyperlink>
          </w:p>
          <w:p w14:paraId="10B4D507" w14:textId="77777777" w:rsidR="008B3CF0" w:rsidRDefault="008B3CF0"/>
        </w:tc>
      </w:tr>
      <w:tr w:rsidR="008B3CF0" w14:paraId="7FC36E01" w14:textId="77777777">
        <w:trPr>
          <w:trHeight w:val="990"/>
        </w:trPr>
        <w:tc>
          <w:tcPr>
            <w:tcW w:w="4425" w:type="dxa"/>
            <w:tcBorders>
              <w:top w:val="nil"/>
              <w:left w:val="nil"/>
              <w:bottom w:val="nil"/>
              <w:right w:val="nil"/>
            </w:tcBorders>
            <w:tcMar>
              <w:top w:w="0" w:type="dxa"/>
              <w:left w:w="0" w:type="dxa"/>
              <w:bottom w:w="0" w:type="dxa"/>
              <w:right w:w="0" w:type="dxa"/>
            </w:tcMar>
          </w:tcPr>
          <w:p w14:paraId="05D976B2" w14:textId="37F23DC3" w:rsidR="008B3CF0" w:rsidRDefault="00000000">
            <w:pPr>
              <w:rPr>
                <w:rFonts w:ascii="Roche Sans" w:eastAsia="Roche Sans" w:hAnsi="Roche Sans" w:cs="Roche Sans"/>
              </w:rPr>
            </w:pPr>
            <w:r>
              <w:rPr>
                <w:rFonts w:ascii="Roche Sans" w:eastAsia="Roche Sans" w:hAnsi="Roche Sans" w:cs="Roche Sans"/>
                <w:b/>
                <w:bCs/>
              </w:rPr>
              <w:t>Dr Birgit Masjost</w:t>
            </w:r>
            <w:r>
              <w:rPr>
                <w:rFonts w:ascii="Roche Sans" w:eastAsia="Roche Sans" w:hAnsi="Roche Sans" w:cs="Roche Sans"/>
              </w:rPr>
              <w:br/>
              <w:t>Phone: +41 61 68-84814</w:t>
            </w:r>
            <w:r>
              <w:rPr>
                <w:rFonts w:ascii="Roche Sans" w:eastAsia="Roche Sans" w:hAnsi="Roche Sans" w:cs="Roche Sans"/>
              </w:rPr>
              <w:br/>
              <w:t>e-mail: birgit.masjost@roche.com</w:t>
            </w:r>
          </w:p>
        </w:tc>
        <w:tc>
          <w:tcPr>
            <w:tcW w:w="4455" w:type="dxa"/>
            <w:tcBorders>
              <w:top w:val="nil"/>
              <w:left w:val="nil"/>
              <w:bottom w:val="nil"/>
              <w:right w:val="nil"/>
            </w:tcBorders>
            <w:tcMar>
              <w:top w:w="0" w:type="dxa"/>
              <w:left w:w="0" w:type="dxa"/>
              <w:bottom w:w="0" w:type="dxa"/>
              <w:right w:w="0" w:type="dxa"/>
            </w:tcMar>
          </w:tcPr>
          <w:p w14:paraId="02AB46B0" w14:textId="77777777" w:rsidR="008B3CF0" w:rsidRDefault="00000000">
            <w:r>
              <w:t xml:space="preserve"> </w:t>
            </w:r>
          </w:p>
        </w:tc>
      </w:tr>
    </w:tbl>
    <w:p w14:paraId="076012AE" w14:textId="77777777" w:rsidR="008B3CF0" w:rsidRDefault="008B3CF0">
      <w:pPr>
        <w:rPr>
          <w:rFonts w:ascii="Roche Sans" w:eastAsia="Roche Sans" w:hAnsi="Roche Sans" w:cs="Roche Sans"/>
        </w:rPr>
      </w:pPr>
    </w:p>
    <w:p w14:paraId="0BB9606D" w14:textId="77777777" w:rsidR="008B3CF0" w:rsidRDefault="00000000">
      <w:r>
        <w:rPr>
          <w:rFonts w:ascii="Roche Sans" w:eastAsia="Roche Sans" w:hAnsi="Roche Sans" w:cs="Roche Sans"/>
          <w:b/>
          <w:bCs/>
          <w:color w:val="0B41CD"/>
        </w:rPr>
        <w:t>Investor Relations North America</w:t>
      </w:r>
    </w:p>
    <w:tbl>
      <w:tblPr>
        <w:tblStyle w:val="a1"/>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70"/>
        <w:gridCol w:w="4410"/>
      </w:tblGrid>
      <w:tr w:rsidR="008B3CF0" w14:paraId="4D7F199E" w14:textId="77777777">
        <w:trPr>
          <w:trHeight w:val="1320"/>
        </w:trPr>
        <w:tc>
          <w:tcPr>
            <w:tcW w:w="4470" w:type="dxa"/>
            <w:tcBorders>
              <w:top w:val="nil"/>
              <w:left w:val="nil"/>
              <w:bottom w:val="nil"/>
              <w:right w:val="nil"/>
            </w:tcBorders>
            <w:tcMar>
              <w:top w:w="0" w:type="dxa"/>
              <w:left w:w="0" w:type="dxa"/>
              <w:bottom w:w="0" w:type="dxa"/>
              <w:right w:w="0" w:type="dxa"/>
            </w:tcMar>
          </w:tcPr>
          <w:p w14:paraId="61B4E673" w14:textId="77777777" w:rsidR="008B3CF0" w:rsidRDefault="00000000">
            <w:r>
              <w:rPr>
                <w:rFonts w:ascii="Roche Sans" w:eastAsia="Roche Sans" w:hAnsi="Roche Sans" w:cs="Roche Sans"/>
                <w:b/>
                <w:bCs/>
              </w:rPr>
              <w:t>Loren Kalm</w:t>
            </w:r>
            <w:r>
              <w:rPr>
                <w:rFonts w:ascii="Roche Sans" w:eastAsia="Roche Sans" w:hAnsi="Roche Sans" w:cs="Roche Sans"/>
              </w:rPr>
              <w:br/>
              <w:t>Phone: +1 650 225 3217</w:t>
            </w:r>
            <w:r>
              <w:rPr>
                <w:rFonts w:ascii="Roche Sans" w:eastAsia="Roche Sans" w:hAnsi="Roche Sans" w:cs="Roche Sans"/>
              </w:rPr>
              <w:br/>
              <w:t>e-mail: kalm.loren@gene.com</w:t>
            </w:r>
            <w:r>
              <w:br/>
            </w:r>
          </w:p>
        </w:tc>
        <w:tc>
          <w:tcPr>
            <w:tcW w:w="4410" w:type="dxa"/>
            <w:tcBorders>
              <w:top w:val="nil"/>
              <w:left w:val="nil"/>
              <w:bottom w:val="nil"/>
              <w:right w:val="nil"/>
            </w:tcBorders>
            <w:tcMar>
              <w:top w:w="0" w:type="dxa"/>
              <w:left w:w="0" w:type="dxa"/>
              <w:bottom w:w="0" w:type="dxa"/>
              <w:right w:w="0" w:type="dxa"/>
            </w:tcMar>
          </w:tcPr>
          <w:p w14:paraId="73F9B419" w14:textId="77777777" w:rsidR="008B3CF0" w:rsidRDefault="00000000">
            <w:r>
              <w:t xml:space="preserve"> </w:t>
            </w:r>
          </w:p>
        </w:tc>
      </w:tr>
    </w:tbl>
    <w:p w14:paraId="2006A9E0" w14:textId="77777777" w:rsidR="008B3CF0" w:rsidRDefault="008B3CF0">
      <w:pPr>
        <w:rPr>
          <w:rFonts w:ascii="Roche Sans" w:eastAsia="Roche Sans" w:hAnsi="Roche Sans" w:cs="Roche Sans"/>
          <w:b/>
          <w:bCs/>
          <w:color w:val="0B41CD"/>
        </w:rPr>
      </w:pPr>
    </w:p>
    <w:sectPr w:rsidR="008B3CF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D5D39" w14:textId="77777777" w:rsidR="00297C27" w:rsidRDefault="00297C27">
      <w:pPr>
        <w:spacing w:after="0" w:line="240" w:lineRule="auto"/>
      </w:pPr>
      <w:r>
        <w:separator/>
      </w:r>
    </w:p>
  </w:endnote>
  <w:endnote w:type="continuationSeparator" w:id="0">
    <w:p w14:paraId="7D6BB3AF" w14:textId="77777777" w:rsidR="00297C27" w:rsidRDefault="00297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01F899F-B59F-A44C-A48D-93AA1AE1488B}"/>
  </w:font>
  <w:font w:name="Roche Sans Light Light">
    <w:altName w:val="Roche Sans Light"/>
    <w:panose1 w:val="020B0304030201040101"/>
    <w:charset w:val="4D"/>
    <w:family w:val="swiss"/>
    <w:pitch w:val="variable"/>
    <w:sig w:usb0="00000207" w:usb1="00000001" w:usb2="00000000" w:usb3="00000000" w:csb0="00000097" w:csb1="00000000"/>
    <w:embedRegular r:id="rId2" w:fontKey="{AD6CB1FB-0521-AB4F-9C49-2F411ACD6CB1}"/>
    <w:embedItalic r:id="rId3" w:fontKey="{C60BE147-7212-534D-AC76-DA06A01F9704}"/>
  </w:font>
  <w:font w:name="Roche Sans Condensed Light">
    <w:panose1 w:val="020B0306030201040101"/>
    <w:charset w:val="00"/>
    <w:family w:val="swiss"/>
    <w:pitch w:val="variable"/>
    <w:sig w:usb0="00000207" w:usb1="00000000" w:usb2="00000000" w:usb3="00000000" w:csb0="00000017" w:csb1="00000000"/>
    <w:embedRegular r:id="rId4" w:fontKey="{37DBE18F-6A96-6443-A1B0-87A33DB2DF76}"/>
  </w:font>
  <w:font w:name="Roche Sans Medium Medium">
    <w:altName w:val="Roche Sans Medium"/>
    <w:panose1 w:val="020B0604030201040101"/>
    <w:charset w:val="4D"/>
    <w:family w:val="swiss"/>
    <w:pitch w:val="variable"/>
    <w:sig w:usb0="00000207" w:usb1="00000001" w:usb2="00000000" w:usb3="00000000" w:csb0="00000097" w:csb1="00000000"/>
    <w:embedRegular r:id="rId5" w:fontKey="{74523795-034D-1E41-A5A6-10CC75732DDD}"/>
  </w:font>
  <w:font w:name="Roche Sans">
    <w:panose1 w:val="020B0504030201040101"/>
    <w:charset w:val="4D"/>
    <w:family w:val="swiss"/>
    <w:pitch w:val="variable"/>
    <w:sig w:usb0="00000207" w:usb1="00000001" w:usb2="00000000" w:usb3="00000000" w:csb0="00000097" w:csb1="00000000"/>
    <w:embedRegular r:id="rId6" w:fontKey="{08B1ED4A-1837-2C42-81A8-FB3E1A009D96}"/>
    <w:embedBold r:id="rId7" w:fontKey="{DFFE3A5C-D872-354F-B918-25CE7D9BFE1B}"/>
  </w:font>
  <w:font w:name="Arial">
    <w:panose1 w:val="020B0604020202020204"/>
    <w:charset w:val="00"/>
    <w:family w:val="swiss"/>
    <w:pitch w:val="variable"/>
    <w:sig w:usb0="E0002AFF" w:usb1="C0007843" w:usb2="00000009" w:usb3="00000000" w:csb0="000001FF" w:csb1="00000000"/>
    <w:embedRegular r:id="rId8" w:fontKey="{D46D5BB2-57CB-9947-97F3-E719B5A01BAE}"/>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modern"/>
    <w:pitch w:val="variable"/>
    <w:sig w:usb0="00000003" w:usb1="00000000" w:usb2="00000000" w:usb3="00000000" w:csb0="00000001" w:csb1="00000000"/>
    <w:embedRegular r:id="rId10" w:fontKey="{0891C19D-0D0D-8849-9ED8-BA2A7FCEC3EB}"/>
  </w:font>
  <w:font w:name="Cambria">
    <w:panose1 w:val="02040503050406030204"/>
    <w:charset w:val="00"/>
    <w:family w:val="roman"/>
    <w:pitch w:val="default"/>
    <w:embedRegular r:id="rId11" w:fontKey="{B4DEBA59-D0EB-F744-9A37-36E5F51643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76BA7" w14:textId="77777777" w:rsidR="0080681E" w:rsidRDefault="008068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4A48" w14:textId="77777777" w:rsidR="008B3CF0" w:rsidRDefault="008B3CF0">
    <w:pPr>
      <w:spacing w:after="0" w:line="240" w:lineRule="auto"/>
      <w:rPr>
        <w:rFonts w:ascii="Arial" w:eastAsia="Arial" w:hAnsi="Arial" w:cs="Arial"/>
        <w:sz w:val="2"/>
        <w:szCs w:val="2"/>
      </w:rPr>
    </w:pPr>
  </w:p>
  <w:tbl>
    <w:tblPr>
      <w:tblStyle w:val="a2"/>
      <w:tblW w:w="9762" w:type="dxa"/>
      <w:tblInd w:w="0" w:type="dxa"/>
      <w:tblLayout w:type="fixed"/>
      <w:tblLook w:val="0600" w:firstRow="0" w:lastRow="0" w:firstColumn="0" w:lastColumn="0" w:noHBand="1" w:noVBand="1"/>
    </w:tblPr>
    <w:tblGrid>
      <w:gridCol w:w="2512"/>
      <w:gridCol w:w="2511"/>
      <w:gridCol w:w="2511"/>
      <w:gridCol w:w="2228"/>
    </w:tblGrid>
    <w:tr w:rsidR="008B3CF0" w14:paraId="6B8C5FA2" w14:textId="77777777">
      <w:trPr>
        <w:trHeight w:val="660"/>
      </w:trPr>
      <w:tc>
        <w:tcPr>
          <w:tcW w:w="2512" w:type="dxa"/>
          <w:tcBorders>
            <w:top w:val="nil"/>
            <w:left w:val="nil"/>
            <w:bottom w:val="nil"/>
            <w:right w:val="nil"/>
          </w:tcBorders>
          <w:tcMar>
            <w:top w:w="0" w:type="dxa"/>
            <w:left w:w="0" w:type="dxa"/>
            <w:bottom w:w="0" w:type="dxa"/>
            <w:right w:w="0" w:type="dxa"/>
          </w:tcMar>
        </w:tcPr>
        <w:p w14:paraId="7AA0823F" w14:textId="77777777" w:rsidR="008B3CF0" w:rsidRDefault="008B3CF0">
          <w:pPr>
            <w:widowControl w:val="0"/>
            <w:ind w:right="15"/>
            <w:rPr>
              <w:rFonts w:ascii="Roche Sans Medium Medium" w:eastAsia="Roche Sans Medium Medium" w:hAnsi="Roche Sans Medium Medium" w:cs="Roche Sans Medium Medium"/>
              <w:sz w:val="16"/>
              <w:szCs w:val="16"/>
            </w:rPr>
          </w:pPr>
        </w:p>
        <w:p w14:paraId="7AB19FC6" w14:textId="77777777" w:rsidR="008B3CF0" w:rsidRDefault="008B3CF0">
          <w:pPr>
            <w:widowControl w:val="0"/>
            <w:ind w:right="15"/>
            <w:rPr>
              <w:rFonts w:ascii="Roche Sans Medium Medium" w:eastAsia="Roche Sans Medium Medium" w:hAnsi="Roche Sans Medium Medium" w:cs="Roche Sans Medium Medium"/>
              <w:sz w:val="16"/>
              <w:szCs w:val="16"/>
            </w:rPr>
          </w:pPr>
        </w:p>
        <w:p w14:paraId="0B4B568F" w14:textId="77777777" w:rsidR="008B3CF0" w:rsidRDefault="00000000">
          <w:pPr>
            <w:widowControl w:val="0"/>
            <w:ind w:right="15"/>
            <w:rPr>
              <w:rFonts w:ascii="Roche Sans Medium Medium" w:eastAsia="Roche Sans Medium Medium" w:hAnsi="Roche Sans Medium Medium" w:cs="Roche Sans Medium Medium"/>
              <w:sz w:val="16"/>
              <w:szCs w:val="16"/>
            </w:rPr>
          </w:pPr>
          <w:r>
            <w:rPr>
              <w:rFonts w:ascii="Roche Sans Medium Medium" w:eastAsia="Roche Sans Medium Medium" w:hAnsi="Roche Sans Medium Medium" w:cs="Roche Sans Medium Medium"/>
              <w:sz w:val="16"/>
              <w:szCs w:val="16"/>
            </w:rPr>
            <w:t>F. Hoffmann-La Roche Ltd</w:t>
          </w:r>
        </w:p>
        <w:p w14:paraId="64446784" w14:textId="77777777" w:rsidR="008B3CF0" w:rsidRDefault="008B3CF0">
          <w:pPr>
            <w:widowControl w:val="0"/>
            <w:ind w:left="-425"/>
            <w:rPr>
              <w:rFonts w:ascii="Roche Sans" w:eastAsia="Roche Sans" w:hAnsi="Roche Sans" w:cs="Roche Sans"/>
              <w:b/>
              <w:bCs/>
              <w:sz w:val="16"/>
              <w:szCs w:val="16"/>
            </w:rPr>
          </w:pPr>
        </w:p>
      </w:tc>
      <w:tc>
        <w:tcPr>
          <w:tcW w:w="2511" w:type="dxa"/>
          <w:tcBorders>
            <w:top w:val="nil"/>
            <w:left w:val="nil"/>
            <w:bottom w:val="nil"/>
            <w:right w:val="nil"/>
          </w:tcBorders>
          <w:tcMar>
            <w:top w:w="0" w:type="dxa"/>
            <w:left w:w="0" w:type="dxa"/>
            <w:bottom w:w="0" w:type="dxa"/>
            <w:right w:w="0" w:type="dxa"/>
          </w:tcMar>
        </w:tcPr>
        <w:p w14:paraId="2F441C4E" w14:textId="77777777" w:rsidR="008B3CF0" w:rsidRDefault="008B3CF0">
          <w:pPr>
            <w:widowControl w:val="0"/>
            <w:rPr>
              <w:sz w:val="16"/>
              <w:szCs w:val="16"/>
            </w:rPr>
          </w:pPr>
        </w:p>
        <w:p w14:paraId="62FE9EA5" w14:textId="77777777" w:rsidR="008B3CF0" w:rsidRDefault="008B3CF0">
          <w:pPr>
            <w:widowControl w:val="0"/>
            <w:rPr>
              <w:sz w:val="16"/>
              <w:szCs w:val="16"/>
            </w:rPr>
          </w:pPr>
        </w:p>
        <w:p w14:paraId="5D1916A0" w14:textId="77777777" w:rsidR="008B3CF0" w:rsidRDefault="00000000">
          <w:pPr>
            <w:widowControl w:val="0"/>
            <w:rPr>
              <w:sz w:val="16"/>
              <w:szCs w:val="16"/>
            </w:rPr>
          </w:pPr>
          <w:r>
            <w:rPr>
              <w:sz w:val="16"/>
              <w:szCs w:val="16"/>
            </w:rPr>
            <w:t xml:space="preserve">4070 Basel </w:t>
          </w:r>
        </w:p>
        <w:p w14:paraId="2685ED8A" w14:textId="77777777" w:rsidR="008B3CF0" w:rsidRDefault="00000000">
          <w:pPr>
            <w:widowControl w:val="0"/>
            <w:rPr>
              <w:sz w:val="16"/>
              <w:szCs w:val="16"/>
            </w:rPr>
          </w:pPr>
          <w:r>
            <w:rPr>
              <w:sz w:val="16"/>
              <w:szCs w:val="16"/>
            </w:rPr>
            <w:t>Switzerland</w:t>
          </w:r>
        </w:p>
      </w:tc>
      <w:tc>
        <w:tcPr>
          <w:tcW w:w="2511" w:type="dxa"/>
          <w:tcBorders>
            <w:top w:val="nil"/>
            <w:left w:val="nil"/>
            <w:bottom w:val="nil"/>
            <w:right w:val="nil"/>
          </w:tcBorders>
          <w:tcMar>
            <w:top w:w="0" w:type="dxa"/>
            <w:left w:w="0" w:type="dxa"/>
            <w:bottom w:w="0" w:type="dxa"/>
            <w:right w:w="0" w:type="dxa"/>
          </w:tcMar>
        </w:tcPr>
        <w:p w14:paraId="7AF692CF" w14:textId="77777777" w:rsidR="008B3CF0" w:rsidRDefault="008B3CF0">
          <w:pPr>
            <w:widowControl w:val="0"/>
            <w:rPr>
              <w:sz w:val="16"/>
              <w:szCs w:val="16"/>
            </w:rPr>
          </w:pPr>
        </w:p>
        <w:p w14:paraId="606AFA92" w14:textId="77777777" w:rsidR="008B3CF0" w:rsidRDefault="008B3CF0">
          <w:pPr>
            <w:widowControl w:val="0"/>
            <w:rPr>
              <w:sz w:val="16"/>
              <w:szCs w:val="16"/>
            </w:rPr>
          </w:pPr>
        </w:p>
        <w:p w14:paraId="031B981F" w14:textId="77777777" w:rsidR="008B3CF0" w:rsidRDefault="00000000">
          <w:pPr>
            <w:widowControl w:val="0"/>
            <w:rPr>
              <w:sz w:val="16"/>
              <w:szCs w:val="16"/>
            </w:rPr>
          </w:pPr>
          <w:r>
            <w:rPr>
              <w:sz w:val="16"/>
              <w:szCs w:val="16"/>
            </w:rPr>
            <w:t>Group Communications</w:t>
          </w:r>
        </w:p>
        <w:p w14:paraId="54A79203" w14:textId="77777777" w:rsidR="008B3CF0" w:rsidRDefault="00000000">
          <w:pPr>
            <w:widowControl w:val="0"/>
            <w:rPr>
              <w:sz w:val="16"/>
              <w:szCs w:val="16"/>
            </w:rPr>
          </w:pPr>
          <w:r>
            <w:rPr>
              <w:sz w:val="16"/>
              <w:szCs w:val="16"/>
            </w:rPr>
            <w:t>Roche Group Media Relations</w:t>
          </w:r>
        </w:p>
      </w:tc>
      <w:tc>
        <w:tcPr>
          <w:tcW w:w="2228" w:type="dxa"/>
          <w:tcBorders>
            <w:top w:val="nil"/>
            <w:left w:val="nil"/>
            <w:bottom w:val="nil"/>
            <w:right w:val="nil"/>
          </w:tcBorders>
          <w:tcMar>
            <w:top w:w="0" w:type="dxa"/>
            <w:left w:w="0" w:type="dxa"/>
            <w:bottom w:w="0" w:type="dxa"/>
            <w:right w:w="0" w:type="dxa"/>
          </w:tcMar>
        </w:tcPr>
        <w:p w14:paraId="3B995223" w14:textId="77777777" w:rsidR="008B3CF0" w:rsidRDefault="008B3CF0">
          <w:pPr>
            <w:widowControl w:val="0"/>
            <w:rPr>
              <w:sz w:val="16"/>
              <w:szCs w:val="16"/>
            </w:rPr>
          </w:pPr>
        </w:p>
        <w:p w14:paraId="03F0D96B" w14:textId="77777777" w:rsidR="008B3CF0" w:rsidRDefault="008B3CF0">
          <w:pPr>
            <w:widowControl w:val="0"/>
            <w:rPr>
              <w:sz w:val="16"/>
              <w:szCs w:val="16"/>
            </w:rPr>
          </w:pPr>
        </w:p>
        <w:p w14:paraId="49D18309" w14:textId="77777777" w:rsidR="008B3CF0" w:rsidRDefault="00000000">
          <w:pPr>
            <w:widowControl w:val="0"/>
            <w:rPr>
              <w:sz w:val="16"/>
              <w:szCs w:val="16"/>
            </w:rPr>
          </w:pPr>
          <w:r>
            <w:rPr>
              <w:sz w:val="16"/>
              <w:szCs w:val="16"/>
            </w:rPr>
            <w:t xml:space="preserve">Phone +41 61 688 88 88 </w:t>
          </w:r>
        </w:p>
        <w:p w14:paraId="059CCDB6" w14:textId="77777777" w:rsidR="008B3CF0" w:rsidRDefault="00000000">
          <w:pPr>
            <w:widowControl w:val="0"/>
            <w:rPr>
              <w:sz w:val="16"/>
              <w:szCs w:val="16"/>
            </w:rPr>
          </w:pPr>
          <w:hyperlink r:id="rId1">
            <w:r>
              <w:rPr>
                <w:sz w:val="16"/>
                <w:szCs w:val="16"/>
              </w:rPr>
              <w:t>www.roche.com</w:t>
            </w:r>
          </w:hyperlink>
        </w:p>
      </w:tc>
    </w:tr>
  </w:tbl>
  <w:p w14:paraId="033DC39D" w14:textId="77777777" w:rsidR="008B3CF0" w:rsidRDefault="00000000">
    <w:pPr>
      <w:spacing w:before="220" w:after="0" w:line="276" w:lineRule="auto"/>
      <w:jc w:val="right"/>
      <w:rPr>
        <w:sz w:val="16"/>
        <w:szCs w:val="16"/>
      </w:rPr>
    </w:pPr>
    <w:r>
      <w:rPr>
        <w:sz w:val="16"/>
        <w:szCs w:val="16"/>
      </w:rPr>
      <w:fldChar w:fldCharType="begin"/>
    </w:r>
    <w:r>
      <w:rPr>
        <w:sz w:val="16"/>
        <w:szCs w:val="16"/>
      </w:rPr>
      <w:instrText>PAGE</w:instrText>
    </w:r>
    <w:r>
      <w:rPr>
        <w:sz w:val="16"/>
        <w:szCs w:val="16"/>
      </w:rPr>
      <w:fldChar w:fldCharType="separate"/>
    </w:r>
    <w:r w:rsidR="0080681E">
      <w:rPr>
        <w:noProof/>
        <w:sz w:val="16"/>
        <w:szCs w:val="16"/>
      </w:rPr>
      <w:t>2</w:t>
    </w:r>
    <w:r>
      <w:rPr>
        <w:sz w:val="16"/>
        <w:szCs w:val="16"/>
      </w:rPr>
      <w:fldChar w:fldCharType="end"/>
    </w:r>
    <w:r>
      <w:rPr>
        <w:sz w:val="16"/>
        <w:szCs w:val="16"/>
      </w:rPr>
      <w:t>/</w:t>
    </w:r>
    <w:r>
      <w:rPr>
        <w:sz w:val="16"/>
        <w:szCs w:val="16"/>
      </w:rPr>
      <w:fldChar w:fldCharType="begin"/>
    </w:r>
    <w:r>
      <w:rPr>
        <w:sz w:val="16"/>
        <w:szCs w:val="16"/>
      </w:rPr>
      <w:instrText>NUMPAGES</w:instrText>
    </w:r>
    <w:r>
      <w:rPr>
        <w:sz w:val="16"/>
        <w:szCs w:val="16"/>
      </w:rPr>
      <w:fldChar w:fldCharType="separate"/>
    </w:r>
    <w:r w:rsidR="0080681E">
      <w:rPr>
        <w:noProof/>
        <w:sz w:val="16"/>
        <w:szCs w:val="16"/>
      </w:rPr>
      <w:t>3</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1BCC" w14:textId="77777777" w:rsidR="008B3CF0" w:rsidRDefault="008B3CF0">
    <w:pPr>
      <w:spacing w:after="0" w:line="240" w:lineRule="auto"/>
      <w:rPr>
        <w:rFonts w:ascii="Arial" w:eastAsia="Arial" w:hAnsi="Arial" w:cs="Arial"/>
        <w:sz w:val="2"/>
        <w:szCs w:val="2"/>
      </w:rPr>
    </w:pPr>
  </w:p>
  <w:tbl>
    <w:tblPr>
      <w:tblStyle w:val="a3"/>
      <w:tblW w:w="9762" w:type="dxa"/>
      <w:tblInd w:w="0" w:type="dxa"/>
      <w:tblLayout w:type="fixed"/>
      <w:tblLook w:val="0600" w:firstRow="0" w:lastRow="0" w:firstColumn="0" w:lastColumn="0" w:noHBand="1" w:noVBand="1"/>
    </w:tblPr>
    <w:tblGrid>
      <w:gridCol w:w="2512"/>
      <w:gridCol w:w="2511"/>
      <w:gridCol w:w="2511"/>
      <w:gridCol w:w="2228"/>
    </w:tblGrid>
    <w:tr w:rsidR="008B3CF0" w14:paraId="0BE23F14" w14:textId="77777777">
      <w:trPr>
        <w:trHeight w:val="660"/>
      </w:trPr>
      <w:tc>
        <w:tcPr>
          <w:tcW w:w="2512" w:type="dxa"/>
          <w:tcBorders>
            <w:top w:val="nil"/>
            <w:left w:val="nil"/>
            <w:bottom w:val="nil"/>
            <w:right w:val="nil"/>
          </w:tcBorders>
          <w:tcMar>
            <w:top w:w="0" w:type="dxa"/>
            <w:left w:w="0" w:type="dxa"/>
            <w:bottom w:w="0" w:type="dxa"/>
            <w:right w:w="0" w:type="dxa"/>
          </w:tcMar>
        </w:tcPr>
        <w:p w14:paraId="2139212D" w14:textId="77777777" w:rsidR="008B3CF0" w:rsidRDefault="008B3CF0">
          <w:pPr>
            <w:widowControl w:val="0"/>
            <w:ind w:right="15"/>
            <w:rPr>
              <w:rFonts w:ascii="Roche Sans Medium Medium" w:eastAsia="Roche Sans Medium Medium" w:hAnsi="Roche Sans Medium Medium" w:cs="Roche Sans Medium Medium"/>
              <w:sz w:val="16"/>
              <w:szCs w:val="16"/>
            </w:rPr>
          </w:pPr>
        </w:p>
        <w:p w14:paraId="27BA7A70" w14:textId="77777777" w:rsidR="008B3CF0" w:rsidRDefault="008B3CF0">
          <w:pPr>
            <w:widowControl w:val="0"/>
            <w:ind w:right="15"/>
            <w:rPr>
              <w:rFonts w:ascii="Roche Sans Medium Medium" w:eastAsia="Roche Sans Medium Medium" w:hAnsi="Roche Sans Medium Medium" w:cs="Roche Sans Medium Medium"/>
              <w:sz w:val="16"/>
              <w:szCs w:val="16"/>
            </w:rPr>
          </w:pPr>
        </w:p>
        <w:p w14:paraId="37F7F248" w14:textId="77777777" w:rsidR="008B3CF0" w:rsidRDefault="00000000">
          <w:pPr>
            <w:widowControl w:val="0"/>
            <w:ind w:right="15"/>
            <w:rPr>
              <w:rFonts w:ascii="Roche Sans Medium Medium" w:eastAsia="Roche Sans Medium Medium" w:hAnsi="Roche Sans Medium Medium" w:cs="Roche Sans Medium Medium"/>
              <w:sz w:val="16"/>
              <w:szCs w:val="16"/>
            </w:rPr>
          </w:pPr>
          <w:r>
            <w:rPr>
              <w:rFonts w:ascii="Roche Sans Medium Medium" w:eastAsia="Roche Sans Medium Medium" w:hAnsi="Roche Sans Medium Medium" w:cs="Roche Sans Medium Medium"/>
              <w:sz w:val="16"/>
              <w:szCs w:val="16"/>
            </w:rPr>
            <w:t>F. Hoffmann-La Roche Ltd</w:t>
          </w:r>
        </w:p>
        <w:p w14:paraId="3E167498" w14:textId="77777777" w:rsidR="008B3CF0" w:rsidRDefault="008B3CF0">
          <w:pPr>
            <w:widowControl w:val="0"/>
            <w:ind w:left="-425"/>
            <w:rPr>
              <w:rFonts w:ascii="Roche Sans" w:eastAsia="Roche Sans" w:hAnsi="Roche Sans" w:cs="Roche Sans"/>
              <w:b/>
              <w:bCs/>
              <w:sz w:val="16"/>
              <w:szCs w:val="16"/>
            </w:rPr>
          </w:pPr>
        </w:p>
      </w:tc>
      <w:tc>
        <w:tcPr>
          <w:tcW w:w="2511" w:type="dxa"/>
          <w:tcBorders>
            <w:top w:val="nil"/>
            <w:left w:val="nil"/>
            <w:bottom w:val="nil"/>
            <w:right w:val="nil"/>
          </w:tcBorders>
          <w:tcMar>
            <w:top w:w="0" w:type="dxa"/>
            <w:left w:w="0" w:type="dxa"/>
            <w:bottom w:w="0" w:type="dxa"/>
            <w:right w:w="0" w:type="dxa"/>
          </w:tcMar>
        </w:tcPr>
        <w:p w14:paraId="7E83CD26" w14:textId="77777777" w:rsidR="008B3CF0" w:rsidRDefault="008B3CF0">
          <w:pPr>
            <w:widowControl w:val="0"/>
            <w:rPr>
              <w:sz w:val="16"/>
              <w:szCs w:val="16"/>
            </w:rPr>
          </w:pPr>
        </w:p>
        <w:p w14:paraId="21621428" w14:textId="77777777" w:rsidR="008B3CF0" w:rsidRDefault="008B3CF0">
          <w:pPr>
            <w:widowControl w:val="0"/>
            <w:rPr>
              <w:sz w:val="16"/>
              <w:szCs w:val="16"/>
            </w:rPr>
          </w:pPr>
        </w:p>
        <w:p w14:paraId="4AAC04D8" w14:textId="77777777" w:rsidR="008B3CF0" w:rsidRDefault="00000000">
          <w:pPr>
            <w:widowControl w:val="0"/>
            <w:rPr>
              <w:sz w:val="16"/>
              <w:szCs w:val="16"/>
            </w:rPr>
          </w:pPr>
          <w:r>
            <w:rPr>
              <w:sz w:val="16"/>
              <w:szCs w:val="16"/>
            </w:rPr>
            <w:t xml:space="preserve">4070 Basel </w:t>
          </w:r>
        </w:p>
        <w:p w14:paraId="4442A2CB" w14:textId="77777777" w:rsidR="008B3CF0" w:rsidRDefault="00000000">
          <w:pPr>
            <w:widowControl w:val="0"/>
            <w:rPr>
              <w:sz w:val="16"/>
              <w:szCs w:val="16"/>
            </w:rPr>
          </w:pPr>
          <w:r>
            <w:rPr>
              <w:sz w:val="16"/>
              <w:szCs w:val="16"/>
            </w:rPr>
            <w:t>Switzerland</w:t>
          </w:r>
        </w:p>
      </w:tc>
      <w:tc>
        <w:tcPr>
          <w:tcW w:w="2511" w:type="dxa"/>
          <w:tcBorders>
            <w:top w:val="nil"/>
            <w:left w:val="nil"/>
            <w:bottom w:val="nil"/>
            <w:right w:val="nil"/>
          </w:tcBorders>
          <w:tcMar>
            <w:top w:w="0" w:type="dxa"/>
            <w:left w:w="0" w:type="dxa"/>
            <w:bottom w:w="0" w:type="dxa"/>
            <w:right w:w="0" w:type="dxa"/>
          </w:tcMar>
        </w:tcPr>
        <w:p w14:paraId="4B6C14CC" w14:textId="77777777" w:rsidR="008B3CF0" w:rsidRDefault="008B3CF0">
          <w:pPr>
            <w:widowControl w:val="0"/>
            <w:rPr>
              <w:sz w:val="16"/>
              <w:szCs w:val="16"/>
            </w:rPr>
          </w:pPr>
        </w:p>
        <w:p w14:paraId="0C66A1CA" w14:textId="77777777" w:rsidR="008B3CF0" w:rsidRDefault="008B3CF0">
          <w:pPr>
            <w:widowControl w:val="0"/>
            <w:rPr>
              <w:sz w:val="16"/>
              <w:szCs w:val="16"/>
            </w:rPr>
          </w:pPr>
        </w:p>
        <w:p w14:paraId="58598764" w14:textId="77777777" w:rsidR="008B3CF0" w:rsidRDefault="00000000">
          <w:pPr>
            <w:widowControl w:val="0"/>
            <w:rPr>
              <w:sz w:val="16"/>
              <w:szCs w:val="16"/>
            </w:rPr>
          </w:pPr>
          <w:r>
            <w:rPr>
              <w:sz w:val="16"/>
              <w:szCs w:val="16"/>
            </w:rPr>
            <w:t>Group Communications</w:t>
          </w:r>
        </w:p>
        <w:p w14:paraId="7DABEC54" w14:textId="77777777" w:rsidR="008B3CF0" w:rsidRDefault="00000000">
          <w:pPr>
            <w:widowControl w:val="0"/>
            <w:rPr>
              <w:sz w:val="16"/>
              <w:szCs w:val="16"/>
            </w:rPr>
          </w:pPr>
          <w:r>
            <w:rPr>
              <w:sz w:val="16"/>
              <w:szCs w:val="16"/>
            </w:rPr>
            <w:t>Roche Group Media Relations</w:t>
          </w:r>
        </w:p>
      </w:tc>
      <w:tc>
        <w:tcPr>
          <w:tcW w:w="2228" w:type="dxa"/>
          <w:tcBorders>
            <w:top w:val="nil"/>
            <w:left w:val="nil"/>
            <w:bottom w:val="nil"/>
            <w:right w:val="nil"/>
          </w:tcBorders>
          <w:tcMar>
            <w:top w:w="0" w:type="dxa"/>
            <w:left w:w="0" w:type="dxa"/>
            <w:bottom w:w="0" w:type="dxa"/>
            <w:right w:w="0" w:type="dxa"/>
          </w:tcMar>
        </w:tcPr>
        <w:p w14:paraId="47964D06" w14:textId="77777777" w:rsidR="008B3CF0" w:rsidRDefault="008B3CF0">
          <w:pPr>
            <w:widowControl w:val="0"/>
            <w:rPr>
              <w:sz w:val="16"/>
              <w:szCs w:val="16"/>
            </w:rPr>
          </w:pPr>
        </w:p>
        <w:p w14:paraId="6C15B86B" w14:textId="77777777" w:rsidR="008B3CF0" w:rsidRDefault="008B3CF0">
          <w:pPr>
            <w:widowControl w:val="0"/>
            <w:rPr>
              <w:sz w:val="16"/>
              <w:szCs w:val="16"/>
            </w:rPr>
          </w:pPr>
        </w:p>
        <w:p w14:paraId="1850C787" w14:textId="77777777" w:rsidR="008B3CF0" w:rsidRDefault="00000000">
          <w:pPr>
            <w:widowControl w:val="0"/>
            <w:rPr>
              <w:sz w:val="16"/>
              <w:szCs w:val="16"/>
            </w:rPr>
          </w:pPr>
          <w:r>
            <w:rPr>
              <w:sz w:val="16"/>
              <w:szCs w:val="16"/>
            </w:rPr>
            <w:t xml:space="preserve">Phone +41 61 688 88 88 </w:t>
          </w:r>
        </w:p>
        <w:p w14:paraId="6E0333AC" w14:textId="77777777" w:rsidR="008B3CF0" w:rsidRDefault="00000000">
          <w:pPr>
            <w:widowControl w:val="0"/>
            <w:rPr>
              <w:sz w:val="16"/>
              <w:szCs w:val="16"/>
            </w:rPr>
          </w:pPr>
          <w:hyperlink r:id="rId1">
            <w:r>
              <w:rPr>
                <w:sz w:val="16"/>
                <w:szCs w:val="16"/>
              </w:rPr>
              <w:t>www.roche.com</w:t>
            </w:r>
          </w:hyperlink>
        </w:p>
      </w:tc>
    </w:tr>
  </w:tbl>
  <w:p w14:paraId="019AA3D5" w14:textId="77777777" w:rsidR="008B3CF0" w:rsidRDefault="00000000">
    <w:pPr>
      <w:spacing w:before="220" w:after="0" w:line="276" w:lineRule="auto"/>
      <w:jc w:val="right"/>
    </w:pPr>
    <w:r>
      <w:rPr>
        <w:sz w:val="16"/>
        <w:szCs w:val="16"/>
      </w:rPr>
      <w:fldChar w:fldCharType="begin"/>
    </w:r>
    <w:r>
      <w:rPr>
        <w:sz w:val="16"/>
        <w:szCs w:val="16"/>
      </w:rPr>
      <w:instrText>PAGE</w:instrText>
    </w:r>
    <w:r>
      <w:rPr>
        <w:sz w:val="16"/>
        <w:szCs w:val="16"/>
      </w:rPr>
      <w:fldChar w:fldCharType="separate"/>
    </w:r>
    <w:r w:rsidR="0080681E">
      <w:rPr>
        <w:noProof/>
        <w:sz w:val="16"/>
        <w:szCs w:val="16"/>
      </w:rPr>
      <w:t>1</w:t>
    </w:r>
    <w:r>
      <w:rPr>
        <w:sz w:val="16"/>
        <w:szCs w:val="16"/>
      </w:rPr>
      <w:fldChar w:fldCharType="end"/>
    </w:r>
    <w:r>
      <w:rPr>
        <w:sz w:val="16"/>
        <w:szCs w:val="16"/>
      </w:rPr>
      <w:t>/</w:t>
    </w:r>
    <w:r>
      <w:rPr>
        <w:sz w:val="16"/>
        <w:szCs w:val="16"/>
      </w:rPr>
      <w:fldChar w:fldCharType="begin"/>
    </w:r>
    <w:r>
      <w:rPr>
        <w:sz w:val="16"/>
        <w:szCs w:val="16"/>
      </w:rPr>
      <w:instrText>NUMPAGES</w:instrText>
    </w:r>
    <w:r>
      <w:rPr>
        <w:sz w:val="16"/>
        <w:szCs w:val="16"/>
      </w:rPr>
      <w:fldChar w:fldCharType="separate"/>
    </w:r>
    <w:r w:rsidR="0080681E">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760B2" w14:textId="77777777" w:rsidR="00297C27" w:rsidRDefault="00297C27">
      <w:pPr>
        <w:spacing w:after="0" w:line="240" w:lineRule="auto"/>
      </w:pPr>
      <w:r>
        <w:separator/>
      </w:r>
    </w:p>
  </w:footnote>
  <w:footnote w:type="continuationSeparator" w:id="0">
    <w:p w14:paraId="4F8878EE" w14:textId="77777777" w:rsidR="00297C27" w:rsidRDefault="00297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92D3F" w14:textId="77777777" w:rsidR="0080681E" w:rsidRDefault="008068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41F31" w14:textId="77777777" w:rsidR="008B3CF0" w:rsidRDefault="008B3CF0"/>
  <w:p w14:paraId="6A1D6042" w14:textId="77777777" w:rsidR="008B3CF0" w:rsidRDefault="008B3CF0"/>
  <w:p w14:paraId="0402AC6E" w14:textId="77777777" w:rsidR="008B3CF0" w:rsidRDefault="00000000">
    <w:r>
      <w:rPr>
        <w:noProof/>
      </w:rPr>
      <w:drawing>
        <wp:anchor distT="114300" distB="114300" distL="114300" distR="114300" simplePos="0" relativeHeight="251658240" behindDoc="0" locked="0" layoutInCell="1" hidden="0" allowOverlap="1" wp14:anchorId="2EE5BE92" wp14:editId="3ECCABE6">
          <wp:simplePos x="0" y="0"/>
          <wp:positionH relativeFrom="page">
            <wp:posOffset>6425999</wp:posOffset>
          </wp:positionH>
          <wp:positionV relativeFrom="page">
            <wp:posOffset>378000</wp:posOffset>
          </wp:positionV>
          <wp:extent cx="756000" cy="3924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19774" t="27842" r="19787" b="27407"/>
                  <a:stretch>
                    <a:fillRect/>
                  </a:stretch>
                </pic:blipFill>
                <pic:spPr>
                  <a:xfrm>
                    <a:off x="0" y="0"/>
                    <a:ext cx="756000" cy="3924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1D524" w14:textId="77777777" w:rsidR="008B3CF0" w:rsidRDefault="00000000">
    <w:pPr>
      <w:rPr>
        <w:rFonts w:ascii="Roche Sans" w:eastAsia="Roche Sans" w:hAnsi="Roche Sans" w:cs="Roche Sans"/>
        <w:b/>
        <w:bCs/>
        <w:color w:val="0B41CD"/>
        <w:sz w:val="56"/>
        <w:szCs w:val="56"/>
      </w:rPr>
    </w:pPr>
    <w:r>
      <w:rPr>
        <w:rFonts w:ascii="Roche Sans Condensed Light" w:eastAsia="Roche Sans Condensed Light" w:hAnsi="Roche Sans Condensed Light" w:cs="Roche Sans Condensed Light"/>
        <w:noProof/>
        <w:color w:val="0B41CD"/>
        <w:sz w:val="70"/>
        <w:szCs w:val="70"/>
      </w:rPr>
      <w:drawing>
        <wp:anchor distT="114300" distB="114300" distL="114300" distR="114300" simplePos="0" relativeHeight="251659264" behindDoc="0" locked="0" layoutInCell="1" hidden="0" allowOverlap="1" wp14:anchorId="70D80F38" wp14:editId="2BCCBE12">
          <wp:simplePos x="0" y="0"/>
          <wp:positionH relativeFrom="page">
            <wp:posOffset>6415689</wp:posOffset>
          </wp:positionH>
          <wp:positionV relativeFrom="page">
            <wp:posOffset>552450</wp:posOffset>
          </wp:positionV>
          <wp:extent cx="756000" cy="3924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19774" t="27842" r="19787" b="27407"/>
                  <a:stretch>
                    <a:fillRect/>
                  </a:stretch>
                </pic:blipFill>
                <pic:spPr>
                  <a:xfrm>
                    <a:off x="0" y="0"/>
                    <a:ext cx="756000" cy="392400"/>
                  </a:xfrm>
                  <a:prstGeom prst="rect">
                    <a:avLst/>
                  </a:prstGeom>
                  <a:ln/>
                </pic:spPr>
              </pic:pic>
            </a:graphicData>
          </a:graphic>
        </wp:anchor>
      </w:drawing>
    </w:r>
    <w:r>
      <w:rPr>
        <w:rFonts w:ascii="Roche Sans" w:eastAsia="Roche Sans" w:hAnsi="Roche Sans" w:cs="Roche Sans"/>
        <w:b/>
        <w:bCs/>
        <w:color w:val="0B41CD"/>
        <w:sz w:val="56"/>
        <w:szCs w:val="56"/>
      </w:rPr>
      <w:t>Media &amp; Investor Release</w:t>
    </w:r>
  </w:p>
  <w:p w14:paraId="306AAD41" w14:textId="77777777" w:rsidR="008B3CF0" w:rsidRDefault="008B3CF0">
    <w:pPr>
      <w:rPr>
        <w:color w:val="0B41C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83F0F"/>
    <w:multiLevelType w:val="multilevel"/>
    <w:tmpl w:val="8CBEE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10985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CF0"/>
    <w:rsid w:val="00297C27"/>
    <w:rsid w:val="004A7937"/>
    <w:rsid w:val="00725FC0"/>
    <w:rsid w:val="0080681E"/>
    <w:rsid w:val="008B3CF0"/>
    <w:rsid w:val="00D635D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7E2BD"/>
  <w15:docId w15:val="{4C9ECB62-88CC-1145-94AB-46663FC22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che Sans Light Light" w:eastAsia="Roche Sans Light Light" w:hAnsi="Roche Sans Light Light" w:cs="Roche Sans Light Light"/>
        <w:sz w:val="22"/>
        <w:szCs w:val="22"/>
        <w:lang w:val="en-GB" w:eastAsia="de-DE"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280"/>
      <w:outlineLvl w:val="0"/>
    </w:pPr>
    <w:rPr>
      <w:rFonts w:ascii="Roche Sans Condensed Light" w:eastAsia="Roche Sans Condensed Light" w:hAnsi="Roche Sans Condensed Light" w:cs="Roche Sans Condensed Light"/>
      <w:color w:val="0B41CD"/>
      <w:sz w:val="70"/>
      <w:szCs w:val="70"/>
    </w:rPr>
  </w:style>
  <w:style w:type="paragraph" w:styleId="berschrift2">
    <w:name w:val="heading 2"/>
    <w:basedOn w:val="Standard"/>
    <w:next w:val="Standard"/>
    <w:uiPriority w:val="9"/>
    <w:semiHidden/>
    <w:unhideWhenUsed/>
    <w:qFormat/>
    <w:pPr>
      <w:keepNext/>
      <w:keepLines/>
      <w:spacing w:before="520" w:after="160"/>
      <w:outlineLvl w:val="1"/>
    </w:pPr>
    <w:rPr>
      <w:color w:val="0B41CD"/>
      <w:sz w:val="40"/>
      <w:szCs w:val="40"/>
    </w:rPr>
  </w:style>
  <w:style w:type="paragraph" w:styleId="berschrift3">
    <w:name w:val="heading 3"/>
    <w:basedOn w:val="Standard"/>
    <w:next w:val="Standard"/>
    <w:uiPriority w:val="9"/>
    <w:semiHidden/>
    <w:unhideWhenUsed/>
    <w:qFormat/>
    <w:pPr>
      <w:keepNext/>
      <w:keepLines/>
      <w:spacing w:before="360"/>
      <w:outlineLvl w:val="2"/>
    </w:pPr>
    <w:rPr>
      <w:rFonts w:ascii="Roche Sans Condensed Light" w:eastAsia="Roche Sans Condensed Light" w:hAnsi="Roche Sans Condensed Light" w:cs="Roche Sans Condensed Light"/>
      <w:sz w:val="36"/>
      <w:szCs w:val="36"/>
    </w:rPr>
  </w:style>
  <w:style w:type="paragraph" w:styleId="berschrift4">
    <w:name w:val="heading 4"/>
    <w:basedOn w:val="Standard"/>
    <w:next w:val="Standard"/>
    <w:uiPriority w:val="9"/>
    <w:semiHidden/>
    <w:unhideWhenUsed/>
    <w:qFormat/>
    <w:pPr>
      <w:keepNext/>
      <w:keepLines/>
      <w:spacing w:before="280" w:after="80"/>
      <w:outlineLvl w:val="3"/>
    </w:pPr>
    <w:rPr>
      <w:rFonts w:ascii="Roche Sans Medium Medium" w:eastAsia="Roche Sans Medium Medium" w:hAnsi="Roche Sans Medium Medium" w:cs="Roche Sans Medium Medium"/>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iCs/>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280"/>
    </w:pPr>
    <w:rPr>
      <w:rFonts w:ascii="Roche Sans Condensed Light" w:eastAsia="Roche Sans Condensed Light" w:hAnsi="Roche Sans Condensed Light" w:cs="Roche Sans Condensed Light"/>
      <w:color w:val="0B41CD"/>
      <w:sz w:val="64"/>
      <w:szCs w:val="64"/>
    </w:rPr>
  </w:style>
  <w:style w:type="paragraph" w:styleId="Untertitel">
    <w:name w:val="Subtitle"/>
    <w:basedOn w:val="Standard"/>
    <w:next w:val="Standard"/>
    <w:uiPriority w:val="11"/>
    <w:qFormat/>
    <w:pPr>
      <w:keepNext/>
      <w:keepLines/>
    </w:pPr>
    <w:rPr>
      <w:rFonts w:ascii="Roche Sans" w:eastAsia="Roche Sans" w:hAnsi="Roche Sans" w:cs="Roche Sans"/>
      <w:sz w:val="24"/>
      <w:szCs w:val="24"/>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Kopfzeile">
    <w:name w:val="header"/>
    <w:basedOn w:val="Standard"/>
    <w:link w:val="KopfzeileZchn"/>
    <w:uiPriority w:val="99"/>
    <w:unhideWhenUsed/>
    <w:rsid w:val="008068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681E"/>
  </w:style>
  <w:style w:type="paragraph" w:styleId="Fuzeile">
    <w:name w:val="footer"/>
    <w:basedOn w:val="Standard"/>
    <w:link w:val="FuzeileZchn"/>
    <w:uiPriority w:val="99"/>
    <w:unhideWhenUsed/>
    <w:rsid w:val="008068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6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ancer.gov/types/lymphoma/hp/adult-nhl-treatment-pdq"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oche.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bine.borngraeber@roche.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gco.iarc.who.int/media/globocan/factsheets/cancers/34-non-hodgkin-lymphoma-fact-sheet.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ancer.net/cancer-types/lymphoma-non-hodgkin/subtypes"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hyperlink" Target="http://www.roche.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roch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1495</Words>
  <Characters>9419</Characters>
  <Application>Microsoft Office Word</Application>
  <DocSecurity>0</DocSecurity>
  <Lines>78</Lines>
  <Paragraphs>21</Paragraphs>
  <ScaleCrop>false</ScaleCrop>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Pistorius, Lajos {CAD~BASEL}</cp:lastModifiedBy>
  <cp:revision>3</cp:revision>
  <dcterms:created xsi:type="dcterms:W3CDTF">2025-11-18T14:59:00Z</dcterms:created>
  <dcterms:modified xsi:type="dcterms:W3CDTF">2025-11-18T15:00:00Z</dcterms:modified>
</cp:coreProperties>
</file>