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C51923" w14:textId="3B15B3E5" w:rsidR="00887FBE" w:rsidRDefault="00887FBE">
      <w:bookmarkStart w:id="0" w:name="_GoBack"/>
      <w:bookmarkEnd w:id="0"/>
    </w:p>
    <w:p w14:paraId="31286E16" w14:textId="47A1FB35" w:rsidR="00E32D23" w:rsidRDefault="00D97438" w:rsidP="00E32D23">
      <w:pPr>
        <w:jc w:val="center"/>
        <w:rPr>
          <w:b/>
        </w:rPr>
      </w:pPr>
      <w:r w:rsidRPr="00D97438">
        <w:rPr>
          <w:b/>
        </w:rPr>
        <w:t xml:space="preserve">Nemaura </w:t>
      </w:r>
      <w:r w:rsidR="000137B9">
        <w:rPr>
          <w:b/>
        </w:rPr>
        <w:t>CEO Provides Update to Shareholders</w:t>
      </w:r>
    </w:p>
    <w:p w14:paraId="20E1FD9F" w14:textId="215BE458" w:rsidR="000137B9" w:rsidRPr="000137B9" w:rsidRDefault="000137B9" w:rsidP="00E32D23">
      <w:pPr>
        <w:jc w:val="center"/>
        <w:rPr>
          <w:i/>
        </w:rPr>
      </w:pPr>
      <w:r w:rsidRPr="000137B9">
        <w:rPr>
          <w:i/>
        </w:rPr>
        <w:t>Announce</w:t>
      </w:r>
      <w:r>
        <w:rPr>
          <w:i/>
        </w:rPr>
        <w:t>s</w:t>
      </w:r>
      <w:r w:rsidRPr="000137B9">
        <w:rPr>
          <w:i/>
        </w:rPr>
        <w:t xml:space="preserve"> SugarBEAT® </w:t>
      </w:r>
      <w:r w:rsidR="00977F9D">
        <w:rPr>
          <w:i/>
        </w:rPr>
        <w:t>Awaiting</w:t>
      </w:r>
      <w:r w:rsidRPr="000137B9">
        <w:rPr>
          <w:i/>
        </w:rPr>
        <w:t xml:space="preserve"> CE Mark Approval</w:t>
      </w:r>
      <w:r w:rsidR="00944970">
        <w:rPr>
          <w:i/>
        </w:rPr>
        <w:t xml:space="preserve">; </w:t>
      </w:r>
      <w:r w:rsidR="00A73B12">
        <w:rPr>
          <w:i/>
        </w:rPr>
        <w:t>O</w:t>
      </w:r>
      <w:r w:rsidR="00977F9D">
        <w:rPr>
          <w:i/>
        </w:rPr>
        <w:t xml:space="preserve">n </w:t>
      </w:r>
      <w:r w:rsidR="00A73B12">
        <w:rPr>
          <w:i/>
        </w:rPr>
        <w:t>T</w:t>
      </w:r>
      <w:r w:rsidR="00977F9D">
        <w:rPr>
          <w:i/>
        </w:rPr>
        <w:t xml:space="preserve">rack for FDA submission </w:t>
      </w:r>
      <w:r w:rsidR="002175A6">
        <w:rPr>
          <w:i/>
        </w:rPr>
        <w:t xml:space="preserve">in </w:t>
      </w:r>
      <w:r w:rsidR="00387B03">
        <w:rPr>
          <w:i/>
        </w:rPr>
        <w:t xml:space="preserve">Q2 </w:t>
      </w:r>
      <w:r w:rsidR="002175A6">
        <w:rPr>
          <w:i/>
        </w:rPr>
        <w:t>2019</w:t>
      </w:r>
    </w:p>
    <w:p w14:paraId="1252E1FA" w14:textId="5D53C155" w:rsidR="00F64F9C" w:rsidRDefault="00887FBE" w:rsidP="000137B9">
      <w:r w:rsidRPr="00887FBE">
        <w:rPr>
          <w:b/>
        </w:rPr>
        <w:t xml:space="preserve">Loughborough, England – </w:t>
      </w:r>
      <w:r w:rsidR="00F346FE">
        <w:rPr>
          <w:b/>
        </w:rPr>
        <w:t>March 2</w:t>
      </w:r>
      <w:r w:rsidR="00944970">
        <w:rPr>
          <w:b/>
        </w:rPr>
        <w:t>8</w:t>
      </w:r>
      <w:r w:rsidR="00F346FE">
        <w:rPr>
          <w:b/>
        </w:rPr>
        <w:t>, 2019 –</w:t>
      </w:r>
      <w:r w:rsidR="00F346FE" w:rsidRPr="00887FBE">
        <w:rPr>
          <w:b/>
        </w:rPr>
        <w:t xml:space="preserve"> </w:t>
      </w:r>
      <w:hyperlink r:id="rId6" w:history="1">
        <w:r w:rsidRPr="00887FBE">
          <w:rPr>
            <w:rStyle w:val="Hyperlink"/>
            <w:b/>
          </w:rPr>
          <w:t>Nemaura Medical, Inc.</w:t>
        </w:r>
      </w:hyperlink>
      <w:r w:rsidRPr="00887FBE">
        <w:rPr>
          <w:b/>
        </w:rPr>
        <w:t xml:space="preserve"> (NASDAQ: NMRD)</w:t>
      </w:r>
      <w:r>
        <w:rPr>
          <w:b/>
        </w:rPr>
        <w:t>,</w:t>
      </w:r>
      <w:r w:rsidRPr="00887FBE">
        <w:rPr>
          <w:b/>
        </w:rPr>
        <w:t xml:space="preserve"> </w:t>
      </w:r>
      <w:r w:rsidRPr="00887FBE">
        <w:t>a medical technology company focused on the development of SugarBEAT® as a non-invasive, affordable and flexible Continuous Glucose Monitor (CGM) for use by diabetics and pre-diabetics,</w:t>
      </w:r>
      <w:r>
        <w:t xml:space="preserve"> </w:t>
      </w:r>
      <w:r w:rsidR="00D97438">
        <w:t xml:space="preserve">today </w:t>
      </w:r>
      <w:r w:rsidR="00BE6FB1">
        <w:t>provided the following letter to shareholders from the Company’s CEO, D</w:t>
      </w:r>
      <w:r w:rsidR="00D97438">
        <w:t>r</w:t>
      </w:r>
      <w:r w:rsidR="00E80424">
        <w:t>.</w:t>
      </w:r>
      <w:r w:rsidR="00D97438">
        <w:t xml:space="preserve"> Faz Chowdhury</w:t>
      </w:r>
      <w:r w:rsidR="009206C5">
        <w:t>,</w:t>
      </w:r>
      <w:r w:rsidR="00C2198F" w:rsidRPr="00C2198F">
        <w:t xml:space="preserve"> </w:t>
      </w:r>
      <w:r w:rsidR="00C2198F">
        <w:t xml:space="preserve">following the Company’s recent shareholder meeting </w:t>
      </w:r>
      <w:r w:rsidR="009206C5">
        <w:t xml:space="preserve">held </w:t>
      </w:r>
      <w:r w:rsidR="00C2198F">
        <w:t>on Friday, March 22, 2019</w:t>
      </w:r>
      <w:r w:rsidR="00BE6FB1">
        <w:t>:</w:t>
      </w:r>
    </w:p>
    <w:p w14:paraId="4E86AD73" w14:textId="77777777" w:rsidR="00EC2C18" w:rsidRDefault="00EC2C18" w:rsidP="005806F6">
      <w:pPr>
        <w:ind w:left="720"/>
        <w:rPr>
          <w:i/>
        </w:rPr>
      </w:pPr>
      <w:r>
        <w:rPr>
          <w:i/>
        </w:rPr>
        <w:t xml:space="preserve">To our valued shareholders, </w:t>
      </w:r>
    </w:p>
    <w:p w14:paraId="36FA89EF" w14:textId="59077803" w:rsidR="00270BD1" w:rsidRDefault="005806F6" w:rsidP="005806F6">
      <w:pPr>
        <w:ind w:left="720"/>
        <w:rPr>
          <w:i/>
        </w:rPr>
      </w:pPr>
      <w:r>
        <w:rPr>
          <w:i/>
        </w:rPr>
        <w:t xml:space="preserve">We are off to a strong start in 2019, and I wanted to take this opportunity to provide a more detailed update on our achievements and plans for the balance of this year. </w:t>
      </w:r>
    </w:p>
    <w:p w14:paraId="0E93F44B" w14:textId="7B9B04C1" w:rsidR="00944970" w:rsidRPr="005F45BA" w:rsidRDefault="00944970" w:rsidP="005806F6">
      <w:pPr>
        <w:ind w:left="720"/>
        <w:rPr>
          <w:b/>
          <w:i/>
        </w:rPr>
      </w:pPr>
      <w:r>
        <w:rPr>
          <w:b/>
          <w:i/>
        </w:rPr>
        <w:t>Intellectual Property Portfolio</w:t>
      </w:r>
    </w:p>
    <w:p w14:paraId="3E4AEE8A" w14:textId="27266A0D" w:rsidR="00270BD1" w:rsidRDefault="005806F6" w:rsidP="005806F6">
      <w:pPr>
        <w:ind w:left="720"/>
        <w:rPr>
          <w:i/>
        </w:rPr>
      </w:pPr>
      <w:r>
        <w:rPr>
          <w:i/>
        </w:rPr>
        <w:t xml:space="preserve">Earlier this year, we announced </w:t>
      </w:r>
      <w:r w:rsidRPr="005806F6">
        <w:rPr>
          <w:i/>
        </w:rPr>
        <w:t xml:space="preserve">the grant of U.S. Patent 10,092,224, </w:t>
      </w:r>
      <w:r w:rsidR="00FB4E74">
        <w:rPr>
          <w:i/>
        </w:rPr>
        <w:t>“</w:t>
      </w:r>
      <w:r w:rsidRPr="005806F6">
        <w:rPr>
          <w:i/>
        </w:rPr>
        <w:t>Cumulative Measurement of an Analyte.</w:t>
      </w:r>
      <w:r w:rsidR="00FB4E74">
        <w:rPr>
          <w:i/>
        </w:rPr>
        <w:t>”</w:t>
      </w:r>
      <w:r w:rsidRPr="005806F6">
        <w:t xml:space="preserve"> </w:t>
      </w:r>
      <w:r w:rsidR="00977F9D">
        <w:t xml:space="preserve"> </w:t>
      </w:r>
      <w:r w:rsidR="00944970" w:rsidRPr="005D12B2">
        <w:rPr>
          <w:i/>
        </w:rPr>
        <w:t>W</w:t>
      </w:r>
      <w:r w:rsidR="00977F9D" w:rsidRPr="005D12B2">
        <w:rPr>
          <w:i/>
        </w:rPr>
        <w:t xml:space="preserve">e filed </w:t>
      </w:r>
      <w:r w:rsidR="00944970" w:rsidRPr="005D12B2">
        <w:rPr>
          <w:i/>
        </w:rPr>
        <w:t>two</w:t>
      </w:r>
      <w:r w:rsidR="00977F9D" w:rsidRPr="005D12B2">
        <w:rPr>
          <w:i/>
        </w:rPr>
        <w:t xml:space="preserve"> new patent applications to protect intellectual property around the sensor and methods of application of the device</w:t>
      </w:r>
      <w:r w:rsidR="00944970" w:rsidRPr="005D12B2">
        <w:rPr>
          <w:i/>
        </w:rPr>
        <w:t xml:space="preserve">, which </w:t>
      </w:r>
      <w:r w:rsidR="00977F9D" w:rsidRPr="005D12B2">
        <w:rPr>
          <w:i/>
        </w:rPr>
        <w:t xml:space="preserve">will not be published for at least a further 12 months, providing us with </w:t>
      </w:r>
      <w:r w:rsidR="00A73B12" w:rsidRPr="005D12B2">
        <w:rPr>
          <w:i/>
        </w:rPr>
        <w:t>additional</w:t>
      </w:r>
      <w:r w:rsidR="00977F9D" w:rsidRPr="005D12B2">
        <w:rPr>
          <w:i/>
        </w:rPr>
        <w:t xml:space="preserve"> protection in the interim.</w:t>
      </w:r>
      <w:r w:rsidR="00977F9D">
        <w:t xml:space="preserve"> </w:t>
      </w:r>
      <w:r w:rsidR="00977F9D">
        <w:rPr>
          <w:i/>
        </w:rPr>
        <w:t>Our improved algorithms</w:t>
      </w:r>
      <w:r w:rsidRPr="005806F6">
        <w:rPr>
          <w:i/>
        </w:rPr>
        <w:t xml:space="preserve"> </w:t>
      </w:r>
      <w:r w:rsidR="00977F9D">
        <w:rPr>
          <w:i/>
        </w:rPr>
        <w:t xml:space="preserve">allow </w:t>
      </w:r>
      <w:r w:rsidRPr="005806F6">
        <w:rPr>
          <w:i/>
        </w:rPr>
        <w:t>sensing to occur in sub-five-minute intervals</w:t>
      </w:r>
      <w:r>
        <w:rPr>
          <w:i/>
        </w:rPr>
        <w:t xml:space="preserve">, which, in turn, enable </w:t>
      </w:r>
      <w:r w:rsidRPr="005806F6">
        <w:rPr>
          <w:i/>
        </w:rPr>
        <w:t xml:space="preserve">predictive alarms </w:t>
      </w:r>
      <w:r w:rsidR="00977F9D">
        <w:rPr>
          <w:i/>
        </w:rPr>
        <w:t>so</w:t>
      </w:r>
      <w:r w:rsidRPr="005806F6">
        <w:rPr>
          <w:i/>
        </w:rPr>
        <w:t xml:space="preserve"> patients or users can be alerted more frequently than if the measurements were made at </w:t>
      </w:r>
      <w:r w:rsidR="00977F9D">
        <w:rPr>
          <w:i/>
        </w:rPr>
        <w:t>less frequent intervals</w:t>
      </w:r>
      <w:r w:rsidRPr="005806F6">
        <w:rPr>
          <w:i/>
        </w:rPr>
        <w:t>.</w:t>
      </w:r>
      <w:r w:rsidR="00270BD1">
        <w:rPr>
          <w:i/>
        </w:rPr>
        <w:t xml:space="preserve">  </w:t>
      </w:r>
      <w:r w:rsidR="003441B1">
        <w:rPr>
          <w:i/>
        </w:rPr>
        <w:t>We believe this</w:t>
      </w:r>
      <w:r w:rsidR="008D3A46">
        <w:rPr>
          <w:i/>
        </w:rPr>
        <w:t xml:space="preserve"> </w:t>
      </w:r>
      <w:r w:rsidR="00977F9D">
        <w:rPr>
          <w:i/>
        </w:rPr>
        <w:t>predictive</w:t>
      </w:r>
      <w:r w:rsidR="003441B1">
        <w:rPr>
          <w:i/>
        </w:rPr>
        <w:t xml:space="preserve"> capability will help expand the appeal of our product </w:t>
      </w:r>
      <w:r w:rsidR="003441B1" w:rsidRPr="00270BD1">
        <w:rPr>
          <w:i/>
        </w:rPr>
        <w:t>to Type 1 diabetics who are at higher risk of hypoglycemia, or very low glucose levels</w:t>
      </w:r>
      <w:r w:rsidR="003441B1">
        <w:rPr>
          <w:i/>
        </w:rPr>
        <w:t xml:space="preserve">.  </w:t>
      </w:r>
      <w:r w:rsidR="00270BD1">
        <w:rPr>
          <w:i/>
        </w:rPr>
        <w:t>Overall</w:t>
      </w:r>
      <w:r w:rsidR="00535237">
        <w:rPr>
          <w:i/>
        </w:rPr>
        <w:t>,</w:t>
      </w:r>
      <w:r w:rsidR="00270BD1">
        <w:rPr>
          <w:i/>
        </w:rPr>
        <w:t xml:space="preserve"> we </w:t>
      </w:r>
      <w:r w:rsidR="00977F9D">
        <w:rPr>
          <w:i/>
        </w:rPr>
        <w:t>continue to build</w:t>
      </w:r>
      <w:r w:rsidR="00270BD1">
        <w:rPr>
          <w:i/>
        </w:rPr>
        <w:t xml:space="preserve"> an extensive </w:t>
      </w:r>
      <w:r w:rsidR="00A73B12">
        <w:rPr>
          <w:i/>
        </w:rPr>
        <w:t xml:space="preserve">intellectual </w:t>
      </w:r>
      <w:r w:rsidR="00977F9D">
        <w:rPr>
          <w:i/>
        </w:rPr>
        <w:t>property</w:t>
      </w:r>
      <w:r w:rsidR="00270BD1">
        <w:rPr>
          <w:i/>
        </w:rPr>
        <w:t xml:space="preserve"> portfolio, which </w:t>
      </w:r>
      <w:r w:rsidR="00977F9D">
        <w:rPr>
          <w:i/>
        </w:rPr>
        <w:t xml:space="preserve">will </w:t>
      </w:r>
      <w:r w:rsidR="00270BD1">
        <w:rPr>
          <w:i/>
        </w:rPr>
        <w:t xml:space="preserve">position us to become a leader in the </w:t>
      </w:r>
      <w:r w:rsidR="00977F9D">
        <w:rPr>
          <w:i/>
        </w:rPr>
        <w:t xml:space="preserve">non-invasive </w:t>
      </w:r>
      <w:r w:rsidR="00270BD1">
        <w:rPr>
          <w:i/>
        </w:rPr>
        <w:t xml:space="preserve">CGM space. </w:t>
      </w:r>
    </w:p>
    <w:p w14:paraId="4E59675D" w14:textId="6DC06B0E" w:rsidR="00944970" w:rsidRPr="005F45BA" w:rsidRDefault="00944970" w:rsidP="005806F6">
      <w:pPr>
        <w:ind w:left="720"/>
        <w:rPr>
          <w:b/>
          <w:i/>
        </w:rPr>
      </w:pPr>
      <w:r>
        <w:rPr>
          <w:b/>
          <w:i/>
        </w:rPr>
        <w:t>Technology Enhancements</w:t>
      </w:r>
    </w:p>
    <w:p w14:paraId="3DD6DD3C" w14:textId="749ABA37" w:rsidR="003441B1" w:rsidRDefault="00944970" w:rsidP="003441B1">
      <w:pPr>
        <w:ind w:left="720"/>
        <w:rPr>
          <w:i/>
        </w:rPr>
      </w:pPr>
      <w:r>
        <w:rPr>
          <w:i/>
        </w:rPr>
        <w:t>S</w:t>
      </w:r>
      <w:r w:rsidR="003441B1" w:rsidRPr="003441B1">
        <w:rPr>
          <w:i/>
        </w:rPr>
        <w:t>kin-patch warm-up periods</w:t>
      </w:r>
      <w:r>
        <w:rPr>
          <w:i/>
        </w:rPr>
        <w:t xml:space="preserve"> have been greatly reduced</w:t>
      </w:r>
      <w:r w:rsidR="003441B1" w:rsidRPr="003441B1">
        <w:rPr>
          <w:i/>
        </w:rPr>
        <w:t xml:space="preserve"> </w:t>
      </w:r>
      <w:r w:rsidR="003441B1">
        <w:rPr>
          <w:i/>
        </w:rPr>
        <w:t>from</w:t>
      </w:r>
      <w:r w:rsidR="003441B1" w:rsidRPr="003441B1">
        <w:rPr>
          <w:i/>
        </w:rPr>
        <w:t xml:space="preserve"> </w:t>
      </w:r>
      <w:r w:rsidR="003441B1">
        <w:rPr>
          <w:i/>
        </w:rPr>
        <w:t xml:space="preserve">our </w:t>
      </w:r>
      <w:r w:rsidR="003441B1" w:rsidRPr="003441B1">
        <w:rPr>
          <w:i/>
        </w:rPr>
        <w:t xml:space="preserve">previous </w:t>
      </w:r>
      <w:r w:rsidR="00CD1637">
        <w:rPr>
          <w:i/>
        </w:rPr>
        <w:t>warm up periods of over an hour</w:t>
      </w:r>
      <w:r w:rsidR="003441B1">
        <w:rPr>
          <w:i/>
        </w:rPr>
        <w:t>,</w:t>
      </w:r>
      <w:r w:rsidR="003441B1" w:rsidRPr="003441B1">
        <w:rPr>
          <w:i/>
        </w:rPr>
        <w:t xml:space="preserve"> </w:t>
      </w:r>
      <w:r w:rsidR="003441B1">
        <w:rPr>
          <w:i/>
        </w:rPr>
        <w:t xml:space="preserve">to a </w:t>
      </w:r>
      <w:r w:rsidR="003441B1" w:rsidRPr="003441B1">
        <w:rPr>
          <w:i/>
        </w:rPr>
        <w:t xml:space="preserve">warm-up period </w:t>
      </w:r>
      <w:r w:rsidR="003441B1">
        <w:rPr>
          <w:i/>
        </w:rPr>
        <w:t xml:space="preserve">of </w:t>
      </w:r>
      <w:r w:rsidR="00CD1637">
        <w:rPr>
          <w:i/>
        </w:rPr>
        <w:t>less than</w:t>
      </w:r>
      <w:r w:rsidR="003441B1" w:rsidRPr="003441B1">
        <w:rPr>
          <w:i/>
        </w:rPr>
        <w:t xml:space="preserve"> 30 minutes</w:t>
      </w:r>
      <w:r w:rsidR="003441B1">
        <w:rPr>
          <w:i/>
        </w:rPr>
        <w:t>.  This is important as</w:t>
      </w:r>
      <w:r>
        <w:rPr>
          <w:i/>
        </w:rPr>
        <w:t xml:space="preserve"> patients or</w:t>
      </w:r>
      <w:r w:rsidR="00CD1637">
        <w:rPr>
          <w:i/>
        </w:rPr>
        <w:t xml:space="preserve"> users will be able to observe their glucose trends very soon</w:t>
      </w:r>
      <w:r w:rsidR="003441B1">
        <w:rPr>
          <w:i/>
        </w:rPr>
        <w:t xml:space="preserve"> </w:t>
      </w:r>
      <w:r w:rsidR="003441B1" w:rsidRPr="003441B1">
        <w:rPr>
          <w:i/>
        </w:rPr>
        <w:t>after application of the skin-patch</w:t>
      </w:r>
      <w:r w:rsidR="003441B1">
        <w:rPr>
          <w:i/>
        </w:rPr>
        <w:t xml:space="preserve">, which we believe will result in increased </w:t>
      </w:r>
      <w:r w:rsidR="009F3DA1">
        <w:rPr>
          <w:i/>
        </w:rPr>
        <w:t xml:space="preserve">adoption of the device. </w:t>
      </w:r>
      <w:r w:rsidR="003441B1" w:rsidRPr="003441B1">
        <w:rPr>
          <w:i/>
        </w:rPr>
        <w:t xml:space="preserve"> </w:t>
      </w:r>
    </w:p>
    <w:p w14:paraId="438B0796" w14:textId="48678A9C" w:rsidR="003441B1" w:rsidRDefault="00944970" w:rsidP="003441B1">
      <w:pPr>
        <w:ind w:left="720"/>
        <w:rPr>
          <w:i/>
        </w:rPr>
      </w:pPr>
      <w:r>
        <w:rPr>
          <w:i/>
        </w:rPr>
        <w:t>W</w:t>
      </w:r>
      <w:r w:rsidR="00B542B5">
        <w:rPr>
          <w:i/>
        </w:rPr>
        <w:t xml:space="preserve">e have progressively built on </w:t>
      </w:r>
      <w:r w:rsidR="00A73B12">
        <w:rPr>
          <w:i/>
        </w:rPr>
        <w:t>our</w:t>
      </w:r>
      <w:r w:rsidR="00B542B5">
        <w:rPr>
          <w:i/>
        </w:rPr>
        <w:t xml:space="preserve"> state</w:t>
      </w:r>
      <w:r w:rsidR="00A73B12">
        <w:rPr>
          <w:i/>
        </w:rPr>
        <w:t>-</w:t>
      </w:r>
      <w:r w:rsidR="00B542B5">
        <w:rPr>
          <w:i/>
        </w:rPr>
        <w:t>of</w:t>
      </w:r>
      <w:r w:rsidR="00A73B12">
        <w:rPr>
          <w:i/>
        </w:rPr>
        <w:t>-</w:t>
      </w:r>
      <w:r w:rsidR="00B542B5">
        <w:rPr>
          <w:i/>
        </w:rPr>
        <w:t xml:space="preserve">the art </w:t>
      </w:r>
      <w:r w:rsidR="00A73B12">
        <w:rPr>
          <w:i/>
        </w:rPr>
        <w:t xml:space="preserve">platform </w:t>
      </w:r>
      <w:r w:rsidR="00B542B5">
        <w:rPr>
          <w:i/>
        </w:rPr>
        <w:t>to develop a world</w:t>
      </w:r>
      <w:r>
        <w:rPr>
          <w:i/>
        </w:rPr>
        <w:t>-</w:t>
      </w:r>
      <w:r w:rsidR="00B542B5">
        <w:rPr>
          <w:i/>
        </w:rPr>
        <w:t>first</w:t>
      </w:r>
      <w:r w:rsidR="00A73B12">
        <w:rPr>
          <w:i/>
        </w:rPr>
        <w:t>,</w:t>
      </w:r>
      <w:r w:rsidR="00B542B5">
        <w:rPr>
          <w:i/>
        </w:rPr>
        <w:t xml:space="preserve"> </w:t>
      </w:r>
      <w:r w:rsidR="003441B1">
        <w:rPr>
          <w:i/>
        </w:rPr>
        <w:t>non</w:t>
      </w:r>
      <w:r w:rsidR="003441B1" w:rsidRPr="003441B1">
        <w:rPr>
          <w:i/>
        </w:rPr>
        <w:t>-invasive, Continuous Glucose Monitor (CGM)</w:t>
      </w:r>
      <w:r w:rsidR="003441B1">
        <w:rPr>
          <w:i/>
        </w:rPr>
        <w:t xml:space="preserve">, </w:t>
      </w:r>
      <w:r w:rsidR="00B542B5">
        <w:rPr>
          <w:i/>
        </w:rPr>
        <w:t>which will be priced to be affordable</w:t>
      </w:r>
      <w:r w:rsidR="00A73B12">
        <w:rPr>
          <w:i/>
        </w:rPr>
        <w:t>.  SugarBEAT®</w:t>
      </w:r>
      <w:r>
        <w:rPr>
          <w:i/>
        </w:rPr>
        <w:t xml:space="preserve"> </w:t>
      </w:r>
      <w:r w:rsidR="00A73B12">
        <w:rPr>
          <w:i/>
        </w:rPr>
        <w:t xml:space="preserve">uniquely </w:t>
      </w:r>
      <w:r w:rsidR="00B542B5">
        <w:rPr>
          <w:i/>
        </w:rPr>
        <w:t>offer</w:t>
      </w:r>
      <w:r w:rsidR="00A73B12">
        <w:rPr>
          <w:i/>
        </w:rPr>
        <w:t>s</w:t>
      </w:r>
      <w:r w:rsidR="00535237">
        <w:rPr>
          <w:i/>
        </w:rPr>
        <w:t xml:space="preserve"> patients or</w:t>
      </w:r>
      <w:r w:rsidR="00B542B5">
        <w:rPr>
          <w:i/>
        </w:rPr>
        <w:t xml:space="preserve"> users flexibility </w:t>
      </w:r>
      <w:r>
        <w:rPr>
          <w:i/>
        </w:rPr>
        <w:t xml:space="preserve">as to </w:t>
      </w:r>
      <w:r w:rsidR="00B542B5">
        <w:rPr>
          <w:i/>
        </w:rPr>
        <w:t>when</w:t>
      </w:r>
      <w:r>
        <w:rPr>
          <w:i/>
        </w:rPr>
        <w:t xml:space="preserve"> and for how long</w:t>
      </w:r>
      <w:r w:rsidR="00B542B5">
        <w:rPr>
          <w:i/>
        </w:rPr>
        <w:t xml:space="preserve"> they wear the device, empower</w:t>
      </w:r>
      <w:r>
        <w:rPr>
          <w:i/>
        </w:rPr>
        <w:t>ing</w:t>
      </w:r>
      <w:r w:rsidR="00535237">
        <w:rPr>
          <w:i/>
        </w:rPr>
        <w:t xml:space="preserve"> patients or</w:t>
      </w:r>
      <w:r w:rsidR="00B542B5">
        <w:rPr>
          <w:i/>
        </w:rPr>
        <w:t xml:space="preserve"> users rather than making them dependent on technology. Overall</w:t>
      </w:r>
      <w:r>
        <w:rPr>
          <w:i/>
        </w:rPr>
        <w:t>,</w:t>
      </w:r>
      <w:r w:rsidR="00B542B5">
        <w:rPr>
          <w:i/>
        </w:rPr>
        <w:t xml:space="preserve"> we expect the device will</w:t>
      </w:r>
      <w:r w:rsidR="003441B1" w:rsidRPr="003441B1">
        <w:rPr>
          <w:i/>
        </w:rPr>
        <w:t xml:space="preserve"> help people </w:t>
      </w:r>
      <w:r w:rsidR="00B542B5">
        <w:rPr>
          <w:i/>
        </w:rPr>
        <w:t>with diabetes</w:t>
      </w:r>
      <w:r w:rsidR="003441B1" w:rsidRPr="003441B1">
        <w:rPr>
          <w:i/>
        </w:rPr>
        <w:t xml:space="preserve"> to better manage their glucose levels by spending more time in range.</w:t>
      </w:r>
      <w:r w:rsidR="007666EF" w:rsidRPr="007666EF">
        <w:t xml:space="preserve"> </w:t>
      </w:r>
      <w:r w:rsidR="007666EF" w:rsidRPr="007666EF">
        <w:rPr>
          <w:i/>
        </w:rPr>
        <w:t>With over 420 million diabetics worldwide and the number of pre-diabetics at almost three times this number, diabetes is a global healthcare concern</w:t>
      </w:r>
      <w:r w:rsidR="007666EF">
        <w:rPr>
          <w:i/>
        </w:rPr>
        <w:t xml:space="preserve"> and we believe SugarBEAT® is positioned to become a market leader, as </w:t>
      </w:r>
      <w:r w:rsidR="00B542B5">
        <w:rPr>
          <w:i/>
        </w:rPr>
        <w:t>it is expected to allow</w:t>
      </w:r>
      <w:r w:rsidR="007666EF">
        <w:rPr>
          <w:i/>
        </w:rPr>
        <w:t xml:space="preserve"> a</w:t>
      </w:r>
      <w:r w:rsidR="007666EF" w:rsidRPr="007666EF">
        <w:rPr>
          <w:i/>
        </w:rPr>
        <w:t xml:space="preserve"> person with diabetes </w:t>
      </w:r>
      <w:r w:rsidR="007666EF">
        <w:rPr>
          <w:i/>
        </w:rPr>
        <w:t>or</w:t>
      </w:r>
      <w:r w:rsidR="007666EF" w:rsidRPr="007666EF">
        <w:rPr>
          <w:i/>
        </w:rPr>
        <w:t xml:space="preserve"> pre-diabetics </w:t>
      </w:r>
      <w:r w:rsidR="007666EF">
        <w:rPr>
          <w:i/>
        </w:rPr>
        <w:t xml:space="preserve">to </w:t>
      </w:r>
      <w:r w:rsidR="007666EF" w:rsidRPr="007666EF">
        <w:rPr>
          <w:i/>
        </w:rPr>
        <w:t xml:space="preserve">better track how lifestyle factors can impact daily glucose level </w:t>
      </w:r>
      <w:r w:rsidR="007666EF" w:rsidRPr="007666EF">
        <w:rPr>
          <w:i/>
        </w:rPr>
        <w:lastRenderedPageBreak/>
        <w:t xml:space="preserve">trends thereby significantly improving the amount of daily time spent </w:t>
      </w:r>
      <w:r w:rsidR="00B542B5">
        <w:rPr>
          <w:i/>
        </w:rPr>
        <w:t>within a healthy glucose</w:t>
      </w:r>
      <w:r w:rsidR="007666EF" w:rsidRPr="007666EF">
        <w:rPr>
          <w:i/>
        </w:rPr>
        <w:t xml:space="preserve"> range.</w:t>
      </w:r>
    </w:p>
    <w:p w14:paraId="49630CFA" w14:textId="10120DD7" w:rsidR="00CA70EC" w:rsidRPr="005F45BA" w:rsidRDefault="00CA70EC" w:rsidP="00CA70EC">
      <w:pPr>
        <w:ind w:left="720"/>
        <w:rPr>
          <w:b/>
          <w:i/>
        </w:rPr>
      </w:pPr>
      <w:r>
        <w:rPr>
          <w:b/>
          <w:i/>
        </w:rPr>
        <w:t>Approval Timelines for Anticipated Commercial Launch</w:t>
      </w:r>
    </w:p>
    <w:p w14:paraId="53676C87" w14:textId="07BF3BAF" w:rsidR="001B782C" w:rsidRDefault="001B782C" w:rsidP="00B33D8D">
      <w:pPr>
        <w:ind w:left="720"/>
        <w:rPr>
          <w:i/>
        </w:rPr>
      </w:pPr>
      <w:r>
        <w:rPr>
          <w:i/>
        </w:rPr>
        <w:t xml:space="preserve">We </w:t>
      </w:r>
      <w:r w:rsidR="00B542B5">
        <w:rPr>
          <w:i/>
        </w:rPr>
        <w:t>continue to make significant</w:t>
      </w:r>
      <w:r>
        <w:rPr>
          <w:i/>
        </w:rPr>
        <w:t xml:space="preserve"> progress towards completion of our CE Mark. We are working closely with our </w:t>
      </w:r>
      <w:r w:rsidRPr="001B782C">
        <w:rPr>
          <w:i/>
        </w:rPr>
        <w:t>designated European Notified Body,</w:t>
      </w:r>
      <w:r w:rsidR="00CA70EC">
        <w:rPr>
          <w:i/>
        </w:rPr>
        <w:t xml:space="preserve"> British Standards Institute</w:t>
      </w:r>
      <w:r w:rsidRPr="001B782C">
        <w:rPr>
          <w:i/>
        </w:rPr>
        <w:t xml:space="preserve"> </w:t>
      </w:r>
      <w:r w:rsidR="00CA70EC">
        <w:rPr>
          <w:i/>
        </w:rPr>
        <w:t>(</w:t>
      </w:r>
      <w:r w:rsidRPr="001B782C">
        <w:rPr>
          <w:i/>
        </w:rPr>
        <w:t>BSI</w:t>
      </w:r>
      <w:r w:rsidR="00CA70EC">
        <w:rPr>
          <w:i/>
        </w:rPr>
        <w:t>)</w:t>
      </w:r>
      <w:r w:rsidRPr="001B782C">
        <w:rPr>
          <w:i/>
        </w:rPr>
        <w:t>, a global leader in accreditation services</w:t>
      </w:r>
      <w:r>
        <w:rPr>
          <w:i/>
        </w:rPr>
        <w:t xml:space="preserve">, </w:t>
      </w:r>
      <w:r w:rsidRPr="001B782C">
        <w:rPr>
          <w:i/>
        </w:rPr>
        <w:t>on a Fast Track application</w:t>
      </w:r>
      <w:r>
        <w:rPr>
          <w:i/>
        </w:rPr>
        <w:t xml:space="preserve">. </w:t>
      </w:r>
      <w:r w:rsidRPr="001B782C">
        <w:rPr>
          <w:i/>
        </w:rPr>
        <w:t>The clinical review was completed in December 2018</w:t>
      </w:r>
      <w:r w:rsidR="00535237">
        <w:rPr>
          <w:i/>
        </w:rPr>
        <w:t>,</w:t>
      </w:r>
      <w:r w:rsidRPr="001B782C">
        <w:rPr>
          <w:i/>
        </w:rPr>
        <w:t xml:space="preserve"> </w:t>
      </w:r>
      <w:r w:rsidR="00EC2C18">
        <w:rPr>
          <w:i/>
        </w:rPr>
        <w:t xml:space="preserve">and </w:t>
      </w:r>
      <w:r w:rsidR="00B542B5">
        <w:rPr>
          <w:i/>
        </w:rPr>
        <w:t>based on the ongoing dialogue</w:t>
      </w:r>
      <w:r w:rsidR="00CA70EC">
        <w:rPr>
          <w:i/>
        </w:rPr>
        <w:t>,</w:t>
      </w:r>
      <w:r w:rsidR="00B542B5">
        <w:rPr>
          <w:i/>
        </w:rPr>
        <w:t xml:space="preserve"> we are now in the final stages of the review process</w:t>
      </w:r>
      <w:r w:rsidRPr="001B782C">
        <w:rPr>
          <w:i/>
        </w:rPr>
        <w:t xml:space="preserve">, after which Nemaura expects CE approval will be issued. </w:t>
      </w:r>
      <w:r w:rsidR="00EC2C18">
        <w:rPr>
          <w:i/>
        </w:rPr>
        <w:t xml:space="preserve">We </w:t>
      </w:r>
      <w:r w:rsidR="00B542B5">
        <w:rPr>
          <w:i/>
        </w:rPr>
        <w:t>have made</w:t>
      </w:r>
      <w:r w:rsidR="00EC2C18">
        <w:rPr>
          <w:i/>
        </w:rPr>
        <w:t xml:space="preserve"> further enhancements </w:t>
      </w:r>
      <w:r w:rsidR="00B33D8D">
        <w:rPr>
          <w:i/>
        </w:rPr>
        <w:t xml:space="preserve">to the product </w:t>
      </w:r>
      <w:r w:rsidR="00EC2C18">
        <w:rPr>
          <w:i/>
        </w:rPr>
        <w:t xml:space="preserve">as agreed to by BSI, and look forward to providing a comprehensive update in the coming weeks. </w:t>
      </w:r>
    </w:p>
    <w:p w14:paraId="169A8866" w14:textId="0B1185E5" w:rsidR="00EC2C18" w:rsidRPr="00EC2C18" w:rsidRDefault="00EC2C18" w:rsidP="00EC2C18">
      <w:pPr>
        <w:ind w:left="720"/>
        <w:rPr>
          <w:i/>
        </w:rPr>
      </w:pPr>
      <w:r>
        <w:rPr>
          <w:i/>
        </w:rPr>
        <w:t xml:space="preserve">Regarding the </w:t>
      </w:r>
      <w:r w:rsidRPr="00EC2C18">
        <w:rPr>
          <w:i/>
        </w:rPr>
        <w:t>U.S. Food &amp; Drug Administration (“FDA”)</w:t>
      </w:r>
      <w:r>
        <w:rPr>
          <w:i/>
        </w:rPr>
        <w:t xml:space="preserve">, we recently announced </w:t>
      </w:r>
      <w:r w:rsidR="00CA70EC">
        <w:rPr>
          <w:i/>
        </w:rPr>
        <w:t xml:space="preserve">that </w:t>
      </w:r>
      <w:r>
        <w:rPr>
          <w:i/>
        </w:rPr>
        <w:t>we</w:t>
      </w:r>
      <w:r w:rsidR="00CA70EC">
        <w:rPr>
          <w:i/>
        </w:rPr>
        <w:t xml:space="preserve"> have</w:t>
      </w:r>
      <w:r>
        <w:rPr>
          <w:i/>
        </w:rPr>
        <w:t xml:space="preserve"> s</w:t>
      </w:r>
      <w:r w:rsidRPr="00EC2C18">
        <w:rPr>
          <w:i/>
        </w:rPr>
        <w:t xml:space="preserve">uccessfully completed the clinical studies needed to support </w:t>
      </w:r>
      <w:r w:rsidR="009206C5">
        <w:rPr>
          <w:i/>
        </w:rPr>
        <w:t>our</w:t>
      </w:r>
      <w:r w:rsidRPr="00EC2C18">
        <w:rPr>
          <w:i/>
        </w:rPr>
        <w:t xml:space="preserve"> </w:t>
      </w:r>
      <w:r w:rsidR="009206C5">
        <w:rPr>
          <w:i/>
        </w:rPr>
        <w:t xml:space="preserve">FDA </w:t>
      </w:r>
      <w:r w:rsidRPr="00EC2C18">
        <w:rPr>
          <w:i/>
        </w:rPr>
        <w:t xml:space="preserve">submission for approval of </w:t>
      </w:r>
      <w:r>
        <w:rPr>
          <w:i/>
        </w:rPr>
        <w:t>S</w:t>
      </w:r>
      <w:r w:rsidRPr="00EC2C18">
        <w:rPr>
          <w:i/>
        </w:rPr>
        <w:t>ugarBEAT®</w:t>
      </w:r>
      <w:r w:rsidR="003D5CC9">
        <w:rPr>
          <w:i/>
        </w:rPr>
        <w:t xml:space="preserve"> in the USA</w:t>
      </w:r>
      <w:r w:rsidRPr="00EC2C18">
        <w:rPr>
          <w:i/>
        </w:rPr>
        <w:t>.</w:t>
      </w:r>
      <w:r w:rsidR="00B33D8D">
        <w:rPr>
          <w:i/>
        </w:rPr>
        <w:t xml:space="preserve"> </w:t>
      </w:r>
      <w:r w:rsidRPr="00EC2C18">
        <w:rPr>
          <w:i/>
        </w:rPr>
        <w:t xml:space="preserve">The clinical studies used were split between Type I and Type II diabetics, and consisted of 75 patients over 225 patient days. The studies generated over 12,000 paired data points, with blood samples taken via catheter every 15 minutes over a </w:t>
      </w:r>
      <w:r w:rsidR="001E611B" w:rsidRPr="00EC2C18">
        <w:rPr>
          <w:i/>
        </w:rPr>
        <w:t>12-hour</w:t>
      </w:r>
      <w:r w:rsidRPr="00EC2C18">
        <w:rPr>
          <w:i/>
        </w:rPr>
        <w:t xml:space="preserve"> period for </w:t>
      </w:r>
      <w:r w:rsidR="00CA70EC">
        <w:rPr>
          <w:i/>
        </w:rPr>
        <w:t>three</w:t>
      </w:r>
      <w:r w:rsidRPr="00EC2C18">
        <w:rPr>
          <w:i/>
        </w:rPr>
        <w:t xml:space="preserve"> non-consecutive days for each patient.</w:t>
      </w:r>
      <w:r>
        <w:rPr>
          <w:i/>
        </w:rPr>
        <w:t xml:space="preserve"> </w:t>
      </w:r>
      <w:r w:rsidRPr="00EC2C18">
        <w:rPr>
          <w:i/>
        </w:rPr>
        <w:t>The study design was based on two previous pre-sub meetings Nemaura held with the FDA, ensuring</w:t>
      </w:r>
      <w:r w:rsidR="00F21876">
        <w:rPr>
          <w:i/>
        </w:rPr>
        <w:t xml:space="preserve"> that</w:t>
      </w:r>
      <w:r w:rsidRPr="00EC2C18">
        <w:rPr>
          <w:i/>
        </w:rPr>
        <w:t xml:space="preserve"> the study </w:t>
      </w:r>
      <w:r w:rsidR="00F21876">
        <w:rPr>
          <w:i/>
        </w:rPr>
        <w:t>meet adequacy requirements</w:t>
      </w:r>
      <w:r w:rsidRPr="00EC2C18">
        <w:rPr>
          <w:i/>
        </w:rPr>
        <w:t xml:space="preserve"> to provide statistically valid results.</w:t>
      </w:r>
    </w:p>
    <w:p w14:paraId="43033665" w14:textId="6646017A" w:rsidR="00EC2C18" w:rsidRDefault="005202A1" w:rsidP="00EC2C18">
      <w:pPr>
        <w:ind w:left="720"/>
        <w:rPr>
          <w:i/>
        </w:rPr>
      </w:pPr>
      <w:r>
        <w:rPr>
          <w:i/>
        </w:rPr>
        <w:t>T</w:t>
      </w:r>
      <w:r w:rsidR="00EC2C18" w:rsidRPr="00EC2C18">
        <w:rPr>
          <w:i/>
        </w:rPr>
        <w:t xml:space="preserve">he clinical study results indicated a MARD (Mean Absolute Relative Difference) of 11.92% (with a lower figure denoting greater accuracy), using a single point finger stick calibration. </w:t>
      </w:r>
      <w:r w:rsidR="00F21876">
        <w:rPr>
          <w:i/>
        </w:rPr>
        <w:t>N</w:t>
      </w:r>
      <w:r w:rsidR="00EC2C18" w:rsidRPr="00EC2C18">
        <w:rPr>
          <w:i/>
        </w:rPr>
        <w:t>o device</w:t>
      </w:r>
      <w:r w:rsidR="00F21876">
        <w:rPr>
          <w:i/>
        </w:rPr>
        <w:t>-</w:t>
      </w:r>
      <w:r w:rsidR="00EC2C18" w:rsidRPr="00EC2C18">
        <w:rPr>
          <w:i/>
        </w:rPr>
        <w:t>related adverse events</w:t>
      </w:r>
      <w:r w:rsidR="00F21876">
        <w:rPr>
          <w:i/>
        </w:rPr>
        <w:t xml:space="preserve"> were noted</w:t>
      </w:r>
      <w:r w:rsidR="00EC2C18" w:rsidRPr="00EC2C18">
        <w:rPr>
          <w:i/>
        </w:rPr>
        <w:t xml:space="preserve">. </w:t>
      </w:r>
      <w:r w:rsidR="001E611B">
        <w:rPr>
          <w:i/>
        </w:rPr>
        <w:t xml:space="preserve">  We are </w:t>
      </w:r>
      <w:r w:rsidR="00B542B5">
        <w:rPr>
          <w:i/>
        </w:rPr>
        <w:t xml:space="preserve">currently preparing our dossier for FDA submission. </w:t>
      </w:r>
    </w:p>
    <w:p w14:paraId="2D9594EA" w14:textId="5ED64618" w:rsidR="00F21876" w:rsidRPr="005F45BA" w:rsidRDefault="00F21876" w:rsidP="00EC2C18">
      <w:pPr>
        <w:ind w:left="720"/>
        <w:rPr>
          <w:b/>
          <w:i/>
        </w:rPr>
      </w:pPr>
      <w:r>
        <w:rPr>
          <w:b/>
          <w:i/>
        </w:rPr>
        <w:t>Corporate Finance</w:t>
      </w:r>
    </w:p>
    <w:p w14:paraId="210133A2" w14:textId="3C841A95" w:rsidR="00F21876" w:rsidRDefault="00CE3600" w:rsidP="005202A1">
      <w:pPr>
        <w:ind w:left="720"/>
        <w:rPr>
          <w:i/>
        </w:rPr>
      </w:pPr>
      <w:r>
        <w:rPr>
          <w:i/>
        </w:rPr>
        <w:t>We</w:t>
      </w:r>
      <w:r w:rsidR="000734E0" w:rsidRPr="00F21876">
        <w:rPr>
          <w:i/>
        </w:rPr>
        <w:t xml:space="preserve"> filed a Form S-3 “shelf</w:t>
      </w:r>
      <w:r>
        <w:rPr>
          <w:i/>
        </w:rPr>
        <w:t xml:space="preserve"> </w:t>
      </w:r>
      <w:r w:rsidR="000734E0" w:rsidRPr="00F21876">
        <w:rPr>
          <w:i/>
        </w:rPr>
        <w:t xml:space="preserve">registration” with the Securities </w:t>
      </w:r>
      <w:r>
        <w:rPr>
          <w:i/>
        </w:rPr>
        <w:t>and</w:t>
      </w:r>
      <w:r w:rsidR="000734E0" w:rsidRPr="00F21876">
        <w:rPr>
          <w:i/>
        </w:rPr>
        <w:t xml:space="preserve"> Exchange Commission</w:t>
      </w:r>
      <w:r w:rsidR="00F21876">
        <w:rPr>
          <w:i/>
        </w:rPr>
        <w:t xml:space="preserve"> (SEC)</w:t>
      </w:r>
      <w:r w:rsidR="000734E0" w:rsidRPr="00F21876">
        <w:rPr>
          <w:i/>
        </w:rPr>
        <w:t xml:space="preserve">, </w:t>
      </w:r>
      <w:r>
        <w:rPr>
          <w:i/>
        </w:rPr>
        <w:t>whereas the</w:t>
      </w:r>
      <w:r w:rsidR="000734E0" w:rsidRPr="00F21876">
        <w:rPr>
          <w:i/>
        </w:rPr>
        <w:t xml:space="preserve"> </w:t>
      </w:r>
      <w:r w:rsidR="00DC5C82" w:rsidRPr="00F21876">
        <w:rPr>
          <w:i/>
        </w:rPr>
        <w:t>previous</w:t>
      </w:r>
      <w:r w:rsidR="000734E0" w:rsidRPr="00F21876">
        <w:rPr>
          <w:i/>
        </w:rPr>
        <w:t xml:space="preserve"> shelf registration already on file</w:t>
      </w:r>
      <w:r>
        <w:rPr>
          <w:i/>
        </w:rPr>
        <w:t xml:space="preserve"> is set to expire this month</w:t>
      </w:r>
      <w:r w:rsidR="000734E0" w:rsidRPr="00F21876">
        <w:rPr>
          <w:i/>
        </w:rPr>
        <w:t xml:space="preserve">.  The registration provides the Company </w:t>
      </w:r>
      <w:r w:rsidR="00387B03" w:rsidRPr="00F21876">
        <w:rPr>
          <w:i/>
        </w:rPr>
        <w:t xml:space="preserve">continued </w:t>
      </w:r>
      <w:r w:rsidR="000734E0" w:rsidRPr="00F21876">
        <w:rPr>
          <w:i/>
        </w:rPr>
        <w:t xml:space="preserve">flexibility to </w:t>
      </w:r>
      <w:r w:rsidR="00264117" w:rsidRPr="00F21876">
        <w:rPr>
          <w:i/>
        </w:rPr>
        <w:t>raise capital</w:t>
      </w:r>
      <w:r w:rsidR="000734E0" w:rsidRPr="00F21876">
        <w:rPr>
          <w:i/>
        </w:rPr>
        <w:t xml:space="preserve"> </w:t>
      </w:r>
      <w:r w:rsidR="00264117" w:rsidRPr="00F21876">
        <w:rPr>
          <w:i/>
        </w:rPr>
        <w:t>if and when needed to execute on our growth strategy</w:t>
      </w:r>
      <w:r w:rsidR="000734E0" w:rsidRPr="00F21876">
        <w:rPr>
          <w:i/>
        </w:rPr>
        <w:t>.  Clearly, we are very cognizant of dilution, especially with our upcoming milestones and</w:t>
      </w:r>
      <w:r w:rsidR="00F21876">
        <w:rPr>
          <w:i/>
        </w:rPr>
        <w:t>,</w:t>
      </w:r>
      <w:r w:rsidR="000734E0" w:rsidRPr="00F21876">
        <w:rPr>
          <w:i/>
        </w:rPr>
        <w:t xml:space="preserve"> therefore, will be mindful and selective regarding the timing and pricing of any future capital raise.</w:t>
      </w:r>
    </w:p>
    <w:p w14:paraId="6F6FB238" w14:textId="32FCAAAF" w:rsidR="000734E0" w:rsidRPr="005F45BA" w:rsidRDefault="00F21876" w:rsidP="005202A1">
      <w:pPr>
        <w:ind w:left="720"/>
        <w:rPr>
          <w:i/>
        </w:rPr>
      </w:pPr>
      <w:r>
        <w:rPr>
          <w:b/>
          <w:i/>
        </w:rPr>
        <w:t>Outlook</w:t>
      </w:r>
    </w:p>
    <w:p w14:paraId="4B9F6EA7" w14:textId="64E7948D" w:rsidR="00F21876" w:rsidRDefault="00F21876" w:rsidP="005202A1">
      <w:pPr>
        <w:ind w:left="720"/>
        <w:rPr>
          <w:i/>
        </w:rPr>
      </w:pPr>
      <w:r>
        <w:rPr>
          <w:i/>
        </w:rPr>
        <w:t>T</w:t>
      </w:r>
      <w:r w:rsidR="00EC2C18">
        <w:rPr>
          <w:i/>
        </w:rPr>
        <w:t>he outlook for the busines</w:t>
      </w:r>
      <w:r w:rsidR="00B33D8D">
        <w:rPr>
          <w:i/>
        </w:rPr>
        <w:t>s</w:t>
      </w:r>
      <w:r>
        <w:rPr>
          <w:i/>
        </w:rPr>
        <w:t xml:space="preserve"> is extremely encouraging</w:t>
      </w:r>
      <w:r w:rsidR="00EC2C18">
        <w:rPr>
          <w:i/>
        </w:rPr>
        <w:t xml:space="preserve"> and </w:t>
      </w:r>
      <w:r>
        <w:rPr>
          <w:i/>
        </w:rPr>
        <w:t xml:space="preserve">we </w:t>
      </w:r>
      <w:r w:rsidR="005202A1">
        <w:rPr>
          <w:i/>
        </w:rPr>
        <w:t xml:space="preserve">are </w:t>
      </w:r>
      <w:r w:rsidR="00EC2C18">
        <w:rPr>
          <w:i/>
        </w:rPr>
        <w:t>confident in our ability to secure regulatory approval in the foreseeable future.  Moreover, t</w:t>
      </w:r>
      <w:r w:rsidR="00EC2C18" w:rsidRPr="00EC2C18">
        <w:rPr>
          <w:i/>
        </w:rPr>
        <w:t>he global addressable market for CGM is estimated at $82</w:t>
      </w:r>
      <w:r w:rsidR="00EC2C18">
        <w:rPr>
          <w:i/>
        </w:rPr>
        <w:t xml:space="preserve"> billion</w:t>
      </w:r>
      <w:r w:rsidR="00EC2C18" w:rsidRPr="00EC2C18">
        <w:rPr>
          <w:i/>
        </w:rPr>
        <w:t xml:space="preserve"> per </w:t>
      </w:r>
      <w:r w:rsidR="00EC2C18">
        <w:rPr>
          <w:i/>
        </w:rPr>
        <w:t>year</w:t>
      </w:r>
      <w:r w:rsidR="00EC2C18" w:rsidRPr="00EC2C18">
        <w:rPr>
          <w:i/>
        </w:rPr>
        <w:t xml:space="preserve">, </w:t>
      </w:r>
      <w:r w:rsidR="00EC2C18">
        <w:rPr>
          <w:i/>
        </w:rPr>
        <w:t xml:space="preserve">and over $13 billion in </w:t>
      </w:r>
      <w:r w:rsidR="00EC2C18" w:rsidRPr="00EC2C18">
        <w:rPr>
          <w:i/>
        </w:rPr>
        <w:t xml:space="preserve">the U.S. </w:t>
      </w:r>
      <w:r w:rsidR="00EC2C18">
        <w:rPr>
          <w:i/>
        </w:rPr>
        <w:t xml:space="preserve">alone.  </w:t>
      </w:r>
      <w:r w:rsidR="00B542B5">
        <w:rPr>
          <w:i/>
        </w:rPr>
        <w:t xml:space="preserve">Our product </w:t>
      </w:r>
      <w:r>
        <w:rPr>
          <w:i/>
        </w:rPr>
        <w:t xml:space="preserve">includes </w:t>
      </w:r>
      <w:r w:rsidR="00B542B5">
        <w:rPr>
          <w:i/>
        </w:rPr>
        <w:t>significant</w:t>
      </w:r>
      <w:r>
        <w:rPr>
          <w:i/>
        </w:rPr>
        <w:t xml:space="preserve"> and</w:t>
      </w:r>
      <w:r w:rsidR="00B542B5">
        <w:rPr>
          <w:i/>
        </w:rPr>
        <w:t xml:space="preserve"> unique features that the competition does not provide, in particular the non-invasive nature of the device and the flexible wear period. We believe these</w:t>
      </w:r>
      <w:r>
        <w:rPr>
          <w:i/>
        </w:rPr>
        <w:t xml:space="preserve"> advantages</w:t>
      </w:r>
      <w:r w:rsidR="00B542B5">
        <w:rPr>
          <w:i/>
        </w:rPr>
        <w:t xml:space="preserve"> will allow </w:t>
      </w:r>
      <w:r>
        <w:rPr>
          <w:i/>
        </w:rPr>
        <w:t>S</w:t>
      </w:r>
      <w:r w:rsidR="00B542B5">
        <w:rPr>
          <w:i/>
        </w:rPr>
        <w:t>ugarBEAT</w:t>
      </w:r>
      <w:r w:rsidRPr="00EC2C18">
        <w:rPr>
          <w:i/>
        </w:rPr>
        <w:t>®</w:t>
      </w:r>
      <w:r w:rsidR="00B542B5">
        <w:rPr>
          <w:i/>
        </w:rPr>
        <w:t xml:space="preserve"> to becom</w:t>
      </w:r>
      <w:r w:rsidR="00E9385E">
        <w:rPr>
          <w:i/>
        </w:rPr>
        <w:t>e adopted by a very large and diverse</w:t>
      </w:r>
      <w:r>
        <w:rPr>
          <w:i/>
        </w:rPr>
        <w:t xml:space="preserve"> patient and</w:t>
      </w:r>
      <w:r w:rsidR="00E9385E">
        <w:rPr>
          <w:i/>
        </w:rPr>
        <w:t xml:space="preserve"> user group</w:t>
      </w:r>
      <w:r w:rsidR="00A73B12">
        <w:rPr>
          <w:i/>
        </w:rPr>
        <w:t>,</w:t>
      </w:r>
      <w:r w:rsidR="00B542B5">
        <w:rPr>
          <w:i/>
        </w:rPr>
        <w:t xml:space="preserve"> </w:t>
      </w:r>
      <w:r w:rsidR="00DC5989">
        <w:rPr>
          <w:i/>
        </w:rPr>
        <w:t>thus driving shareholder value.</w:t>
      </w:r>
      <w:r>
        <w:rPr>
          <w:i/>
        </w:rPr>
        <w:t xml:space="preserve">  </w:t>
      </w:r>
    </w:p>
    <w:p w14:paraId="0B7B7B4C" w14:textId="5D291CE4" w:rsidR="00F21876" w:rsidRDefault="00F21876" w:rsidP="005202A1">
      <w:pPr>
        <w:ind w:left="720"/>
        <w:rPr>
          <w:i/>
        </w:rPr>
      </w:pPr>
      <w:r>
        <w:rPr>
          <w:i/>
        </w:rPr>
        <w:t>We highly value each of you, our shareholders, and tha</w:t>
      </w:r>
      <w:r w:rsidR="00CE3600">
        <w:rPr>
          <w:i/>
        </w:rPr>
        <w:t>nk</w:t>
      </w:r>
      <w:r>
        <w:rPr>
          <w:i/>
        </w:rPr>
        <w:t xml:space="preserve"> you for placing your confidence in us as we move</w:t>
      </w:r>
      <w:r w:rsidR="00CE3600">
        <w:rPr>
          <w:i/>
        </w:rPr>
        <w:t xml:space="preserve"> efficiently</w:t>
      </w:r>
      <w:r>
        <w:rPr>
          <w:i/>
        </w:rPr>
        <w:t xml:space="preserve"> towards commercial launch of SugarBEAT</w:t>
      </w:r>
      <w:r w:rsidRPr="00EC2C18">
        <w:rPr>
          <w:i/>
        </w:rPr>
        <w:t>®</w:t>
      </w:r>
      <w:r>
        <w:rPr>
          <w:i/>
        </w:rPr>
        <w:t>.</w:t>
      </w:r>
    </w:p>
    <w:p w14:paraId="4D042950" w14:textId="77777777" w:rsidR="00F21876" w:rsidRDefault="00F21876" w:rsidP="005202A1">
      <w:pPr>
        <w:ind w:left="720"/>
        <w:rPr>
          <w:i/>
        </w:rPr>
      </w:pPr>
      <w:r>
        <w:rPr>
          <w:i/>
        </w:rPr>
        <w:t>Sincerely,</w:t>
      </w:r>
    </w:p>
    <w:p w14:paraId="45B5F0C0" w14:textId="1BC3FCDC" w:rsidR="00F21876" w:rsidRPr="00F21876" w:rsidRDefault="00F21876" w:rsidP="005202A1">
      <w:pPr>
        <w:ind w:left="720"/>
        <w:rPr>
          <w:i/>
        </w:rPr>
      </w:pPr>
      <w:r w:rsidRPr="005F45BA">
        <w:rPr>
          <w:i/>
        </w:rPr>
        <w:lastRenderedPageBreak/>
        <w:t>Dr. Faz Chowdhury</w:t>
      </w:r>
      <w:r>
        <w:rPr>
          <w:i/>
        </w:rPr>
        <w:t>, CEO, Nemaura Medical</w:t>
      </w:r>
    </w:p>
    <w:p w14:paraId="2B7F34D5" w14:textId="7FB78948" w:rsidR="00887FBE" w:rsidRPr="00887FBE" w:rsidRDefault="00887FBE" w:rsidP="00D97438">
      <w:pPr>
        <w:rPr>
          <w:b/>
        </w:rPr>
      </w:pPr>
      <w:r w:rsidRPr="00887FBE">
        <w:rPr>
          <w:b/>
        </w:rPr>
        <w:t>About Nemaura Medical, Inc.</w:t>
      </w:r>
    </w:p>
    <w:p w14:paraId="7814C677" w14:textId="77777777" w:rsidR="00887FBE" w:rsidRDefault="00887FBE" w:rsidP="00887FBE">
      <w:r>
        <w:t>Nemaura Medical, Inc. (NASDAQ: NMRD), is a medical technology company developing SugarBEAT® as a non-invasive, affordable and flexible Continuous Glucose Monitor (CGM) designed to help people with diabetes and pre-diabetics better manage their glucose levels by spending more time in range. Insulin users can adjunctively use SugarBEAT® when calibrated by a finger stick reading. SugarBEAT® consists of a daily, disposable adhesive skin-patch connected to a small form factor rechargeable transmitter, connected via Bluetooth to a specially designed mobile application, which displays glucose readings at five-minute intervals throughout the day.</w:t>
      </w:r>
    </w:p>
    <w:p w14:paraId="61E505A3" w14:textId="77777777" w:rsidR="00887FBE" w:rsidRPr="00887FBE" w:rsidRDefault="00887FBE" w:rsidP="00887FBE">
      <w:pPr>
        <w:rPr>
          <w:b/>
        </w:rPr>
      </w:pPr>
      <w:r w:rsidRPr="00887FBE">
        <w:rPr>
          <w:b/>
        </w:rPr>
        <w:t>For more information visit:</w:t>
      </w:r>
    </w:p>
    <w:p w14:paraId="306E572D" w14:textId="77777777" w:rsidR="00887FBE" w:rsidRDefault="00887FBE" w:rsidP="00887FBE">
      <w:r>
        <w:t>www.NemauraMedical.com</w:t>
      </w:r>
    </w:p>
    <w:p w14:paraId="3E663835" w14:textId="77777777" w:rsidR="00887FBE" w:rsidRDefault="00887FBE" w:rsidP="00887FBE">
      <w:r>
        <w:t>www.SugarBEAT.com</w:t>
      </w:r>
    </w:p>
    <w:p w14:paraId="691DB5BD" w14:textId="41EEDFEE" w:rsidR="00887FBE" w:rsidRPr="00887FBE" w:rsidRDefault="00887FBE" w:rsidP="00887FBE">
      <w:pPr>
        <w:rPr>
          <w:b/>
        </w:rPr>
      </w:pPr>
      <w:r w:rsidRPr="00887FBE">
        <w:rPr>
          <w:b/>
        </w:rPr>
        <w:t>Cautionary Statement Regarding Forward Looking Statements:</w:t>
      </w:r>
    </w:p>
    <w:p w14:paraId="6C72AC32" w14:textId="37270B5A" w:rsidR="00887FBE" w:rsidRDefault="00887FBE" w:rsidP="00887FBE">
      <w:r>
        <w:t>The statements in this press release that are not historical facts, and may constitute forward-looking statements that are based on current expectations and are subject to risks and uncertainties that could cause actual future results to differ materially from those expressed or implied by such statements. Those risks and uncertainties include, but are not limited to, risks related to regulatory approvals and the success of Nemaura’s ongoing studies, including the safety and efficacy of Nemaura’s SugarBEAT® system, the failure of future development and preliminary marketing efforts, Nemaura’s ability to secure additional commercial partnering arrangements, risks and uncertainties relating to Nemaura and its partners’ ability to develop, market and sell SugarBEAT®, the availability of substantial additional equity or debt capital to support its research, development and product commercialization activities, and the success of its research, development, regulatory approval, marketing and distribution plans and strategies, including those plans and strategies related to SugarBEAT®. These and other risks and uncertainties are identified and described in more detail in Nemaura’s filings with the Securities and Exchange Commission, including, without limitation, its Annual Report on Form 10-K for the current year, its Quarterly Reports on Form 10-Q, and its Current Reports on Form 8-K. Nemaura undertakes no obligation to publicly update or revise any forward-looking statements.</w:t>
      </w:r>
    </w:p>
    <w:p w14:paraId="6F1BB22F" w14:textId="77777777" w:rsidR="00E4599D" w:rsidRPr="00501D55" w:rsidRDefault="00E4599D" w:rsidP="00E4599D">
      <w:pPr>
        <w:rPr>
          <w:b/>
        </w:rPr>
      </w:pPr>
      <w:r w:rsidRPr="00501D55">
        <w:rPr>
          <w:b/>
        </w:rPr>
        <w:t>Contact:</w:t>
      </w:r>
    </w:p>
    <w:p w14:paraId="148FB3A2" w14:textId="7E7CB7FA" w:rsidR="00E4599D" w:rsidRPr="00170AC9" w:rsidRDefault="00E4599D" w:rsidP="00E4599D">
      <w:r>
        <w:t>Crescendo Communications, LLC</w:t>
      </w:r>
      <w:r>
        <w:br/>
        <w:t>212-671-1021</w:t>
      </w:r>
      <w:r>
        <w:br/>
      </w:r>
      <w:hyperlink r:id="rId7" w:history="1">
        <w:r w:rsidRPr="005341E2">
          <w:rPr>
            <w:rStyle w:val="Hyperlink"/>
          </w:rPr>
          <w:t>NMRD@crescendo-ir.com</w:t>
        </w:r>
      </w:hyperlink>
      <w:r>
        <w:t xml:space="preserve"> </w:t>
      </w:r>
    </w:p>
    <w:p w14:paraId="3773C364" w14:textId="77777777" w:rsidR="00E4599D" w:rsidRDefault="00E4599D" w:rsidP="00887FBE"/>
    <w:sectPr w:rsidR="00E4599D" w:rsidSect="00887FBE">
      <w:headerReference w:type="default" r:id="rId8"/>
      <w:headerReference w:type="firs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740A04" w14:textId="77777777" w:rsidR="004321D8" w:rsidRDefault="004321D8" w:rsidP="00887FBE">
      <w:pPr>
        <w:spacing w:after="0" w:line="240" w:lineRule="auto"/>
      </w:pPr>
      <w:r>
        <w:separator/>
      </w:r>
    </w:p>
  </w:endnote>
  <w:endnote w:type="continuationSeparator" w:id="0">
    <w:p w14:paraId="05C738B7" w14:textId="77777777" w:rsidR="004321D8" w:rsidRDefault="004321D8" w:rsidP="00887FBE">
      <w:pPr>
        <w:spacing w:after="0" w:line="240" w:lineRule="auto"/>
      </w:pPr>
      <w:r>
        <w:continuationSeparator/>
      </w:r>
    </w:p>
  </w:endnote>
  <w:endnote w:type="continuationNotice" w:id="1">
    <w:p w14:paraId="54D0F047" w14:textId="77777777" w:rsidR="004321D8" w:rsidRDefault="004321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946919" w14:textId="77777777" w:rsidR="004321D8" w:rsidRDefault="004321D8" w:rsidP="00887FBE">
      <w:pPr>
        <w:spacing w:after="0" w:line="240" w:lineRule="auto"/>
      </w:pPr>
      <w:r>
        <w:separator/>
      </w:r>
    </w:p>
  </w:footnote>
  <w:footnote w:type="continuationSeparator" w:id="0">
    <w:p w14:paraId="19853BE7" w14:textId="77777777" w:rsidR="004321D8" w:rsidRDefault="004321D8" w:rsidP="00887FBE">
      <w:pPr>
        <w:spacing w:after="0" w:line="240" w:lineRule="auto"/>
      </w:pPr>
      <w:r>
        <w:continuationSeparator/>
      </w:r>
    </w:p>
  </w:footnote>
  <w:footnote w:type="continuationNotice" w:id="1">
    <w:p w14:paraId="6BD8DBBC" w14:textId="77777777" w:rsidR="004321D8" w:rsidRDefault="004321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68AF0F" w14:textId="004546C5" w:rsidR="003D5CC9" w:rsidRDefault="003D5CC9">
    <w:pPr>
      <w:pStyle w:val="Header"/>
    </w:pPr>
  </w:p>
  <w:p w14:paraId="199CDFE0" w14:textId="77777777" w:rsidR="003D5CC9" w:rsidRDefault="003D5C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3E33D" w14:textId="44739E7E" w:rsidR="003D5CC9" w:rsidRDefault="003D5CC9" w:rsidP="00887FBE">
    <w:pPr>
      <w:pStyle w:val="Header"/>
      <w:jc w:val="center"/>
    </w:pPr>
    <w:r w:rsidRPr="00887FBE">
      <w:rPr>
        <w:noProof/>
      </w:rPr>
      <w:drawing>
        <wp:inline distT="0" distB="0" distL="0" distR="0" wp14:anchorId="22942968" wp14:editId="12160C6C">
          <wp:extent cx="2209800" cy="69339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 cstate="print">
                    <a:clrChange>
                      <a:clrFrom>
                        <a:srgbClr val="FFFFFE"/>
                      </a:clrFrom>
                      <a:clrTo>
                        <a:srgbClr val="FFFFFE">
                          <a:alpha val="0"/>
                        </a:srgbClr>
                      </a:clrTo>
                    </a:clrChange>
                  </a:blip>
                  <a:srcRect/>
                  <a:stretch>
                    <a:fillRect/>
                  </a:stretch>
                </pic:blipFill>
                <pic:spPr bwMode="auto">
                  <a:xfrm>
                    <a:off x="0" y="0"/>
                    <a:ext cx="2220371" cy="696712"/>
                  </a:xfrm>
                  <a:prstGeom prst="rect">
                    <a:avLst/>
                  </a:prstGeom>
                  <a:noFill/>
                  <a:ln w="9525">
                    <a:noFill/>
                    <a:miter lim="800000"/>
                    <a:headEnd/>
                    <a:tailEnd/>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FBE"/>
    <w:rsid w:val="00007C53"/>
    <w:rsid w:val="000137B9"/>
    <w:rsid w:val="000427F4"/>
    <w:rsid w:val="000734E0"/>
    <w:rsid w:val="00090C58"/>
    <w:rsid w:val="00093139"/>
    <w:rsid w:val="0018708F"/>
    <w:rsid w:val="001B782C"/>
    <w:rsid w:val="001C1053"/>
    <w:rsid w:val="001E611B"/>
    <w:rsid w:val="001F3D06"/>
    <w:rsid w:val="002175A6"/>
    <w:rsid w:val="00223492"/>
    <w:rsid w:val="002574A6"/>
    <w:rsid w:val="00264117"/>
    <w:rsid w:val="00270BD1"/>
    <w:rsid w:val="002B5C72"/>
    <w:rsid w:val="002D0E9D"/>
    <w:rsid w:val="002E1FE5"/>
    <w:rsid w:val="002F5EBE"/>
    <w:rsid w:val="00311FB5"/>
    <w:rsid w:val="00315541"/>
    <w:rsid w:val="003331BC"/>
    <w:rsid w:val="003441B1"/>
    <w:rsid w:val="00351EC3"/>
    <w:rsid w:val="003651BA"/>
    <w:rsid w:val="00373256"/>
    <w:rsid w:val="00387B03"/>
    <w:rsid w:val="003C2106"/>
    <w:rsid w:val="003D5CC9"/>
    <w:rsid w:val="003E36DB"/>
    <w:rsid w:val="004321D8"/>
    <w:rsid w:val="00476AAE"/>
    <w:rsid w:val="005202A1"/>
    <w:rsid w:val="00535237"/>
    <w:rsid w:val="00543B7D"/>
    <w:rsid w:val="00573F29"/>
    <w:rsid w:val="005806F6"/>
    <w:rsid w:val="005974A5"/>
    <w:rsid w:val="005B7E7A"/>
    <w:rsid w:val="005D12B2"/>
    <w:rsid w:val="005E6E2D"/>
    <w:rsid w:val="005F2754"/>
    <w:rsid w:val="005F45BA"/>
    <w:rsid w:val="00671ACF"/>
    <w:rsid w:val="00671D72"/>
    <w:rsid w:val="006A6F23"/>
    <w:rsid w:val="00713A99"/>
    <w:rsid w:val="00742ACF"/>
    <w:rsid w:val="00765494"/>
    <w:rsid w:val="007666EF"/>
    <w:rsid w:val="00834636"/>
    <w:rsid w:val="00851167"/>
    <w:rsid w:val="00881A93"/>
    <w:rsid w:val="00887FBE"/>
    <w:rsid w:val="008A1D72"/>
    <w:rsid w:val="008D3A46"/>
    <w:rsid w:val="009206C5"/>
    <w:rsid w:val="00944970"/>
    <w:rsid w:val="00974E29"/>
    <w:rsid w:val="00977F9D"/>
    <w:rsid w:val="00981B4F"/>
    <w:rsid w:val="009A4417"/>
    <w:rsid w:val="009F3DA1"/>
    <w:rsid w:val="00A73B12"/>
    <w:rsid w:val="00A9276E"/>
    <w:rsid w:val="00AD6C76"/>
    <w:rsid w:val="00B25257"/>
    <w:rsid w:val="00B33D8D"/>
    <w:rsid w:val="00B542B5"/>
    <w:rsid w:val="00B7160C"/>
    <w:rsid w:val="00BC504C"/>
    <w:rsid w:val="00BE672E"/>
    <w:rsid w:val="00BE6FB1"/>
    <w:rsid w:val="00C0114E"/>
    <w:rsid w:val="00C2198F"/>
    <w:rsid w:val="00C26124"/>
    <w:rsid w:val="00C50EC1"/>
    <w:rsid w:val="00C51875"/>
    <w:rsid w:val="00C61999"/>
    <w:rsid w:val="00C64B8D"/>
    <w:rsid w:val="00C81359"/>
    <w:rsid w:val="00C94DF4"/>
    <w:rsid w:val="00C9747F"/>
    <w:rsid w:val="00CA70EC"/>
    <w:rsid w:val="00CD1637"/>
    <w:rsid w:val="00CE3600"/>
    <w:rsid w:val="00D90FB4"/>
    <w:rsid w:val="00D97438"/>
    <w:rsid w:val="00DC2D33"/>
    <w:rsid w:val="00DC5989"/>
    <w:rsid w:val="00DC5C82"/>
    <w:rsid w:val="00DE5FB3"/>
    <w:rsid w:val="00E1745B"/>
    <w:rsid w:val="00E3000A"/>
    <w:rsid w:val="00E32D23"/>
    <w:rsid w:val="00E4599D"/>
    <w:rsid w:val="00E80424"/>
    <w:rsid w:val="00E81EC4"/>
    <w:rsid w:val="00E9385E"/>
    <w:rsid w:val="00EA3E9F"/>
    <w:rsid w:val="00EB2454"/>
    <w:rsid w:val="00EB5869"/>
    <w:rsid w:val="00EB607E"/>
    <w:rsid w:val="00EC2C18"/>
    <w:rsid w:val="00ED5542"/>
    <w:rsid w:val="00EF7A35"/>
    <w:rsid w:val="00F21876"/>
    <w:rsid w:val="00F346FE"/>
    <w:rsid w:val="00F40520"/>
    <w:rsid w:val="00F4069E"/>
    <w:rsid w:val="00F559FE"/>
    <w:rsid w:val="00F64F9C"/>
    <w:rsid w:val="00F67130"/>
    <w:rsid w:val="00FB4E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735E24"/>
  <w15:docId w15:val="{9830D0C9-63B8-4578-93A0-166E4E7A5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7F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7FBE"/>
  </w:style>
  <w:style w:type="paragraph" w:styleId="Footer">
    <w:name w:val="footer"/>
    <w:basedOn w:val="Normal"/>
    <w:link w:val="FooterChar"/>
    <w:uiPriority w:val="99"/>
    <w:unhideWhenUsed/>
    <w:rsid w:val="00887F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7FBE"/>
  </w:style>
  <w:style w:type="paragraph" w:styleId="BalloonText">
    <w:name w:val="Balloon Text"/>
    <w:basedOn w:val="Normal"/>
    <w:link w:val="BalloonTextChar"/>
    <w:uiPriority w:val="99"/>
    <w:semiHidden/>
    <w:unhideWhenUsed/>
    <w:rsid w:val="00887FB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FBE"/>
    <w:rPr>
      <w:rFonts w:ascii="Segoe UI" w:hAnsi="Segoe UI" w:cs="Segoe UI"/>
      <w:sz w:val="18"/>
      <w:szCs w:val="18"/>
    </w:rPr>
  </w:style>
  <w:style w:type="character" w:styleId="Hyperlink">
    <w:name w:val="Hyperlink"/>
    <w:basedOn w:val="DefaultParagraphFont"/>
    <w:uiPriority w:val="99"/>
    <w:unhideWhenUsed/>
    <w:rsid w:val="00887FBE"/>
    <w:rPr>
      <w:color w:val="0563C1" w:themeColor="hyperlink"/>
      <w:u w:val="single"/>
    </w:rPr>
  </w:style>
  <w:style w:type="character" w:customStyle="1" w:styleId="UnresolvedMention1">
    <w:name w:val="Unresolved Mention1"/>
    <w:basedOn w:val="DefaultParagraphFont"/>
    <w:uiPriority w:val="99"/>
    <w:semiHidden/>
    <w:unhideWhenUsed/>
    <w:rsid w:val="00887FBE"/>
    <w:rPr>
      <w:color w:val="605E5C"/>
      <w:shd w:val="clear" w:color="auto" w:fill="E1DFDD"/>
    </w:rPr>
  </w:style>
  <w:style w:type="character" w:styleId="FollowedHyperlink">
    <w:name w:val="FollowedHyperlink"/>
    <w:basedOn w:val="DefaultParagraphFont"/>
    <w:uiPriority w:val="99"/>
    <w:semiHidden/>
    <w:unhideWhenUsed/>
    <w:rsid w:val="00887FBE"/>
    <w:rPr>
      <w:color w:val="954F72" w:themeColor="followedHyperlink"/>
      <w:u w:val="single"/>
    </w:rPr>
  </w:style>
  <w:style w:type="paragraph" w:styleId="NormalWeb">
    <w:name w:val="Normal (Web)"/>
    <w:basedOn w:val="Normal"/>
    <w:uiPriority w:val="99"/>
    <w:semiHidden/>
    <w:unhideWhenUsed/>
    <w:rsid w:val="00851167"/>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FootnoteText">
    <w:name w:val="footnote text"/>
    <w:basedOn w:val="Normal"/>
    <w:link w:val="FootnoteTextChar"/>
    <w:uiPriority w:val="99"/>
    <w:semiHidden/>
    <w:unhideWhenUsed/>
    <w:rsid w:val="00EB58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5869"/>
    <w:rPr>
      <w:sz w:val="20"/>
      <w:szCs w:val="20"/>
    </w:rPr>
  </w:style>
  <w:style w:type="character" w:styleId="FootnoteReference">
    <w:name w:val="footnote reference"/>
    <w:basedOn w:val="DefaultParagraphFont"/>
    <w:uiPriority w:val="99"/>
    <w:semiHidden/>
    <w:unhideWhenUsed/>
    <w:rsid w:val="00EB5869"/>
    <w:rPr>
      <w:vertAlign w:val="superscript"/>
    </w:rPr>
  </w:style>
  <w:style w:type="character" w:styleId="CommentReference">
    <w:name w:val="annotation reference"/>
    <w:basedOn w:val="DefaultParagraphFont"/>
    <w:uiPriority w:val="99"/>
    <w:semiHidden/>
    <w:unhideWhenUsed/>
    <w:rsid w:val="000734E0"/>
    <w:rPr>
      <w:sz w:val="16"/>
      <w:szCs w:val="16"/>
    </w:rPr>
  </w:style>
  <w:style w:type="paragraph" w:styleId="CommentText">
    <w:name w:val="annotation text"/>
    <w:basedOn w:val="Normal"/>
    <w:link w:val="CommentTextChar"/>
    <w:uiPriority w:val="99"/>
    <w:semiHidden/>
    <w:unhideWhenUsed/>
    <w:rsid w:val="000734E0"/>
    <w:pPr>
      <w:spacing w:line="240" w:lineRule="auto"/>
    </w:pPr>
    <w:rPr>
      <w:sz w:val="20"/>
      <w:szCs w:val="20"/>
    </w:rPr>
  </w:style>
  <w:style w:type="character" w:customStyle="1" w:styleId="CommentTextChar">
    <w:name w:val="Comment Text Char"/>
    <w:basedOn w:val="DefaultParagraphFont"/>
    <w:link w:val="CommentText"/>
    <w:uiPriority w:val="99"/>
    <w:semiHidden/>
    <w:rsid w:val="000734E0"/>
    <w:rPr>
      <w:sz w:val="20"/>
      <w:szCs w:val="20"/>
    </w:rPr>
  </w:style>
  <w:style w:type="paragraph" w:styleId="CommentSubject">
    <w:name w:val="annotation subject"/>
    <w:basedOn w:val="CommentText"/>
    <w:next w:val="CommentText"/>
    <w:link w:val="CommentSubjectChar"/>
    <w:uiPriority w:val="99"/>
    <w:semiHidden/>
    <w:unhideWhenUsed/>
    <w:rsid w:val="000734E0"/>
    <w:rPr>
      <w:b/>
      <w:bCs/>
    </w:rPr>
  </w:style>
  <w:style w:type="character" w:customStyle="1" w:styleId="CommentSubjectChar">
    <w:name w:val="Comment Subject Char"/>
    <w:basedOn w:val="CommentTextChar"/>
    <w:link w:val="CommentSubject"/>
    <w:uiPriority w:val="99"/>
    <w:semiHidden/>
    <w:rsid w:val="000734E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092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NMRD@crescendo-ir.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nemauramedical.com"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1265</Words>
  <Characters>7213</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Waldman</dc:creator>
  <cp:keywords/>
  <dc:description/>
  <cp:lastModifiedBy>David Waldman</cp:lastModifiedBy>
  <cp:revision>2</cp:revision>
  <dcterms:created xsi:type="dcterms:W3CDTF">2019-03-28T03:46:00Z</dcterms:created>
  <dcterms:modified xsi:type="dcterms:W3CDTF">2019-03-28T03:46:00Z</dcterms:modified>
</cp:coreProperties>
</file>