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2CE61" w14:textId="2088BC8C" w:rsidR="0095197D" w:rsidRDefault="001273FA" w:rsidP="00644DAA">
      <w:pPr>
        <w:jc w:val="both"/>
        <w:rPr>
          <w:b/>
          <w:bCs/>
        </w:rPr>
      </w:pPr>
      <w:r>
        <w:rPr>
          <w:b/>
          <w:bCs/>
        </w:rPr>
        <w:t>CHIFFRE D’AFFAIRES</w:t>
      </w:r>
      <w:r w:rsidR="000061B4">
        <w:rPr>
          <w:b/>
          <w:bCs/>
        </w:rPr>
        <w:t> </w:t>
      </w:r>
      <w:r w:rsidR="00FB3755">
        <w:rPr>
          <w:b/>
          <w:bCs/>
        </w:rPr>
        <w:t xml:space="preserve">LEXIBOOK </w:t>
      </w:r>
      <w:r w:rsidR="005A5532">
        <w:rPr>
          <w:b/>
          <w:bCs/>
        </w:rPr>
        <w:t>S1 24-25 </w:t>
      </w:r>
      <w:r w:rsidR="000061B4">
        <w:rPr>
          <w:b/>
          <w:bCs/>
        </w:rPr>
        <w:t xml:space="preserve">: </w:t>
      </w:r>
      <w:r>
        <w:rPr>
          <w:b/>
          <w:bCs/>
        </w:rPr>
        <w:t>24.</w:t>
      </w:r>
      <w:r w:rsidR="00C921E5">
        <w:rPr>
          <w:b/>
          <w:bCs/>
        </w:rPr>
        <w:t>6</w:t>
      </w:r>
      <w:r>
        <w:rPr>
          <w:b/>
          <w:bCs/>
        </w:rPr>
        <w:t xml:space="preserve">M€ </w:t>
      </w:r>
      <w:r w:rsidR="003830CB">
        <w:rPr>
          <w:b/>
          <w:bCs/>
        </w:rPr>
        <w:t>VS</w:t>
      </w:r>
      <w:r>
        <w:rPr>
          <w:b/>
          <w:bCs/>
        </w:rPr>
        <w:t xml:space="preserve"> 22.2M€ (+2.</w:t>
      </w:r>
      <w:r w:rsidR="00C921E5">
        <w:rPr>
          <w:b/>
          <w:bCs/>
        </w:rPr>
        <w:t>4</w:t>
      </w:r>
      <w:r>
        <w:rPr>
          <w:b/>
          <w:bCs/>
        </w:rPr>
        <w:t>M€, +11%). RESULTAT D’EXPLOITATION</w:t>
      </w:r>
      <w:r w:rsidR="003830CB">
        <w:rPr>
          <w:b/>
          <w:bCs/>
        </w:rPr>
        <w:t xml:space="preserve"> : </w:t>
      </w:r>
      <w:r w:rsidR="0095197D">
        <w:rPr>
          <w:b/>
          <w:bCs/>
        </w:rPr>
        <w:t>2.</w:t>
      </w:r>
      <w:r w:rsidR="00075E18">
        <w:rPr>
          <w:b/>
          <w:bCs/>
        </w:rPr>
        <w:t>5</w:t>
      </w:r>
      <w:r w:rsidR="0095197D">
        <w:rPr>
          <w:b/>
          <w:bCs/>
        </w:rPr>
        <w:t>M€ (-1.</w:t>
      </w:r>
      <w:r w:rsidR="00AD772B">
        <w:rPr>
          <w:b/>
          <w:bCs/>
        </w:rPr>
        <w:t>1</w:t>
      </w:r>
      <w:r w:rsidR="0095197D">
        <w:rPr>
          <w:b/>
          <w:bCs/>
        </w:rPr>
        <w:t>M€</w:t>
      </w:r>
      <w:r w:rsidR="000140D4">
        <w:rPr>
          <w:b/>
          <w:bCs/>
        </w:rPr>
        <w:t xml:space="preserve"> vs S1</w:t>
      </w:r>
      <w:r w:rsidR="00B2767B">
        <w:rPr>
          <w:b/>
          <w:bCs/>
        </w:rPr>
        <w:t xml:space="preserve"> </w:t>
      </w:r>
      <w:r w:rsidR="003830CB">
        <w:rPr>
          <w:b/>
          <w:bCs/>
        </w:rPr>
        <w:t>23-24</w:t>
      </w:r>
      <w:r w:rsidR="0095197D">
        <w:rPr>
          <w:b/>
          <w:bCs/>
        </w:rPr>
        <w:t>) EN RAISON D</w:t>
      </w:r>
      <w:r w:rsidR="00225AD5">
        <w:rPr>
          <w:b/>
          <w:bCs/>
        </w:rPr>
        <w:t>E DEPENSES PUBLICITAIRES ACCRUES</w:t>
      </w:r>
      <w:r w:rsidR="00316996">
        <w:rPr>
          <w:b/>
          <w:bCs/>
        </w:rPr>
        <w:t xml:space="preserve"> (+1.2M€)</w:t>
      </w:r>
      <w:r w:rsidR="00225AD5">
        <w:rPr>
          <w:b/>
          <w:bCs/>
        </w:rPr>
        <w:t xml:space="preserve"> ET </w:t>
      </w:r>
      <w:r w:rsidR="0095197D">
        <w:rPr>
          <w:b/>
          <w:bCs/>
        </w:rPr>
        <w:t>DE CHANGEMENTS DE METHODE DE COMPTABILISATION DE CERTAINES PROVISIONS.</w:t>
      </w:r>
      <w:r w:rsidR="00E96A3A">
        <w:rPr>
          <w:b/>
          <w:bCs/>
        </w:rPr>
        <w:t xml:space="preserve"> </w:t>
      </w:r>
      <w:r w:rsidR="0095197D">
        <w:rPr>
          <w:b/>
          <w:bCs/>
        </w:rPr>
        <w:t xml:space="preserve">RESULTAT NET EN RETRAIT </w:t>
      </w:r>
      <w:r w:rsidR="00B07E35">
        <w:rPr>
          <w:b/>
          <w:bCs/>
        </w:rPr>
        <w:t>à +</w:t>
      </w:r>
      <w:r w:rsidR="0095197D">
        <w:rPr>
          <w:b/>
          <w:bCs/>
        </w:rPr>
        <w:t>2.</w:t>
      </w:r>
      <w:r w:rsidR="00075E18">
        <w:rPr>
          <w:b/>
          <w:bCs/>
        </w:rPr>
        <w:t>4</w:t>
      </w:r>
      <w:r w:rsidR="0095197D">
        <w:rPr>
          <w:b/>
          <w:bCs/>
        </w:rPr>
        <w:t>M€ VS 3.1M€ EN 23-24</w:t>
      </w:r>
      <w:r w:rsidR="00B07E35">
        <w:rPr>
          <w:b/>
          <w:bCs/>
        </w:rPr>
        <w:t>.</w:t>
      </w:r>
    </w:p>
    <w:p w14:paraId="407A45CC" w14:textId="77777777" w:rsidR="0095197D" w:rsidRDefault="0095197D" w:rsidP="00BF6816">
      <w:pPr>
        <w:rPr>
          <w:b/>
          <w:bCs/>
        </w:rPr>
      </w:pPr>
    </w:p>
    <w:p w14:paraId="18BA7440" w14:textId="465893FC" w:rsidR="0095197D" w:rsidRPr="0095197D" w:rsidRDefault="00F9199A" w:rsidP="00644DAA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Sur le semestre, l</w:t>
      </w:r>
      <w:r w:rsidR="0095197D" w:rsidRPr="0095197D">
        <w:rPr>
          <w:rFonts w:eastAsia="Times New Roman"/>
        </w:rPr>
        <w:t xml:space="preserve">e </w:t>
      </w:r>
      <w:r w:rsidR="00575FCB">
        <w:rPr>
          <w:rFonts w:eastAsia="Times New Roman"/>
        </w:rPr>
        <w:t>chiffre d’affaires</w:t>
      </w:r>
      <w:r w:rsidR="0095197D" w:rsidRPr="0095197D">
        <w:rPr>
          <w:rFonts w:eastAsia="Times New Roman"/>
        </w:rPr>
        <w:t xml:space="preserve"> Europe (hors France) est inchangé par rapport à la même période de l’exercice précédent, </w:t>
      </w:r>
      <w:r w:rsidR="00150C38">
        <w:rPr>
          <w:rFonts w:eastAsia="Times New Roman"/>
        </w:rPr>
        <w:t>l</w:t>
      </w:r>
      <w:r w:rsidR="0095197D" w:rsidRPr="0095197D">
        <w:rPr>
          <w:rFonts w:eastAsia="Times New Roman"/>
        </w:rPr>
        <w:t xml:space="preserve">e </w:t>
      </w:r>
      <w:r w:rsidR="00575FCB">
        <w:rPr>
          <w:rFonts w:eastAsia="Times New Roman"/>
        </w:rPr>
        <w:t>chiffre d’affaires</w:t>
      </w:r>
      <w:r w:rsidR="0095197D" w:rsidRPr="0095197D">
        <w:rPr>
          <w:rFonts w:eastAsia="Times New Roman"/>
        </w:rPr>
        <w:t xml:space="preserve"> France ressort en hausse de 16% vs</w:t>
      </w:r>
      <w:r>
        <w:rPr>
          <w:rFonts w:eastAsia="Times New Roman"/>
        </w:rPr>
        <w:t xml:space="preserve"> S1 23-24</w:t>
      </w:r>
      <w:r w:rsidR="00575FCB">
        <w:rPr>
          <w:rFonts w:eastAsia="Times New Roman"/>
        </w:rPr>
        <w:t xml:space="preserve">. </w:t>
      </w:r>
      <w:r>
        <w:rPr>
          <w:rFonts w:eastAsia="Times New Roman"/>
        </w:rPr>
        <w:t>L</w:t>
      </w:r>
      <w:r w:rsidR="0095197D" w:rsidRPr="0095197D">
        <w:rPr>
          <w:rFonts w:eastAsia="Times New Roman"/>
        </w:rPr>
        <w:t xml:space="preserve">e </w:t>
      </w:r>
      <w:r w:rsidR="00575FCB">
        <w:rPr>
          <w:rFonts w:eastAsia="Times New Roman"/>
        </w:rPr>
        <w:t>chiffre d’affaires</w:t>
      </w:r>
      <w:r w:rsidR="0095197D" w:rsidRPr="0095197D">
        <w:rPr>
          <w:rFonts w:eastAsia="Times New Roman"/>
        </w:rPr>
        <w:t xml:space="preserve"> sur le reste du monde </w:t>
      </w:r>
      <w:r w:rsidR="003A151D">
        <w:rPr>
          <w:rFonts w:eastAsia="Times New Roman"/>
        </w:rPr>
        <w:t xml:space="preserve">est </w:t>
      </w:r>
      <w:r w:rsidR="0095197D" w:rsidRPr="0095197D">
        <w:rPr>
          <w:rFonts w:eastAsia="Times New Roman"/>
        </w:rPr>
        <w:t xml:space="preserve">en forte hausse (+60%), notamment </w:t>
      </w:r>
      <w:r w:rsidR="003A151D">
        <w:rPr>
          <w:rFonts w:eastAsia="Times New Roman"/>
        </w:rPr>
        <w:t>grâce à</w:t>
      </w:r>
      <w:r w:rsidR="0095197D" w:rsidRPr="0095197D">
        <w:rPr>
          <w:rFonts w:eastAsia="Times New Roman"/>
        </w:rPr>
        <w:t xml:space="preserve"> </w:t>
      </w:r>
      <w:r w:rsidR="003B6D29">
        <w:rPr>
          <w:rFonts w:eastAsia="Times New Roman"/>
        </w:rPr>
        <w:t xml:space="preserve">la </w:t>
      </w:r>
      <w:r w:rsidR="0095197D" w:rsidRPr="0095197D">
        <w:rPr>
          <w:rFonts w:eastAsia="Times New Roman"/>
        </w:rPr>
        <w:t>croissance des ventes aux Etats-Unis</w:t>
      </w:r>
      <w:r w:rsidR="00DE0323">
        <w:rPr>
          <w:rFonts w:eastAsia="Times New Roman"/>
        </w:rPr>
        <w:t>,</w:t>
      </w:r>
    </w:p>
    <w:p w14:paraId="440A8CC6" w14:textId="5D8D8E65" w:rsidR="0095197D" w:rsidRPr="0095197D" w:rsidRDefault="00EA46B6" w:rsidP="00644DAA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Les revenus </w:t>
      </w:r>
      <w:r w:rsidR="0095197D" w:rsidRPr="0095197D">
        <w:rPr>
          <w:rFonts w:eastAsia="Times New Roman"/>
        </w:rPr>
        <w:t>des produits sous licence progresse</w:t>
      </w:r>
      <w:r>
        <w:rPr>
          <w:rFonts w:eastAsia="Times New Roman"/>
        </w:rPr>
        <w:t>nt</w:t>
      </w:r>
      <w:r w:rsidR="0095197D" w:rsidRPr="0095197D">
        <w:rPr>
          <w:rFonts w:eastAsia="Times New Roman"/>
        </w:rPr>
        <w:t xml:space="preserve"> de 15%</w:t>
      </w:r>
      <w:r w:rsidR="003B6D29">
        <w:rPr>
          <w:rFonts w:eastAsia="Times New Roman"/>
        </w:rPr>
        <w:t>. L</w:t>
      </w:r>
      <w:r w:rsidR="0095197D" w:rsidRPr="0095197D">
        <w:rPr>
          <w:rFonts w:eastAsia="Times New Roman"/>
        </w:rPr>
        <w:t xml:space="preserve">es produits hors licence progressent </w:t>
      </w:r>
      <w:r w:rsidR="003B6D29">
        <w:rPr>
          <w:rFonts w:eastAsia="Times New Roman"/>
        </w:rPr>
        <w:t xml:space="preserve">aussi </w:t>
      </w:r>
      <w:r w:rsidR="0095197D" w:rsidRPr="0095197D">
        <w:rPr>
          <w:rFonts w:eastAsia="Times New Roman"/>
        </w:rPr>
        <w:t xml:space="preserve">de 3%. Les ventes de produits sous licence représentent les 2/3 du </w:t>
      </w:r>
      <w:r>
        <w:rPr>
          <w:rFonts w:eastAsia="Times New Roman"/>
        </w:rPr>
        <w:t>chiffre d’affaires</w:t>
      </w:r>
      <w:r w:rsidR="0095197D" w:rsidRPr="0095197D">
        <w:rPr>
          <w:rFonts w:eastAsia="Times New Roman"/>
        </w:rPr>
        <w:t xml:space="preserve"> total, une proportion cohérente avec les ventes de l’exercice fiscal 2023/2024,</w:t>
      </w:r>
    </w:p>
    <w:p w14:paraId="496323A0" w14:textId="0070EDB0" w:rsidR="0095197D" w:rsidRPr="00DE0323" w:rsidRDefault="0095197D" w:rsidP="00644DAA">
      <w:pPr>
        <w:numPr>
          <w:ilvl w:val="0"/>
          <w:numId w:val="1"/>
        </w:numPr>
        <w:jc w:val="both"/>
      </w:pPr>
      <w:r w:rsidRPr="0095197D">
        <w:rPr>
          <w:rFonts w:eastAsia="Times New Roman"/>
        </w:rPr>
        <w:t xml:space="preserve">Les investissements publicitaires sur ce semestre sont en hausse de </w:t>
      </w:r>
      <w:r w:rsidR="00E55985">
        <w:rPr>
          <w:rFonts w:eastAsia="Times New Roman"/>
        </w:rPr>
        <w:t>62</w:t>
      </w:r>
      <w:r w:rsidRPr="0095197D">
        <w:rPr>
          <w:rFonts w:eastAsia="Times New Roman"/>
        </w:rPr>
        <w:t>% (</w:t>
      </w:r>
      <w:r w:rsidR="00DE0323" w:rsidRPr="00DE0323">
        <w:rPr>
          <w:rFonts w:eastAsia="Times New Roman"/>
        </w:rPr>
        <w:t>2.</w:t>
      </w:r>
      <w:r w:rsidR="00B35F41">
        <w:rPr>
          <w:rFonts w:eastAsia="Times New Roman"/>
        </w:rPr>
        <w:t>9</w:t>
      </w:r>
      <w:r w:rsidR="00DE0323" w:rsidRPr="00DE0323">
        <w:rPr>
          <w:rFonts w:eastAsia="Times New Roman"/>
        </w:rPr>
        <w:t xml:space="preserve">M€ vs </w:t>
      </w:r>
      <w:r w:rsidR="00331ED2">
        <w:rPr>
          <w:rFonts w:eastAsia="Times New Roman"/>
        </w:rPr>
        <w:t>1.7</w:t>
      </w:r>
      <w:r w:rsidR="00DE0323" w:rsidRPr="00DE0323">
        <w:rPr>
          <w:rFonts w:eastAsia="Times New Roman"/>
        </w:rPr>
        <w:t>€ sur le S1 2023-24)</w:t>
      </w:r>
      <w:r w:rsidR="00E55985">
        <w:rPr>
          <w:rFonts w:eastAsia="Times New Roman"/>
        </w:rPr>
        <w:t>,</w:t>
      </w:r>
      <w:r w:rsidR="00DE0323" w:rsidRPr="00DE0323">
        <w:rPr>
          <w:rFonts w:eastAsia="Times New Roman"/>
        </w:rPr>
        <w:t xml:space="preserve"> </w:t>
      </w:r>
    </w:p>
    <w:p w14:paraId="6DF00EB1" w14:textId="4A56474A" w:rsidR="00DE0323" w:rsidRDefault="007660A4" w:rsidP="00644DAA">
      <w:pPr>
        <w:numPr>
          <w:ilvl w:val="0"/>
          <w:numId w:val="1"/>
        </w:numPr>
        <w:jc w:val="both"/>
      </w:pPr>
      <w:r>
        <w:t>La</w:t>
      </w:r>
      <w:r w:rsidR="00DE0323">
        <w:t xml:space="preserve"> marge brute (marge 1) </w:t>
      </w:r>
      <w:r>
        <w:t xml:space="preserve">progresse </w:t>
      </w:r>
      <w:r w:rsidR="00DE0323">
        <w:t>à 15.</w:t>
      </w:r>
      <w:r w:rsidR="008B0990">
        <w:t>0</w:t>
      </w:r>
      <w:r w:rsidR="00DE0323">
        <w:t>M€ vs 12.8M€ au titre du S1 2023-24 (+2.</w:t>
      </w:r>
      <w:r w:rsidR="00BA22C3">
        <w:t>1</w:t>
      </w:r>
      <w:r w:rsidR="00DE0323">
        <w:t>M€), principalement influencée par la croissance du chiffre d’affaires</w:t>
      </w:r>
      <w:r w:rsidR="009F74DA">
        <w:t>.</w:t>
      </w:r>
    </w:p>
    <w:p w14:paraId="15C428EE" w14:textId="6A12FB1F" w:rsidR="009F74DA" w:rsidRPr="009F74DA" w:rsidRDefault="007660A4" w:rsidP="00644DAA">
      <w:pPr>
        <w:numPr>
          <w:ilvl w:val="0"/>
          <w:numId w:val="1"/>
        </w:numPr>
        <w:jc w:val="both"/>
      </w:pPr>
      <w:r>
        <w:t>La</w:t>
      </w:r>
      <w:r w:rsidR="009F74DA">
        <w:t xml:space="preserve"> marge </w:t>
      </w:r>
      <w:r w:rsidR="00CF45AB">
        <w:t>4 nets</w:t>
      </w:r>
      <w:r w:rsidR="009F74DA">
        <w:t xml:space="preserve"> </w:t>
      </w:r>
      <w:r w:rsidR="00CF45AB">
        <w:t xml:space="preserve">est impactée par </w:t>
      </w:r>
      <w:r w:rsidR="001B5A56">
        <w:t>la croissance des</w:t>
      </w:r>
      <w:r w:rsidR="009F74DA">
        <w:t xml:space="preserve"> participations publicitaires et des royalties</w:t>
      </w:r>
      <w:r w:rsidR="001B5A56">
        <w:t xml:space="preserve"> : </w:t>
      </w:r>
      <w:r w:rsidR="006E29AA">
        <w:t xml:space="preserve">elle ressort à </w:t>
      </w:r>
      <w:r w:rsidR="009A7515">
        <w:t>10.2</w:t>
      </w:r>
      <w:r w:rsidR="007C752A">
        <w:t>M</w:t>
      </w:r>
      <w:r w:rsidR="009F74DA">
        <w:t>€ (</w:t>
      </w:r>
      <w:r w:rsidR="007C752A">
        <w:t>4</w:t>
      </w:r>
      <w:r w:rsidR="006E29AA">
        <w:t>1.7</w:t>
      </w:r>
      <w:r w:rsidR="009F74DA">
        <w:t>% du CA) vs 9.6M€ (43</w:t>
      </w:r>
      <w:r w:rsidR="006E29AA">
        <w:t>.2</w:t>
      </w:r>
      <w:r w:rsidR="009F74DA">
        <w:t>% du CA</w:t>
      </w:r>
      <w:r w:rsidR="006E29AA">
        <w:t xml:space="preserve"> en N-1</w:t>
      </w:r>
      <w:r w:rsidR="009F74DA">
        <w:t>)</w:t>
      </w:r>
      <w:r w:rsidR="009F74DA">
        <w:rPr>
          <w:rFonts w:eastAsia="Times New Roman"/>
        </w:rPr>
        <w:t>,</w:t>
      </w:r>
    </w:p>
    <w:p w14:paraId="3F55FBDF" w14:textId="4C6103E0" w:rsidR="009F74DA" w:rsidRPr="000939CF" w:rsidRDefault="009F74DA" w:rsidP="00FE307E">
      <w:pPr>
        <w:numPr>
          <w:ilvl w:val="0"/>
          <w:numId w:val="1"/>
        </w:numPr>
        <w:jc w:val="both"/>
      </w:pPr>
      <w:r>
        <w:rPr>
          <w:rFonts w:eastAsia="Times New Roman"/>
        </w:rPr>
        <w:t xml:space="preserve">Le résultat </w:t>
      </w:r>
      <w:r w:rsidR="000939CF">
        <w:rPr>
          <w:rFonts w:eastAsia="Times New Roman"/>
        </w:rPr>
        <w:t>d’exploitation</w:t>
      </w:r>
      <w:r>
        <w:rPr>
          <w:rFonts w:eastAsia="Times New Roman"/>
        </w:rPr>
        <w:t xml:space="preserve"> du 1</w:t>
      </w:r>
      <w:r w:rsidRPr="009F74DA">
        <w:rPr>
          <w:rFonts w:eastAsia="Times New Roman"/>
          <w:vertAlign w:val="superscript"/>
        </w:rPr>
        <w:t>er</w:t>
      </w:r>
      <w:r>
        <w:rPr>
          <w:rFonts w:eastAsia="Times New Roman"/>
        </w:rPr>
        <w:t xml:space="preserve"> semestre 24-25 </w:t>
      </w:r>
      <w:r w:rsidR="007779EA">
        <w:rPr>
          <w:rFonts w:eastAsia="Times New Roman"/>
        </w:rPr>
        <w:t>se porte à</w:t>
      </w:r>
      <w:r>
        <w:rPr>
          <w:rFonts w:eastAsia="Times New Roman"/>
        </w:rPr>
        <w:t xml:space="preserve"> 2.</w:t>
      </w:r>
      <w:r w:rsidR="007C752A">
        <w:rPr>
          <w:rFonts w:eastAsia="Times New Roman"/>
        </w:rPr>
        <w:t>5</w:t>
      </w:r>
      <w:r>
        <w:rPr>
          <w:rFonts w:eastAsia="Times New Roman"/>
        </w:rPr>
        <w:t>M€</w:t>
      </w:r>
      <w:r w:rsidR="007779EA">
        <w:rPr>
          <w:rFonts w:eastAsia="Times New Roman"/>
        </w:rPr>
        <w:t xml:space="preserve">, </w:t>
      </w:r>
      <w:r>
        <w:rPr>
          <w:rFonts w:eastAsia="Times New Roman"/>
        </w:rPr>
        <w:t>en baisse de 1.</w:t>
      </w:r>
      <w:r w:rsidR="007C752A">
        <w:rPr>
          <w:rFonts w:eastAsia="Times New Roman"/>
        </w:rPr>
        <w:t>1</w:t>
      </w:r>
      <w:r>
        <w:rPr>
          <w:rFonts w:eastAsia="Times New Roman"/>
        </w:rPr>
        <w:t>M€ comparé à la même période de l’année précédente</w:t>
      </w:r>
      <w:r w:rsidR="000939CF">
        <w:rPr>
          <w:rFonts w:eastAsia="Times New Roman"/>
        </w:rPr>
        <w:t xml:space="preserve">. </w:t>
      </w:r>
    </w:p>
    <w:p w14:paraId="51E782DC" w14:textId="3B423FFB" w:rsidR="000939CF" w:rsidRPr="000A4A19" w:rsidRDefault="000939CF" w:rsidP="00644DAA">
      <w:pPr>
        <w:numPr>
          <w:ilvl w:val="0"/>
          <w:numId w:val="1"/>
        </w:numPr>
        <w:jc w:val="both"/>
      </w:pPr>
      <w:r>
        <w:rPr>
          <w:rFonts w:eastAsia="Times New Roman"/>
        </w:rPr>
        <w:t>Le résultat net après impôt sur les bénéfices s’établit à 2.</w:t>
      </w:r>
      <w:r w:rsidR="00075E18">
        <w:rPr>
          <w:rFonts w:eastAsia="Times New Roman"/>
        </w:rPr>
        <w:t>4</w:t>
      </w:r>
      <w:r>
        <w:rPr>
          <w:rFonts w:eastAsia="Times New Roman"/>
        </w:rPr>
        <w:t>M€ contre 3.1M€ une année plus tôt.</w:t>
      </w:r>
    </w:p>
    <w:p w14:paraId="005A3119" w14:textId="77777777" w:rsidR="000A4A19" w:rsidRDefault="000A4A19" w:rsidP="000A4A19">
      <w:pPr>
        <w:rPr>
          <w:rFonts w:eastAsia="Times New Roman"/>
        </w:rPr>
      </w:pPr>
    </w:p>
    <w:p w14:paraId="2CD6AB8C" w14:textId="3B8DD40F" w:rsidR="000A4A19" w:rsidRPr="00D76B61" w:rsidRDefault="000A4A19" w:rsidP="000A4A19">
      <w:pPr>
        <w:pStyle w:val="Titre2"/>
        <w:spacing w:before="360" w:after="0"/>
        <w:rPr>
          <w:rFonts w:asciiTheme="minorHAnsi" w:hAnsiTheme="minorHAnsi" w:cs="Calibri"/>
          <w:color w:val="auto"/>
          <w:sz w:val="24"/>
          <w:szCs w:val="24"/>
        </w:rPr>
      </w:pPr>
      <w:r w:rsidRPr="00D76B61">
        <w:rPr>
          <w:rFonts w:asciiTheme="minorHAnsi" w:hAnsiTheme="minorHAnsi" w:cs="Calibri"/>
          <w:color w:val="auto"/>
          <w:sz w:val="24"/>
          <w:szCs w:val="24"/>
        </w:rPr>
        <w:t>Lexibook (ISIN FR0000033599) annonce aujourd’hui ses états financiers semestriels non-audités pour le semestre clos au 30 Septembre 202</w:t>
      </w:r>
      <w:r w:rsidR="000C33E8" w:rsidRPr="00D76B61">
        <w:rPr>
          <w:rFonts w:asciiTheme="minorHAnsi" w:hAnsiTheme="minorHAnsi" w:cs="Calibri"/>
          <w:color w:val="auto"/>
          <w:sz w:val="24"/>
          <w:szCs w:val="24"/>
        </w:rPr>
        <w:t>4</w:t>
      </w:r>
      <w:r w:rsidRPr="00D76B61">
        <w:rPr>
          <w:rFonts w:asciiTheme="minorHAnsi" w:hAnsiTheme="minorHAnsi" w:cs="Calibri"/>
          <w:color w:val="auto"/>
          <w:sz w:val="24"/>
          <w:szCs w:val="24"/>
        </w:rPr>
        <w:t>.</w:t>
      </w:r>
    </w:p>
    <w:p w14:paraId="09D200A5" w14:textId="77777777" w:rsidR="00FE61B2" w:rsidRDefault="00FE61B2" w:rsidP="00FE61B2"/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65"/>
        <w:gridCol w:w="436"/>
        <w:gridCol w:w="1205"/>
        <w:gridCol w:w="36"/>
        <w:gridCol w:w="357"/>
        <w:gridCol w:w="36"/>
        <w:gridCol w:w="1070"/>
        <w:gridCol w:w="1124"/>
      </w:tblGrid>
      <w:tr w:rsidR="00FE61B2" w:rsidRPr="0062141A" w14:paraId="5E00FE92" w14:textId="77777777" w:rsidTr="000D6478">
        <w:trPr>
          <w:trHeight w:val="110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9AC0" w14:textId="368A5913" w:rsidR="00FE61B2" w:rsidRPr="00714112" w:rsidRDefault="00FE61B2" w:rsidP="00C5224B">
            <w:pPr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714112"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 xml:space="preserve">En </w:t>
            </w:r>
            <w:r w:rsidR="00DA696D"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>milliers d’e</w:t>
            </w:r>
            <w:r w:rsidRPr="00714112"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>uros – Données non auditées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A95" w14:textId="3431B962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30 SEPTEMBRE 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91003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A50" w14:textId="3EF1CACE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30 SEPTEMBRE 2023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AA3E2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4C2" w14:textId="77777777" w:rsidR="00324EE6" w:rsidRDefault="00324EE6" w:rsidP="00046A0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  <w:p w14:paraId="62EDC174" w14:textId="175F5A3B" w:rsidR="00E96B35" w:rsidRDefault="00E96B35" w:rsidP="00046A0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 xml:space="preserve">Variation </w:t>
            </w:r>
            <w:r w:rsidR="003C239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(K</w:t>
            </w:r>
            <w:r w:rsidR="00324EE6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€)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041" w14:textId="478E742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Variation</w:t>
            </w:r>
            <w:r w:rsidR="004417FA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96B3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%</w:t>
            </w:r>
          </w:p>
        </w:tc>
      </w:tr>
      <w:tr w:rsidR="00FE61B2" w:rsidRPr="0062141A" w14:paraId="0532719F" w14:textId="77777777" w:rsidTr="000D6478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30286" w14:textId="77777777" w:rsidR="00FE61B2" w:rsidRPr="00714112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4C691" w14:textId="77777777" w:rsidR="00FE61B2" w:rsidRPr="000C33E8" w:rsidRDefault="00FE61B2" w:rsidP="00C5224B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27422" w14:textId="77777777" w:rsidR="00FE61B2" w:rsidRPr="000C33E8" w:rsidRDefault="00FE61B2" w:rsidP="00C5224B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EC75" w14:textId="77777777" w:rsidR="00FE61B2" w:rsidRPr="000C33E8" w:rsidRDefault="00FE61B2" w:rsidP="00C5224B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0F82" w14:textId="77777777" w:rsidR="00FE61B2" w:rsidRPr="000C33E8" w:rsidRDefault="00FE61B2" w:rsidP="00C5224B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A7B6F" w14:textId="77777777" w:rsidR="00AD61BA" w:rsidRPr="000C33E8" w:rsidRDefault="00AD61BA" w:rsidP="00046A02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0C13F" w14:textId="77777777" w:rsidR="00FE61B2" w:rsidRPr="000C33E8" w:rsidRDefault="00FE61B2" w:rsidP="00C5224B">
            <w:pPr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0D6478" w:rsidRPr="0062141A" w14:paraId="753C1350" w14:textId="77777777" w:rsidTr="004417FA">
        <w:trPr>
          <w:trHeight w:val="2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8B2B" w14:textId="77777777" w:rsidR="00FE61B2" w:rsidRPr="00714112" w:rsidRDefault="00FE61B2" w:rsidP="00C5224B">
            <w:pPr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71411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Chiffre d'affaires net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97C" w14:textId="05AABD9C" w:rsidR="00FE61B2" w:rsidRPr="000C33E8" w:rsidRDefault="007160DA" w:rsidP="00C5224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 xml:space="preserve">24 </w:t>
            </w:r>
            <w:r w:rsidR="003811A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605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ED13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C021" w14:textId="5092470E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22 188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F94BF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11A" w14:textId="581B09B4" w:rsidR="00AD61BA" w:rsidRPr="000C33E8" w:rsidRDefault="006D576E" w:rsidP="00046A0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+2 417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64C" w14:textId="47066E10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+</w:t>
            </w:r>
            <w:r w:rsidR="007400EF"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11</w:t>
            </w: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%</w:t>
            </w:r>
          </w:p>
        </w:tc>
      </w:tr>
      <w:tr w:rsidR="000D6478" w:rsidRPr="0062141A" w14:paraId="35B9CAAC" w14:textId="77777777" w:rsidTr="004417FA">
        <w:trPr>
          <w:trHeight w:val="2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EDF" w14:textId="77777777" w:rsidR="00FE61B2" w:rsidRPr="00714112" w:rsidRDefault="00FE61B2" w:rsidP="00C5224B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71411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Résultat d'exploitation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FC3" w14:textId="379A537A" w:rsidR="00FE61B2" w:rsidRPr="000C33E8" w:rsidRDefault="007160DA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 xml:space="preserve">2 </w:t>
            </w:r>
            <w:r w:rsidR="009F48A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462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1202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AC39" w14:textId="01B5B2C6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3 538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C3DA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894" w14:textId="09B09140" w:rsidR="00AD61BA" w:rsidRPr="000C33E8" w:rsidRDefault="00EF5CD0" w:rsidP="00046A0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-1 076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3E11" w14:textId="6B686A06" w:rsidR="00FE61B2" w:rsidRPr="000C33E8" w:rsidRDefault="008A7218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-</w:t>
            </w:r>
            <w:r w:rsidR="00513DB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30</w:t>
            </w:r>
            <w:r w:rsidR="00FE61B2"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%</w:t>
            </w:r>
          </w:p>
        </w:tc>
      </w:tr>
      <w:tr w:rsidR="000D6478" w:rsidRPr="0062141A" w14:paraId="12E42BA4" w14:textId="77777777" w:rsidTr="004417FA">
        <w:trPr>
          <w:trHeight w:val="2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0AD" w14:textId="77777777" w:rsidR="00FE61B2" w:rsidRPr="00714112" w:rsidRDefault="00FE61B2" w:rsidP="00C5224B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71411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Résultat net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A22" w14:textId="091B80BE" w:rsidR="00FE61B2" w:rsidRPr="000C33E8" w:rsidRDefault="007160DA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 xml:space="preserve">2 </w:t>
            </w:r>
            <w:r w:rsidR="009F48A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E59AA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409" w14:textId="3A89FDF1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3 095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0065E" w14:textId="77777777" w:rsidR="00FE61B2" w:rsidRPr="000C33E8" w:rsidRDefault="00FE61B2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3F7" w14:textId="51AB3DDB" w:rsidR="00AD61BA" w:rsidRPr="000C33E8" w:rsidRDefault="004417FA" w:rsidP="00046A0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-645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75C" w14:textId="55C6370F" w:rsidR="00FE61B2" w:rsidRPr="000C33E8" w:rsidRDefault="00B06843" w:rsidP="00C5224B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</w:pPr>
            <w:r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-</w:t>
            </w:r>
            <w:r w:rsidR="00C3240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21</w:t>
            </w:r>
            <w:r w:rsidR="00FE61B2" w:rsidRPr="000C33E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fr-FR"/>
              </w:rPr>
              <w:t>%</w:t>
            </w:r>
          </w:p>
        </w:tc>
      </w:tr>
    </w:tbl>
    <w:p w14:paraId="441EE68E" w14:textId="77777777" w:rsidR="00FE61B2" w:rsidRPr="00FE61B2" w:rsidRDefault="00FE61B2" w:rsidP="00FE61B2"/>
    <w:p w14:paraId="4B393750" w14:textId="77777777" w:rsidR="000A4A19" w:rsidRDefault="000A4A19" w:rsidP="000A4A19"/>
    <w:p w14:paraId="2DFC558A" w14:textId="77777777" w:rsidR="0043102A" w:rsidRDefault="0043102A" w:rsidP="000A4A19"/>
    <w:p w14:paraId="2ECBBDE1" w14:textId="4ECD6753" w:rsidR="000F5972" w:rsidRDefault="000F5972" w:rsidP="000F5972">
      <w:pPr>
        <w:spacing w:after="120"/>
        <w:jc w:val="both"/>
        <w:outlineLvl w:val="0"/>
        <w:rPr>
          <w:rFonts w:cs="Calibri"/>
        </w:rPr>
      </w:pPr>
      <w:r w:rsidRPr="00565045">
        <w:rPr>
          <w:rFonts w:cs="Calibri"/>
        </w:rPr>
        <w:t>Aymeric Le Cottier, Président du Directoire de Lexibook a commenté : « </w:t>
      </w:r>
      <w:r w:rsidRPr="00D76B61">
        <w:rPr>
          <w:rFonts w:cs="Calibri"/>
          <w:i/>
          <w:iCs/>
        </w:rPr>
        <w:t xml:space="preserve">Nous </w:t>
      </w:r>
      <w:r w:rsidR="0023670B" w:rsidRPr="00D76B61">
        <w:rPr>
          <w:rFonts w:cs="Calibri"/>
          <w:i/>
          <w:iCs/>
        </w:rPr>
        <w:t>constatons et s</w:t>
      </w:r>
      <w:r w:rsidRPr="00D76B61">
        <w:rPr>
          <w:rFonts w:cs="Calibri"/>
          <w:i/>
          <w:iCs/>
        </w:rPr>
        <w:t>ommes très satisfaits de la performance de Lexibook sur son premier semestre fiscal. La dynamique de croissance du Groupe reste en place</w:t>
      </w:r>
      <w:r w:rsidR="00523E2C" w:rsidRPr="00D76B61">
        <w:rPr>
          <w:rFonts w:cs="Calibri"/>
          <w:i/>
          <w:iCs/>
        </w:rPr>
        <w:t xml:space="preserve">. </w:t>
      </w:r>
      <w:r w:rsidR="00BE5E59" w:rsidRPr="00D76B61">
        <w:rPr>
          <w:rFonts w:cs="Calibri"/>
          <w:i/>
          <w:iCs/>
        </w:rPr>
        <w:t xml:space="preserve">En abordant cette deuxième moitié de l’année, nous restons raisonnablement confiants et </w:t>
      </w:r>
      <w:r w:rsidR="00061512" w:rsidRPr="00D76B61">
        <w:rPr>
          <w:rFonts w:cs="Calibri"/>
          <w:i/>
          <w:iCs/>
        </w:rPr>
        <w:t xml:space="preserve">sommes dorénavant </w:t>
      </w:r>
      <w:r w:rsidR="00523E2C" w:rsidRPr="00D76B61">
        <w:rPr>
          <w:rFonts w:cs="Calibri"/>
          <w:i/>
          <w:iCs/>
        </w:rPr>
        <w:t xml:space="preserve">très </w:t>
      </w:r>
      <w:r w:rsidR="00061512" w:rsidRPr="00D76B61">
        <w:rPr>
          <w:rFonts w:cs="Calibri"/>
          <w:i/>
          <w:iCs/>
        </w:rPr>
        <w:t xml:space="preserve">vigilants sur le niveau de change EUR/USD </w:t>
      </w:r>
      <w:r w:rsidR="009D7273" w:rsidRPr="00D76B61">
        <w:rPr>
          <w:rFonts w:cs="Calibri"/>
          <w:i/>
          <w:iCs/>
        </w:rPr>
        <w:t xml:space="preserve">que nous observons depuis les résultats des élections américaines et </w:t>
      </w:r>
      <w:r w:rsidR="00061512" w:rsidRPr="00D76B61">
        <w:rPr>
          <w:rFonts w:cs="Calibri"/>
          <w:i/>
          <w:iCs/>
        </w:rPr>
        <w:t>qui pourrait nous pénaliser</w:t>
      </w:r>
      <w:r w:rsidR="009D7273" w:rsidRPr="00D76B61">
        <w:rPr>
          <w:rFonts w:cs="Calibri"/>
          <w:i/>
          <w:iCs/>
        </w:rPr>
        <w:t xml:space="preserve"> du fait de notre exposition </w:t>
      </w:r>
      <w:r w:rsidR="007300C4">
        <w:rPr>
          <w:rFonts w:cs="Calibri"/>
          <w:i/>
          <w:iCs/>
        </w:rPr>
        <w:t xml:space="preserve">forte </w:t>
      </w:r>
      <w:r w:rsidR="00D07BB8">
        <w:rPr>
          <w:rFonts w:cs="Calibri"/>
          <w:i/>
          <w:iCs/>
        </w:rPr>
        <w:t>au dollar</w:t>
      </w:r>
      <w:r w:rsidR="008933D6" w:rsidRPr="00D76B61">
        <w:rPr>
          <w:rFonts w:cs="Calibri"/>
          <w:i/>
          <w:iCs/>
        </w:rPr>
        <w:t xml:space="preserve"> </w:t>
      </w:r>
      <w:r w:rsidR="002A07AB" w:rsidRPr="00D76B61">
        <w:rPr>
          <w:rFonts w:cs="Calibri"/>
          <w:i/>
          <w:iCs/>
        </w:rPr>
        <w:t xml:space="preserve">sur nos achats de </w:t>
      </w:r>
      <w:r w:rsidR="000C33E8" w:rsidRPr="00D76B61">
        <w:rPr>
          <w:rFonts w:cs="Calibri"/>
          <w:i/>
          <w:iCs/>
        </w:rPr>
        <w:t>marchandises</w:t>
      </w:r>
      <w:r w:rsidR="000C33E8">
        <w:rPr>
          <w:rFonts w:cs="Calibri"/>
        </w:rPr>
        <w:t xml:space="preserve"> »</w:t>
      </w:r>
      <w:r w:rsidR="00714112">
        <w:rPr>
          <w:rFonts w:cs="Calibri"/>
        </w:rPr>
        <w:t>.</w:t>
      </w:r>
    </w:p>
    <w:p w14:paraId="7270157A" w14:textId="303B272C" w:rsidR="00714112" w:rsidRPr="000A640A" w:rsidRDefault="00714112" w:rsidP="00714112">
      <w:pPr>
        <w:autoSpaceDE w:val="0"/>
        <w:autoSpaceDN w:val="0"/>
        <w:adjustRightInd w:val="0"/>
        <w:spacing w:after="360" w:line="240" w:lineRule="atLeast"/>
        <w:jc w:val="both"/>
        <w:rPr>
          <w:rFonts w:cs="Calibri"/>
          <w:b/>
        </w:rPr>
      </w:pPr>
      <w:r w:rsidRPr="009B7DC0">
        <w:rPr>
          <w:rFonts w:cs="Calibri"/>
          <w:b/>
          <w:u w:val="single"/>
        </w:rPr>
        <w:lastRenderedPageBreak/>
        <w:t>Les chiffres clés</w:t>
      </w:r>
      <w:r w:rsidR="00012E0B">
        <w:rPr>
          <w:rFonts w:cs="Calibri"/>
          <w:b/>
        </w:rPr>
        <w:t xml:space="preserve"> </w:t>
      </w:r>
    </w:p>
    <w:tbl>
      <w:tblPr>
        <w:tblW w:w="11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1517"/>
        <w:gridCol w:w="1570"/>
        <w:gridCol w:w="1570"/>
        <w:gridCol w:w="1570"/>
      </w:tblGrid>
      <w:tr w:rsidR="00714112" w:rsidRPr="000A640A" w14:paraId="4C15D512" w14:textId="77777777" w:rsidTr="00CA1632">
        <w:trPr>
          <w:trHeight w:val="532"/>
          <w:jc w:val="center"/>
        </w:trPr>
        <w:tc>
          <w:tcPr>
            <w:tcW w:w="5177" w:type="dxa"/>
            <w:shd w:val="clear" w:color="auto" w:fill="auto"/>
          </w:tcPr>
          <w:p w14:paraId="50F4D9A3" w14:textId="04A32B74" w:rsidR="00714112" w:rsidRPr="00714112" w:rsidRDefault="00714112" w:rsidP="00C5224B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i/>
                <w:sz w:val="20"/>
                <w:szCs w:val="20"/>
              </w:rPr>
              <w:t xml:space="preserve">En </w:t>
            </w:r>
            <w:r w:rsidR="00C045C2">
              <w:rPr>
                <w:rFonts w:asciiTheme="minorHAnsi" w:hAnsiTheme="minorHAnsi" w:cs="Calibri"/>
                <w:i/>
                <w:sz w:val="20"/>
                <w:szCs w:val="20"/>
              </w:rPr>
              <w:t>milliers d’</w:t>
            </w:r>
            <w:r w:rsidRPr="00714112">
              <w:rPr>
                <w:rFonts w:asciiTheme="minorHAnsi" w:hAnsiTheme="minorHAnsi" w:cs="Calibri"/>
                <w:i/>
                <w:sz w:val="20"/>
                <w:szCs w:val="20"/>
              </w:rPr>
              <w:t>euros</w:t>
            </w:r>
            <w:r w:rsidR="00D837A8" w:rsidRPr="00D837A8">
              <w:rPr>
                <w:rFonts w:asciiTheme="minorHAnsi" w:hAnsiTheme="minorHAnsi" w:cs="Calibri"/>
                <w:i/>
                <w:sz w:val="20"/>
                <w:szCs w:val="20"/>
              </w:rPr>
              <w:t xml:space="preserve"> - </w:t>
            </w:r>
            <w:r w:rsidR="00D837A8" w:rsidRPr="00BF16DB">
              <w:rPr>
                <w:rFonts w:asciiTheme="minorHAnsi" w:eastAsia="Times New Roman" w:hAnsiTheme="minorHAnsi" w:cs="Arial"/>
                <w:i/>
                <w:sz w:val="20"/>
                <w:szCs w:val="20"/>
                <w:lang w:eastAsia="fr-FR"/>
              </w:rPr>
              <w:t>Données non auditées</w:t>
            </w:r>
          </w:p>
        </w:tc>
        <w:tc>
          <w:tcPr>
            <w:tcW w:w="1517" w:type="dxa"/>
            <w:shd w:val="clear" w:color="auto" w:fill="auto"/>
          </w:tcPr>
          <w:p w14:paraId="5C4E26D8" w14:textId="37E41386" w:rsidR="00714112" w:rsidRPr="00714112" w:rsidRDefault="00714112" w:rsidP="00C5224B">
            <w:pPr>
              <w:jc w:val="righ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/>
                <w:sz w:val="20"/>
                <w:szCs w:val="20"/>
              </w:rPr>
              <w:t>S1 202</w:t>
            </w:r>
            <w:r w:rsidR="00D10235"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  <w:r w:rsidRPr="00714112">
              <w:rPr>
                <w:rFonts w:asciiTheme="minorHAnsi" w:hAnsiTheme="minorHAnsi" w:cs="Calibri"/>
                <w:b/>
                <w:sz w:val="20"/>
                <w:szCs w:val="20"/>
              </w:rPr>
              <w:t>/2</w:t>
            </w:r>
            <w:r w:rsidR="00D10235">
              <w:rPr>
                <w:rFonts w:asciiTheme="minorHAnsi" w:hAnsiTheme="minorHAnsi" w:cs="Calibri"/>
                <w:b/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14:paraId="3D350423" w14:textId="14D9AA26" w:rsidR="00714112" w:rsidRPr="00714112" w:rsidRDefault="00714112" w:rsidP="00C5224B">
            <w:pPr>
              <w:jc w:val="righ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S1 </w:t>
            </w:r>
            <w:r w:rsidR="00E1715E">
              <w:rPr>
                <w:rFonts w:asciiTheme="minorHAnsi" w:hAnsiTheme="minorHAnsi" w:cs="Calibri"/>
                <w:b/>
                <w:sz w:val="20"/>
                <w:szCs w:val="20"/>
              </w:rPr>
              <w:t>2023/24</w:t>
            </w:r>
          </w:p>
        </w:tc>
        <w:tc>
          <w:tcPr>
            <w:tcW w:w="1570" w:type="dxa"/>
          </w:tcPr>
          <w:p w14:paraId="1E2AE04A" w14:textId="63F9EDFF" w:rsidR="00C92E35" w:rsidRDefault="00C92E35" w:rsidP="00046A02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Variation</w:t>
            </w:r>
          </w:p>
        </w:tc>
        <w:tc>
          <w:tcPr>
            <w:tcW w:w="1570" w:type="dxa"/>
          </w:tcPr>
          <w:p w14:paraId="35EC7A1F" w14:textId="77777777" w:rsidR="00714112" w:rsidRPr="00714112" w:rsidRDefault="00714112" w:rsidP="00C5224B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/>
                <w:sz w:val="20"/>
                <w:szCs w:val="20"/>
              </w:rPr>
              <w:t>Variation</w:t>
            </w:r>
            <w:r w:rsidRPr="00714112">
              <w:rPr>
                <w:rFonts w:asciiTheme="minorHAnsi" w:hAnsiTheme="minorHAnsi" w:cs="Calibri"/>
                <w:b/>
                <w:sz w:val="20"/>
                <w:szCs w:val="20"/>
              </w:rPr>
              <w:br/>
              <w:t xml:space="preserve"> en %</w:t>
            </w:r>
          </w:p>
        </w:tc>
      </w:tr>
      <w:tr w:rsidR="00714112" w:rsidRPr="000A640A" w14:paraId="66824FE5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7C9BFD42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sz w:val="20"/>
                <w:szCs w:val="20"/>
              </w:rPr>
              <w:t>Chiffre d’affaires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74FD87F" w14:textId="6B5B68C6" w:rsidR="00714112" w:rsidRPr="00714112" w:rsidRDefault="00AF5B00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24 605</w:t>
            </w:r>
          </w:p>
        </w:tc>
        <w:tc>
          <w:tcPr>
            <w:tcW w:w="1570" w:type="dxa"/>
          </w:tcPr>
          <w:p w14:paraId="1D313C02" w14:textId="255C6CA3" w:rsidR="00714112" w:rsidRPr="00714112" w:rsidRDefault="00E1715E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22 188</w:t>
            </w:r>
          </w:p>
        </w:tc>
        <w:tc>
          <w:tcPr>
            <w:tcW w:w="1570" w:type="dxa"/>
          </w:tcPr>
          <w:p w14:paraId="61CC551C" w14:textId="6F56D371" w:rsidR="00EB7C71" w:rsidRDefault="00330D01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+2</w:t>
            </w:r>
            <w:r w:rsidR="0011005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70" w:type="dxa"/>
            <w:vAlign w:val="center"/>
          </w:tcPr>
          <w:p w14:paraId="04D7D13A" w14:textId="17F1D149" w:rsidR="00714112" w:rsidRPr="00714112" w:rsidRDefault="00FC181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11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384283AC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303FFC61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Marge brute*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1C1D634" w14:textId="311DBB6E" w:rsidR="00714112" w:rsidRPr="00714112" w:rsidRDefault="00842C10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="007A06D6">
              <w:rPr>
                <w:rFonts w:asciiTheme="minorHAnsi" w:hAnsiTheme="minorHAnsi" w:cs="Calibri"/>
                <w:sz w:val="20"/>
                <w:szCs w:val="20"/>
              </w:rPr>
              <w:t>4 961</w:t>
            </w:r>
          </w:p>
        </w:tc>
        <w:tc>
          <w:tcPr>
            <w:tcW w:w="1570" w:type="dxa"/>
          </w:tcPr>
          <w:p w14:paraId="24434EE0" w14:textId="027FAE57" w:rsidR="00714112" w:rsidRPr="00714112" w:rsidRDefault="00E1715E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12 839</w:t>
            </w:r>
          </w:p>
        </w:tc>
        <w:tc>
          <w:tcPr>
            <w:tcW w:w="1570" w:type="dxa"/>
          </w:tcPr>
          <w:p w14:paraId="303DBF93" w14:textId="065DD658" w:rsidR="00EB7C71" w:rsidRDefault="0016108B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</w:t>
            </w:r>
            <w:r w:rsidR="00110056">
              <w:rPr>
                <w:rFonts w:asciiTheme="minorHAnsi" w:hAnsiTheme="minorHAnsi" w:cs="Calibri"/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1570" w:type="dxa"/>
            <w:vAlign w:val="center"/>
          </w:tcPr>
          <w:p w14:paraId="4535B3E0" w14:textId="4849D951" w:rsidR="00714112" w:rsidRPr="00714112" w:rsidRDefault="003B6FAA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17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3C34FB20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6AC23B84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>Marge brute en % du chiffre d’affaires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8723595" w14:textId="322EA5B9" w:rsidR="00714112" w:rsidRPr="00833D89" w:rsidRDefault="00616600" w:rsidP="00C5224B">
            <w:pPr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60.8</w:t>
            </w:r>
            <w:r w:rsidR="00714112"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0" w:type="dxa"/>
          </w:tcPr>
          <w:p w14:paraId="107E6DEC" w14:textId="5FD1258B" w:rsidR="00714112" w:rsidRPr="00833D89" w:rsidRDefault="00E1715E" w:rsidP="00C5224B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57.9</w:t>
            </w:r>
            <w:r w:rsidR="001F02D5"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0" w:type="dxa"/>
          </w:tcPr>
          <w:p w14:paraId="36A91908" w14:textId="77777777" w:rsidR="00EB7C71" w:rsidRPr="00833D89" w:rsidRDefault="00EB7C71" w:rsidP="00046A02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5D4BB393" w14:textId="2664B3FF" w:rsidR="00714112" w:rsidRPr="00833D89" w:rsidRDefault="00796CDD" w:rsidP="00C5224B">
            <w:pPr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+</w:t>
            </w:r>
            <w:r w:rsidR="00616600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2.9</w:t>
            </w: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pb</w:t>
            </w:r>
          </w:p>
        </w:tc>
      </w:tr>
      <w:tr w:rsidR="00714112" w:rsidRPr="000A640A" w14:paraId="51B25AE6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5792C39B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Coûts opérationnels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466E800" w14:textId="48EAFCB0" w:rsidR="00714112" w:rsidRPr="00714112" w:rsidRDefault="00842C10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(12 </w:t>
            </w:r>
            <w:r w:rsidR="00B67C5C">
              <w:rPr>
                <w:rFonts w:asciiTheme="minorHAnsi" w:hAnsiTheme="minorHAnsi" w:cs="Calibri"/>
                <w:sz w:val="20"/>
                <w:szCs w:val="20"/>
              </w:rPr>
              <w:t>499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1570" w:type="dxa"/>
          </w:tcPr>
          <w:p w14:paraId="6ADF27E8" w14:textId="0136BE0C" w:rsidR="00714112" w:rsidRPr="00714112" w:rsidRDefault="001F02D5" w:rsidP="00C5224B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(9 301)</w:t>
            </w:r>
          </w:p>
        </w:tc>
        <w:tc>
          <w:tcPr>
            <w:tcW w:w="1570" w:type="dxa"/>
          </w:tcPr>
          <w:p w14:paraId="6F9EC9C9" w14:textId="3AA85660" w:rsidR="00EB7C71" w:rsidRPr="00FC6FA4" w:rsidRDefault="00A91AD4" w:rsidP="00CA16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07E54">
              <w:rPr>
                <w:rFonts w:asciiTheme="minorHAnsi" w:hAnsiTheme="minorHAnsi" w:cs="Calibri"/>
                <w:color w:val="000000"/>
                <w:sz w:val="20"/>
                <w:szCs w:val="20"/>
              </w:rPr>
              <w:t>+</w:t>
            </w:r>
            <w:r w:rsidR="004E3F91" w:rsidRPr="00CA1632">
              <w:rPr>
                <w:rFonts w:asciiTheme="minorHAnsi" w:hAnsiTheme="minorHAnsi" w:cs="Calibri"/>
                <w:color w:val="000000"/>
                <w:sz w:val="20"/>
                <w:szCs w:val="20"/>
              </w:rPr>
              <w:t>3 198</w:t>
            </w:r>
          </w:p>
        </w:tc>
        <w:tc>
          <w:tcPr>
            <w:tcW w:w="1570" w:type="dxa"/>
            <w:vAlign w:val="center"/>
          </w:tcPr>
          <w:p w14:paraId="0E0ADC4E" w14:textId="1CD3198C" w:rsidR="00714112" w:rsidRPr="00714112" w:rsidRDefault="009B0035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34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5C8B46B8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42561D18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Résultat d’exploitation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A6FF00" w14:textId="5F65FD41" w:rsidR="00714112" w:rsidRPr="00714112" w:rsidRDefault="00B67C5C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2 462</w:t>
            </w:r>
          </w:p>
        </w:tc>
        <w:tc>
          <w:tcPr>
            <w:tcW w:w="1570" w:type="dxa"/>
          </w:tcPr>
          <w:p w14:paraId="2D91A8AC" w14:textId="7C15EAC5" w:rsidR="00714112" w:rsidRPr="00714112" w:rsidRDefault="009B0035" w:rsidP="00C5224B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3 5</w:t>
            </w:r>
            <w:r w:rsidR="001F02D5">
              <w:rPr>
                <w:rFonts w:asciiTheme="minorHAnsi" w:hAnsiTheme="minorHAns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70" w:type="dxa"/>
          </w:tcPr>
          <w:p w14:paraId="5A2F2326" w14:textId="095961AC" w:rsidR="00EB7C71" w:rsidRDefault="004D3CCA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-1 076</w:t>
            </w:r>
          </w:p>
        </w:tc>
        <w:tc>
          <w:tcPr>
            <w:tcW w:w="1570" w:type="dxa"/>
            <w:vAlign w:val="center"/>
          </w:tcPr>
          <w:p w14:paraId="4800AA1F" w14:textId="17E7B138" w:rsidR="00714112" w:rsidRPr="00714112" w:rsidRDefault="007D1D64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</w:t>
            </w:r>
            <w:r w:rsidR="00B00811">
              <w:rPr>
                <w:rFonts w:asciiTheme="minorHAnsi" w:hAnsiTheme="minorHAnsi" w:cs="Calibr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0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5DB7EC0E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6624EA6A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>Résultat d’exploitation en % du chiffre d’affaires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141E217" w14:textId="3B228603" w:rsidR="00714112" w:rsidRPr="00833D89" w:rsidRDefault="0068657B" w:rsidP="00C5224B">
            <w:pPr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833D89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10.</w:t>
            </w:r>
            <w:r w:rsidR="00D91194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0</w:t>
            </w:r>
            <w:r w:rsidRPr="00833D89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570" w:type="dxa"/>
          </w:tcPr>
          <w:p w14:paraId="478B5051" w14:textId="0531B8F8" w:rsidR="00714112" w:rsidRPr="00833D89" w:rsidRDefault="001F02D5" w:rsidP="00C5224B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15.9%</w:t>
            </w:r>
          </w:p>
        </w:tc>
        <w:tc>
          <w:tcPr>
            <w:tcW w:w="1570" w:type="dxa"/>
          </w:tcPr>
          <w:p w14:paraId="00DF1E49" w14:textId="77777777" w:rsidR="00EB7C71" w:rsidRPr="00833D89" w:rsidRDefault="00EB7C71" w:rsidP="00046A02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46950399" w14:textId="4EF43B82" w:rsidR="00714112" w:rsidRPr="00833D89" w:rsidRDefault="00D26295" w:rsidP="00C5224B">
            <w:pPr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-5.</w:t>
            </w:r>
            <w:r w:rsidR="00D91194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9</w:t>
            </w:r>
            <w:r w:rsidRPr="00833D89">
              <w:rPr>
                <w:rFonts w:asciiTheme="minorHAnsi" w:hAnsiTheme="minorHAnsi" w:cs="Calibri"/>
                <w:i/>
                <w:iCs/>
                <w:color w:val="000000"/>
                <w:sz w:val="20"/>
                <w:szCs w:val="20"/>
              </w:rPr>
              <w:t>pb</w:t>
            </w:r>
          </w:p>
        </w:tc>
      </w:tr>
      <w:tr w:rsidR="00714112" w:rsidRPr="000A640A" w14:paraId="284E29DB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73E7CF5E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Résultat financier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F0B33C6" w14:textId="1E50DB40" w:rsidR="00714112" w:rsidRPr="00714112" w:rsidRDefault="00842C10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85</w:t>
            </w:r>
          </w:p>
        </w:tc>
        <w:tc>
          <w:tcPr>
            <w:tcW w:w="1570" w:type="dxa"/>
          </w:tcPr>
          <w:p w14:paraId="0BCDF8B1" w14:textId="70B891F5" w:rsidR="00714112" w:rsidRPr="00714112" w:rsidRDefault="001F02D5" w:rsidP="00C5224B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(71)</w:t>
            </w:r>
          </w:p>
        </w:tc>
        <w:tc>
          <w:tcPr>
            <w:tcW w:w="1570" w:type="dxa"/>
          </w:tcPr>
          <w:p w14:paraId="159F3859" w14:textId="624A142F" w:rsidR="00EB7C71" w:rsidRDefault="00052F24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+156</w:t>
            </w:r>
          </w:p>
        </w:tc>
        <w:tc>
          <w:tcPr>
            <w:tcW w:w="1570" w:type="dxa"/>
            <w:vAlign w:val="center"/>
          </w:tcPr>
          <w:p w14:paraId="77CA55E5" w14:textId="277EA162" w:rsidR="00714112" w:rsidRPr="00714112" w:rsidRDefault="0073711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</w:t>
            </w:r>
            <w:r w:rsidR="006F4E7F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19.8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497FD4B1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59A86D2E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Impôt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D716783" w14:textId="22CE952C" w:rsidR="00714112" w:rsidRPr="00714112" w:rsidRDefault="00842C10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="002114E3">
              <w:rPr>
                <w:rFonts w:asciiTheme="minorHAnsi" w:hAnsiTheme="minorHAnsi" w:cs="Calibri"/>
                <w:sz w:val="20"/>
                <w:szCs w:val="20"/>
              </w:rPr>
              <w:t>97)</w:t>
            </w:r>
          </w:p>
        </w:tc>
        <w:tc>
          <w:tcPr>
            <w:tcW w:w="1570" w:type="dxa"/>
          </w:tcPr>
          <w:p w14:paraId="729CD258" w14:textId="1D28D994" w:rsidR="00714112" w:rsidRPr="00714112" w:rsidRDefault="001F02D5" w:rsidP="00C5224B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(372)</w:t>
            </w:r>
          </w:p>
        </w:tc>
        <w:tc>
          <w:tcPr>
            <w:tcW w:w="1570" w:type="dxa"/>
          </w:tcPr>
          <w:p w14:paraId="2FF77364" w14:textId="11199B92" w:rsidR="00EB7C71" w:rsidRDefault="00D22CB4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-275</w:t>
            </w:r>
          </w:p>
        </w:tc>
        <w:tc>
          <w:tcPr>
            <w:tcW w:w="1570" w:type="dxa"/>
            <w:vAlign w:val="center"/>
          </w:tcPr>
          <w:p w14:paraId="053E7E4C" w14:textId="7721A89F" w:rsidR="00714112" w:rsidRPr="00714112" w:rsidRDefault="00FE208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-73.9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7D4E84EC" w14:textId="77777777" w:rsidTr="00CA1632">
        <w:trPr>
          <w:trHeight w:val="266"/>
          <w:jc w:val="center"/>
        </w:trPr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14:paraId="480F7526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Résultat Net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E0D65" w14:textId="09829DBD" w:rsidR="00714112" w:rsidRPr="00714112" w:rsidRDefault="002114E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2 </w:t>
            </w:r>
            <w:r w:rsidR="00890414">
              <w:rPr>
                <w:rFonts w:asciiTheme="minorHAnsi" w:hAnsiTheme="minorHAnsi" w:cs="Calibri"/>
                <w:sz w:val="20"/>
                <w:szCs w:val="20"/>
              </w:rPr>
              <w:t>450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A24A651" w14:textId="4D713268" w:rsidR="00714112" w:rsidRPr="00714112" w:rsidRDefault="00564562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3 095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41D1608" w14:textId="1900BA5B" w:rsidR="00EB7C71" w:rsidRDefault="004521B6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-645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B0D6E54" w14:textId="69AEEA34" w:rsidR="00714112" w:rsidRPr="00714112" w:rsidRDefault="0095695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</w:t>
            </w:r>
            <w:r w:rsidR="00987636">
              <w:rPr>
                <w:rFonts w:asciiTheme="minorHAnsi" w:hAnsiTheme="minorHAnsi" w:cs="Calibri"/>
                <w:color w:val="000000"/>
                <w:sz w:val="20"/>
                <w:szCs w:val="20"/>
              </w:rPr>
              <w:t>21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0BE31465" w14:textId="77777777" w:rsidTr="00CA1632">
        <w:trPr>
          <w:trHeight w:val="433"/>
          <w:jc w:val="center"/>
        </w:trPr>
        <w:tc>
          <w:tcPr>
            <w:tcW w:w="51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E4E0A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4BCA8" w14:textId="77777777" w:rsidR="00714112" w:rsidRPr="00714112" w:rsidRDefault="00714112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nil"/>
            </w:tcBorders>
          </w:tcPr>
          <w:p w14:paraId="59966FDE" w14:textId="77777777" w:rsidR="00714112" w:rsidRPr="00714112" w:rsidRDefault="00714112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nil"/>
            </w:tcBorders>
          </w:tcPr>
          <w:p w14:paraId="48D000C7" w14:textId="77777777" w:rsidR="00EB7C71" w:rsidRPr="00714112" w:rsidRDefault="00EB7C71" w:rsidP="00046A02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4E74C8" w14:textId="77777777" w:rsidR="00714112" w:rsidRPr="00714112" w:rsidRDefault="00714112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14112" w:rsidRPr="000A640A" w14:paraId="397842DC" w14:textId="77777777" w:rsidTr="00CA1632">
        <w:trPr>
          <w:trHeight w:val="298"/>
          <w:jc w:val="center"/>
        </w:trPr>
        <w:tc>
          <w:tcPr>
            <w:tcW w:w="5177" w:type="dxa"/>
            <w:tcBorders>
              <w:top w:val="single" w:sz="4" w:space="0" w:color="auto"/>
            </w:tcBorders>
            <w:shd w:val="clear" w:color="auto" w:fill="auto"/>
          </w:tcPr>
          <w:p w14:paraId="0F95E563" w14:textId="77777777" w:rsidR="00BB4D4F" w:rsidRDefault="00BB4D4F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2192245C" w14:textId="784F26F1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Free Cash-Flow / Génération de trésorerie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9A3B3" w14:textId="5980108F" w:rsidR="00714112" w:rsidRPr="00714112" w:rsidRDefault="002114E3" w:rsidP="00570334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D4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(7 </w:t>
            </w:r>
            <w:r w:rsidR="00BB4D4F">
              <w:rPr>
                <w:rFonts w:asciiTheme="minorHAnsi" w:hAnsiTheme="minorHAnsi" w:cs="Calibri"/>
                <w:bCs/>
                <w:sz w:val="20"/>
                <w:szCs w:val="20"/>
              </w:rPr>
              <w:t>685</w:t>
            </w:r>
            <w:r w:rsidRPr="00BB4D4F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4EADB03E" w14:textId="77777777" w:rsidR="00BB4D4F" w:rsidRDefault="00BB4D4F" w:rsidP="0056456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7788134B" w14:textId="210818D7" w:rsidR="00714112" w:rsidRDefault="00564562" w:rsidP="0056456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(1 764)</w:t>
            </w:r>
          </w:p>
          <w:p w14:paraId="015A18C5" w14:textId="1B689F38" w:rsidR="00564562" w:rsidRPr="00714112" w:rsidRDefault="00564562" w:rsidP="00C5224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593DB63F" w14:textId="77777777" w:rsidR="00EB7C71" w:rsidRDefault="00EB7C71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127A732" w14:textId="71C16D2F" w:rsidR="00EB7C71" w:rsidRPr="00CA1632" w:rsidRDefault="001B5B10" w:rsidP="00046A02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-</w:t>
            </w:r>
            <w:r w:rsidR="003149D2">
              <w:rPr>
                <w:rFonts w:asciiTheme="minorHAnsi" w:hAnsiTheme="minorHAnsi" w:cs="Calibri"/>
                <w:sz w:val="20"/>
                <w:szCs w:val="20"/>
              </w:rPr>
              <w:t>5 921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7874F217" w14:textId="0F27D746" w:rsidR="00714112" w:rsidRPr="00714112" w:rsidRDefault="00956953" w:rsidP="00C5224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</w:t>
            </w:r>
            <w:r w:rsidR="007962B3">
              <w:rPr>
                <w:rFonts w:asciiTheme="minorHAnsi" w:hAnsiTheme="minorHAnsi" w:cs="Calibri"/>
                <w:color w:val="000000"/>
                <w:sz w:val="20"/>
                <w:szCs w:val="20"/>
              </w:rPr>
              <w:t>4</w:t>
            </w:r>
            <w:r w:rsidR="006B2960">
              <w:rPr>
                <w:rFonts w:asciiTheme="minorHAnsi" w:hAnsiTheme="minorHAnsi" w:cs="Calibri"/>
                <w:color w:val="000000"/>
                <w:sz w:val="20"/>
                <w:szCs w:val="20"/>
              </w:rPr>
              <w:t>36.6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29B5732E" w14:textId="77777777" w:rsidTr="00CA1632">
        <w:trPr>
          <w:trHeight w:val="266"/>
          <w:jc w:val="center"/>
        </w:trPr>
        <w:tc>
          <w:tcPr>
            <w:tcW w:w="5177" w:type="dxa"/>
            <w:shd w:val="clear" w:color="auto" w:fill="auto"/>
          </w:tcPr>
          <w:p w14:paraId="55A9C385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Dette nette (Dette financière – Trésorerie active)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CBE97BC" w14:textId="5A10FB3C" w:rsidR="00714112" w:rsidRPr="00714112" w:rsidRDefault="002114E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6 886</w:t>
            </w:r>
          </w:p>
        </w:tc>
        <w:tc>
          <w:tcPr>
            <w:tcW w:w="1570" w:type="dxa"/>
          </w:tcPr>
          <w:p w14:paraId="66D00001" w14:textId="56257F49" w:rsidR="00714112" w:rsidRPr="00714112" w:rsidRDefault="00440618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13 744</w:t>
            </w:r>
          </w:p>
        </w:tc>
        <w:tc>
          <w:tcPr>
            <w:tcW w:w="1570" w:type="dxa"/>
          </w:tcPr>
          <w:p w14:paraId="78853CCB" w14:textId="105054F6" w:rsidR="00EB7C71" w:rsidRDefault="006A3E37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-6 858</w:t>
            </w:r>
          </w:p>
        </w:tc>
        <w:tc>
          <w:tcPr>
            <w:tcW w:w="1570" w:type="dxa"/>
            <w:vAlign w:val="center"/>
          </w:tcPr>
          <w:p w14:paraId="549D182E" w14:textId="2A138639" w:rsidR="00714112" w:rsidRPr="00714112" w:rsidRDefault="004D36DE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-49.9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  <w:tr w:rsidR="00714112" w:rsidRPr="000A640A" w14:paraId="64467EC0" w14:textId="77777777" w:rsidTr="00CA1632">
        <w:trPr>
          <w:trHeight w:val="249"/>
          <w:jc w:val="center"/>
        </w:trPr>
        <w:tc>
          <w:tcPr>
            <w:tcW w:w="5177" w:type="dxa"/>
            <w:shd w:val="clear" w:color="auto" w:fill="auto"/>
          </w:tcPr>
          <w:p w14:paraId="311076B7" w14:textId="77777777" w:rsidR="00714112" w:rsidRPr="00714112" w:rsidRDefault="00714112" w:rsidP="00C5224B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14112">
              <w:rPr>
                <w:rFonts w:asciiTheme="minorHAnsi" w:hAnsiTheme="minorHAnsi" w:cs="Calibri"/>
                <w:bCs/>
                <w:sz w:val="20"/>
                <w:szCs w:val="20"/>
              </w:rPr>
              <w:t>Capitaux Propres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FA71D80" w14:textId="3DB8CD21" w:rsidR="00714112" w:rsidRPr="00714112" w:rsidRDefault="002114E3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19 </w:t>
            </w:r>
            <w:r w:rsidR="00C35C01">
              <w:rPr>
                <w:rFonts w:asciiTheme="minorHAnsi" w:hAnsiTheme="minorHAnsi" w:cs="Calibri"/>
                <w:sz w:val="20"/>
                <w:szCs w:val="20"/>
              </w:rPr>
              <w:t>230</w:t>
            </w:r>
          </w:p>
        </w:tc>
        <w:tc>
          <w:tcPr>
            <w:tcW w:w="1570" w:type="dxa"/>
          </w:tcPr>
          <w:p w14:paraId="29239B3B" w14:textId="02B543D1" w:rsidR="00714112" w:rsidRPr="00714112" w:rsidRDefault="00440618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15 211</w:t>
            </w:r>
          </w:p>
        </w:tc>
        <w:tc>
          <w:tcPr>
            <w:tcW w:w="1570" w:type="dxa"/>
          </w:tcPr>
          <w:p w14:paraId="5D1F9F29" w14:textId="3542C60F" w:rsidR="00EB7C71" w:rsidRDefault="00AC5422" w:rsidP="00046A0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+4 019</w:t>
            </w:r>
          </w:p>
        </w:tc>
        <w:tc>
          <w:tcPr>
            <w:tcW w:w="1570" w:type="dxa"/>
            <w:vAlign w:val="center"/>
          </w:tcPr>
          <w:p w14:paraId="5606F735" w14:textId="15DEDB34" w:rsidR="00714112" w:rsidRPr="00714112" w:rsidRDefault="00752E8A" w:rsidP="00C5224B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+27.2</w:t>
            </w:r>
            <w:r w:rsidR="00714112" w:rsidRPr="00714112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7F796510" w14:textId="77777777" w:rsidR="00714112" w:rsidRPr="000A640A" w:rsidRDefault="00714112" w:rsidP="00714112">
      <w:pPr>
        <w:ind w:left="709"/>
        <w:jc w:val="both"/>
        <w:rPr>
          <w:rFonts w:cs="Calibri"/>
          <w:sz w:val="10"/>
          <w:szCs w:val="10"/>
        </w:rPr>
      </w:pPr>
    </w:p>
    <w:p w14:paraId="6F27046E" w14:textId="61FC53B9" w:rsidR="00714112" w:rsidRPr="00AB3B59" w:rsidRDefault="00714112" w:rsidP="00714112">
      <w:pPr>
        <w:jc w:val="both"/>
        <w:rPr>
          <w:rFonts w:cs="Calibri"/>
          <w:i/>
          <w:sz w:val="18"/>
          <w:szCs w:val="18"/>
        </w:rPr>
      </w:pPr>
      <w:r w:rsidRPr="000A640A">
        <w:rPr>
          <w:rFonts w:cs="Calibri"/>
        </w:rPr>
        <w:t>*</w:t>
      </w:r>
      <w:r w:rsidRPr="000A640A">
        <w:rPr>
          <w:rFonts w:cs="Calibri"/>
          <w:i/>
          <w:sz w:val="18"/>
          <w:szCs w:val="18"/>
        </w:rPr>
        <w:t xml:space="preserve">La marge brute est le chiffre d’affaires </w:t>
      </w:r>
      <w:r w:rsidR="009339E5">
        <w:rPr>
          <w:rFonts w:cs="Calibri"/>
          <w:i/>
          <w:sz w:val="18"/>
          <w:szCs w:val="18"/>
        </w:rPr>
        <w:t xml:space="preserve">net </w:t>
      </w:r>
      <w:r w:rsidRPr="000A640A">
        <w:rPr>
          <w:rFonts w:cs="Calibri"/>
          <w:i/>
          <w:sz w:val="18"/>
          <w:szCs w:val="18"/>
        </w:rPr>
        <w:t>diminué des remises de fin d’année, des achats directs, des frais accessoires sur achats et des dotations aux provisions sur stock</w:t>
      </w:r>
    </w:p>
    <w:p w14:paraId="46E1E646" w14:textId="77777777" w:rsidR="00714112" w:rsidRPr="00AB3B59" w:rsidRDefault="00714112" w:rsidP="00714112">
      <w:pPr>
        <w:jc w:val="both"/>
        <w:rPr>
          <w:rFonts w:cs="Calibri"/>
        </w:rPr>
      </w:pPr>
    </w:p>
    <w:p w14:paraId="634BDE13" w14:textId="3A742EC7" w:rsidR="00714112" w:rsidRDefault="00714112" w:rsidP="00714112">
      <w:pPr>
        <w:jc w:val="both"/>
        <w:rPr>
          <w:rFonts w:cs="Calibri"/>
        </w:rPr>
      </w:pPr>
      <w:r w:rsidRPr="00AB3B59">
        <w:rPr>
          <w:rFonts w:cs="Calibri"/>
        </w:rPr>
        <w:t>L’intégralité des états financiers pour le semestre clos le 30 septembre 202</w:t>
      </w:r>
      <w:r>
        <w:rPr>
          <w:rFonts w:cs="Calibri"/>
        </w:rPr>
        <w:t>4</w:t>
      </w:r>
      <w:r w:rsidRPr="00AB3B59">
        <w:rPr>
          <w:rFonts w:cs="Calibri"/>
        </w:rPr>
        <w:t xml:space="preserve"> </w:t>
      </w:r>
      <w:r w:rsidR="004A7361">
        <w:rPr>
          <w:rFonts w:cs="Calibri"/>
        </w:rPr>
        <w:t>sera</w:t>
      </w:r>
      <w:r w:rsidR="004A7361" w:rsidRPr="00AB3B59">
        <w:rPr>
          <w:rFonts w:cs="Calibri"/>
        </w:rPr>
        <w:t xml:space="preserve"> </w:t>
      </w:r>
      <w:r w:rsidRPr="00AB3B59">
        <w:rPr>
          <w:rFonts w:cs="Calibri"/>
        </w:rPr>
        <w:t>disponible dans le rapport financier semestriel sur le site de Lexibook</w:t>
      </w:r>
      <w:r w:rsidR="004A7361">
        <w:rPr>
          <w:rFonts w:cs="Calibri"/>
        </w:rPr>
        <w:t xml:space="preserve"> au plus tard le 02 décembre 2024</w:t>
      </w:r>
      <w:r w:rsidRPr="00AB3B59">
        <w:rPr>
          <w:rFonts w:cs="Calibri"/>
        </w:rPr>
        <w:t>.</w:t>
      </w:r>
    </w:p>
    <w:p w14:paraId="3DCABAED" w14:textId="77777777" w:rsidR="00963077" w:rsidRDefault="00963077" w:rsidP="00714112">
      <w:pPr>
        <w:jc w:val="both"/>
        <w:rPr>
          <w:rFonts w:cs="Calibri"/>
        </w:rPr>
      </w:pPr>
    </w:p>
    <w:p w14:paraId="39E738C7" w14:textId="012FA055" w:rsidR="00963077" w:rsidRPr="009B7DC0" w:rsidRDefault="00DA696D" w:rsidP="00963077">
      <w:pPr>
        <w:autoSpaceDE w:val="0"/>
        <w:autoSpaceDN w:val="0"/>
        <w:adjustRightInd w:val="0"/>
        <w:spacing w:after="360" w:line="240" w:lineRule="atLeast"/>
        <w:jc w:val="both"/>
        <w:rPr>
          <w:rFonts w:cs="Calibri"/>
          <w:b/>
          <w:u w:val="single"/>
        </w:rPr>
      </w:pPr>
      <w:r w:rsidRPr="009B7DC0">
        <w:rPr>
          <w:rFonts w:cs="Calibri"/>
          <w:b/>
          <w:u w:val="single"/>
        </w:rPr>
        <w:t>Un chiffre d’affaires toujours en progression et une amélioration des marges</w:t>
      </w:r>
    </w:p>
    <w:p w14:paraId="0ABBD4F1" w14:textId="6CA6BC45" w:rsidR="00C12C50" w:rsidRPr="00662474" w:rsidRDefault="00C12C50" w:rsidP="00C12C50">
      <w:pPr>
        <w:autoSpaceDE w:val="0"/>
        <w:autoSpaceDN w:val="0"/>
        <w:adjustRightInd w:val="0"/>
        <w:spacing w:line="240" w:lineRule="atLeast"/>
        <w:rPr>
          <w:rFonts w:cs="Calibri"/>
        </w:rPr>
      </w:pPr>
      <w:r w:rsidRPr="00956245">
        <w:rPr>
          <w:rFonts w:cs="Calibri"/>
        </w:rPr>
        <w:t>Au 30 septembre 202</w:t>
      </w:r>
      <w:r w:rsidR="004E3655">
        <w:rPr>
          <w:rFonts w:cs="Calibri"/>
        </w:rPr>
        <w:t>4</w:t>
      </w:r>
      <w:r w:rsidRPr="00956245">
        <w:rPr>
          <w:rFonts w:cs="Calibri"/>
        </w:rPr>
        <w:t xml:space="preserve">, le chiffre d’affaires du Groupe ressort à </w:t>
      </w:r>
      <w:r w:rsidR="004E3655">
        <w:rPr>
          <w:rFonts w:cs="Calibri"/>
        </w:rPr>
        <w:t>24.</w:t>
      </w:r>
      <w:r w:rsidR="00B22A87">
        <w:rPr>
          <w:rFonts w:cs="Calibri"/>
        </w:rPr>
        <w:t>6</w:t>
      </w:r>
      <w:r w:rsidRPr="00956245">
        <w:rPr>
          <w:rFonts w:cs="Calibri"/>
        </w:rPr>
        <w:t xml:space="preserve"> M€ contre </w:t>
      </w:r>
      <w:r w:rsidR="004E3655">
        <w:rPr>
          <w:rFonts w:cs="Calibri"/>
        </w:rPr>
        <w:t>22.</w:t>
      </w:r>
      <w:r w:rsidR="000965B7">
        <w:rPr>
          <w:rFonts w:cs="Calibri"/>
        </w:rPr>
        <w:t>2</w:t>
      </w:r>
      <w:r w:rsidRPr="00956245">
        <w:rPr>
          <w:rFonts w:cs="Calibri"/>
        </w:rPr>
        <w:t xml:space="preserve"> M€ au 30 septembre 202</w:t>
      </w:r>
      <w:r w:rsidR="000965B7">
        <w:rPr>
          <w:rFonts w:cs="Calibri"/>
        </w:rPr>
        <w:t>3</w:t>
      </w:r>
      <w:r w:rsidRPr="00956245">
        <w:rPr>
          <w:rFonts w:cs="Calibri"/>
        </w:rPr>
        <w:t xml:space="preserve">, soit une progression de </w:t>
      </w:r>
      <w:r w:rsidR="00B22A87">
        <w:rPr>
          <w:rFonts w:cs="Calibri"/>
        </w:rPr>
        <w:t>10.8</w:t>
      </w:r>
      <w:r w:rsidRPr="00956245">
        <w:rPr>
          <w:rFonts w:cs="Calibri"/>
        </w:rPr>
        <w:t xml:space="preserve"> %. </w:t>
      </w:r>
    </w:p>
    <w:p w14:paraId="008B0B7C" w14:textId="77777777" w:rsidR="00F44000" w:rsidRDefault="00F44000" w:rsidP="00F44000"/>
    <w:p w14:paraId="22A550B6" w14:textId="77777777" w:rsidR="005B4D40" w:rsidRDefault="005B4D40" w:rsidP="005B4D40">
      <w:r>
        <w:t>En fonction des zones géographiques de vente, nous observons des dynamiques différentes :</w:t>
      </w:r>
    </w:p>
    <w:p w14:paraId="3B1615BB" w14:textId="77777777" w:rsidR="005B4D40" w:rsidRDefault="005B4D40" w:rsidP="005B4D40">
      <w:pPr>
        <w:pStyle w:val="Paragraphedeliste"/>
        <w:numPr>
          <w:ilvl w:val="0"/>
          <w:numId w:val="2"/>
        </w:numPr>
      </w:pPr>
      <w:r>
        <w:t>Les ventes en Europe, à l’exception du Royaume-Uni et de la France affichent un retrait de 10%,</w:t>
      </w:r>
    </w:p>
    <w:p w14:paraId="594C88F0" w14:textId="77777777" w:rsidR="005B4D40" w:rsidRDefault="005B4D40" w:rsidP="005B4D40">
      <w:pPr>
        <w:pStyle w:val="Paragraphedeliste"/>
        <w:numPr>
          <w:ilvl w:val="0"/>
          <w:numId w:val="2"/>
        </w:numPr>
      </w:pPr>
      <w:r>
        <w:t>Le chiffre d’affaires Royaume-Uni progresse de 48%,</w:t>
      </w:r>
    </w:p>
    <w:p w14:paraId="682E4F81" w14:textId="77777777" w:rsidR="005B4D40" w:rsidRDefault="005B4D40" w:rsidP="005B4D40">
      <w:pPr>
        <w:pStyle w:val="Paragraphedeliste"/>
        <w:numPr>
          <w:ilvl w:val="0"/>
          <w:numId w:val="2"/>
        </w:numPr>
      </w:pPr>
      <w:r>
        <w:t>Le chiffre d’affaires France progresse de 16%,</w:t>
      </w:r>
    </w:p>
    <w:p w14:paraId="53ACEC6B" w14:textId="223F31B3" w:rsidR="005B4D40" w:rsidRDefault="005B4D40" w:rsidP="005B4D40">
      <w:pPr>
        <w:pStyle w:val="Paragraphedeliste"/>
        <w:numPr>
          <w:ilvl w:val="0"/>
          <w:numId w:val="2"/>
        </w:numPr>
      </w:pPr>
      <w:r>
        <w:t>Le reste du monde progresse de 62%</w:t>
      </w:r>
      <w:r w:rsidR="009E3053">
        <w:t>,</w:t>
      </w:r>
    </w:p>
    <w:p w14:paraId="2BF69592" w14:textId="3404BED5" w:rsidR="005B4D40" w:rsidRDefault="005B4D40" w:rsidP="005B4D40">
      <w:pPr>
        <w:pStyle w:val="Paragraphedeliste"/>
        <w:numPr>
          <w:ilvl w:val="0"/>
          <w:numId w:val="2"/>
        </w:numPr>
      </w:pPr>
      <w:r>
        <w:t>Les Etats-Unis, au sein du reste du monde affiche</w:t>
      </w:r>
      <w:r w:rsidR="00F811EB">
        <w:t>nt</w:t>
      </w:r>
      <w:r>
        <w:t xml:space="preserve"> une croissance de 2.6 fois.</w:t>
      </w:r>
    </w:p>
    <w:p w14:paraId="2DD4CD91" w14:textId="77777777" w:rsidR="005B4D40" w:rsidRDefault="005B4D40" w:rsidP="005B4D40"/>
    <w:p w14:paraId="57DF111C" w14:textId="716A97C8" w:rsidR="005B4D40" w:rsidRPr="00DE0323" w:rsidRDefault="005B4D40" w:rsidP="005B4D40">
      <w:r>
        <w:t xml:space="preserve">Les ventes sous licences progressent de 15%, là aussi avec des nuances en fonction des licences. </w:t>
      </w:r>
    </w:p>
    <w:p w14:paraId="7E90AA77" w14:textId="77777777" w:rsidR="00F44000" w:rsidRDefault="00F44000" w:rsidP="00F44000"/>
    <w:p w14:paraId="24E19E6F" w14:textId="7725AE8D" w:rsidR="00F44000" w:rsidRPr="008A3D2E" w:rsidRDefault="00F44000" w:rsidP="001A67F7">
      <w:pPr>
        <w:jc w:val="both"/>
      </w:pPr>
      <w:r w:rsidRPr="008A3D2E">
        <w:t xml:space="preserve">Le tableau ci-dessous présente la marge brute, la marge brute retraitée des impacts de change qui sont inclus dans le résultat financier </w:t>
      </w:r>
      <w:r w:rsidR="00CD1375">
        <w:t>ainsi que l</w:t>
      </w:r>
      <w:r w:rsidRPr="008A3D2E">
        <w:t>a marge 4 net</w:t>
      </w:r>
      <w:r w:rsidR="00CD1375">
        <w:t>te</w:t>
      </w:r>
      <w:r w:rsidRPr="008A3D2E">
        <w:t xml:space="preserve"> après participations publicitaires et royalties :</w:t>
      </w:r>
    </w:p>
    <w:p w14:paraId="288964A8" w14:textId="77777777" w:rsidR="00963077" w:rsidRPr="00AB3B59" w:rsidRDefault="00963077" w:rsidP="00714112">
      <w:pPr>
        <w:jc w:val="both"/>
        <w:rPr>
          <w:rFonts w:cs="Calibri"/>
        </w:rPr>
      </w:pPr>
    </w:p>
    <w:bookmarkStart w:id="0" w:name="_MON_1792926761"/>
    <w:bookmarkEnd w:id="0"/>
    <w:p w14:paraId="1CEF5977" w14:textId="48E08E27" w:rsidR="00714112" w:rsidRPr="005B74F5" w:rsidRDefault="00A80A0F" w:rsidP="000F5972">
      <w:pPr>
        <w:spacing w:after="120"/>
        <w:jc w:val="both"/>
        <w:outlineLvl w:val="0"/>
        <w:rPr>
          <w:rFonts w:cs="Calibri"/>
          <w:lang w:eastAsia="fr-FR"/>
        </w:rPr>
      </w:pPr>
      <w:r>
        <w:rPr>
          <w:rFonts w:cs="Calibri"/>
          <w:lang w:eastAsia="fr-FR"/>
        </w:rPr>
        <w:object w:dxaOrig="10182" w:dyaOrig="4117" w14:anchorId="226BD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9.05pt;height:206.45pt" o:ole="">
            <v:imagedata r:id="rId5" o:title=""/>
          </v:shape>
          <o:OLEObject Type="Embed" ProgID="Excel.Sheet.12" ShapeID="_x0000_i1029" DrawAspect="Content" ObjectID="_1793185808" r:id="rId6"/>
        </w:object>
      </w:r>
    </w:p>
    <w:p w14:paraId="35FD5CB1" w14:textId="47E9A3CA" w:rsidR="00BF6816" w:rsidRPr="009B7DC0" w:rsidRDefault="00EC7397" w:rsidP="00BF6816">
      <w:pPr>
        <w:rPr>
          <w:b/>
          <w:bCs/>
          <w:u w:val="single"/>
        </w:rPr>
      </w:pPr>
      <w:r w:rsidRPr="009B7DC0">
        <w:rPr>
          <w:b/>
          <w:bCs/>
          <w:u w:val="single"/>
        </w:rPr>
        <w:t>Résultat d’exploitation</w:t>
      </w:r>
    </w:p>
    <w:p w14:paraId="2C786E46" w14:textId="77777777" w:rsidR="00EC7397" w:rsidRDefault="00EC7397" w:rsidP="00BF6816">
      <w:pPr>
        <w:rPr>
          <w:b/>
          <w:bCs/>
        </w:rPr>
      </w:pPr>
    </w:p>
    <w:p w14:paraId="5EAA5F9F" w14:textId="3D15F01C" w:rsidR="00921704" w:rsidRDefault="00D54C0E" w:rsidP="00BF6816">
      <w:pPr>
        <w:numPr>
          <w:ilvl w:val="0"/>
          <w:numId w:val="1"/>
        </w:numPr>
        <w:jc w:val="both"/>
      </w:pPr>
      <w:r>
        <w:t xml:space="preserve">La marge brute </w:t>
      </w:r>
      <w:r w:rsidR="00726481">
        <w:t xml:space="preserve">semestrielle </w:t>
      </w:r>
      <w:r>
        <w:t xml:space="preserve">a progressé de </w:t>
      </w:r>
      <w:r w:rsidR="00726481">
        <w:t>2.</w:t>
      </w:r>
      <w:r w:rsidR="00D52B7D">
        <w:t>1</w:t>
      </w:r>
      <w:r w:rsidR="00726481">
        <w:t>M€</w:t>
      </w:r>
      <w:r w:rsidR="00264D5E">
        <w:t>.</w:t>
      </w:r>
      <w:r w:rsidR="00D03116" w:rsidRPr="00183E40">
        <w:rPr>
          <w:rFonts w:eastAsia="Times New Roman"/>
        </w:rPr>
        <w:t xml:space="preserve"> </w:t>
      </w:r>
    </w:p>
    <w:p w14:paraId="40065C88" w14:textId="77777777" w:rsidR="000C7735" w:rsidRDefault="000C7735" w:rsidP="00BF6816"/>
    <w:p w14:paraId="4AFBA553" w14:textId="2B82E710" w:rsidR="00436CF8" w:rsidRDefault="00436CF8" w:rsidP="00BF6816">
      <w:r>
        <w:t xml:space="preserve">Les coûts opérationnels ont progressé de </w:t>
      </w:r>
      <w:r w:rsidR="00D474C5">
        <w:t>3.2M€ (défavorable)</w:t>
      </w:r>
      <w:r w:rsidR="000C7735">
        <w:t> :</w:t>
      </w:r>
    </w:p>
    <w:p w14:paraId="63B6C07B" w14:textId="70FC3669" w:rsidR="00264D5E" w:rsidRDefault="00264D5E" w:rsidP="00FC0A25">
      <w:pPr>
        <w:pStyle w:val="Paragraphedeliste"/>
        <w:numPr>
          <w:ilvl w:val="0"/>
          <w:numId w:val="3"/>
        </w:numPr>
      </w:pPr>
      <w:r>
        <w:t xml:space="preserve">Un changement de méthode dans la comptabilisation des </w:t>
      </w:r>
      <w:r w:rsidR="00EE0DFE">
        <w:t>provisions pour bonus est venu impacter les charges d’exploitations de 1.0M€ (défavorable)</w:t>
      </w:r>
      <w:r w:rsidR="00FC0A25">
        <w:t>,</w:t>
      </w:r>
    </w:p>
    <w:p w14:paraId="7C552F6F" w14:textId="6FA72054" w:rsidR="006362F4" w:rsidRDefault="006362F4" w:rsidP="00FC0A25">
      <w:pPr>
        <w:pStyle w:val="Paragraphedeliste"/>
        <w:numPr>
          <w:ilvl w:val="0"/>
          <w:numId w:val="3"/>
        </w:numPr>
      </w:pPr>
      <w:r>
        <w:t>Les investissements publicitaire</w:t>
      </w:r>
      <w:r w:rsidR="009D1872">
        <w:t xml:space="preserve">s ont progressé de </w:t>
      </w:r>
      <w:r w:rsidR="00FF12EB">
        <w:t>1.1M</w:t>
      </w:r>
      <w:r w:rsidR="009D1872">
        <w:t>€</w:t>
      </w:r>
      <w:r w:rsidR="00FC0A25">
        <w:t>,</w:t>
      </w:r>
    </w:p>
    <w:p w14:paraId="38514DDD" w14:textId="0AC0DD34" w:rsidR="00FC0A25" w:rsidRDefault="00FC0A25" w:rsidP="00FC0A25">
      <w:pPr>
        <w:pStyle w:val="Paragraphedeliste"/>
        <w:numPr>
          <w:ilvl w:val="0"/>
          <w:numId w:val="3"/>
        </w:numPr>
      </w:pPr>
      <w:r>
        <w:t xml:space="preserve">Les </w:t>
      </w:r>
      <w:r w:rsidR="004C6621">
        <w:t xml:space="preserve">charges de </w:t>
      </w:r>
      <w:r>
        <w:t>roya</w:t>
      </w:r>
      <w:r w:rsidR="004C6621">
        <w:t>utés</w:t>
      </w:r>
      <w:r>
        <w:t xml:space="preserve"> ont progressé de </w:t>
      </w:r>
      <w:r w:rsidR="00FF12EB">
        <w:t>0.3</w:t>
      </w:r>
      <w:r>
        <w:t>M€,</w:t>
      </w:r>
      <w:r w:rsidR="001A67F7">
        <w:t xml:space="preserve"> </w:t>
      </w:r>
    </w:p>
    <w:p w14:paraId="7CD5283B" w14:textId="6004B365" w:rsidR="00FC0A25" w:rsidRDefault="00FC0A25" w:rsidP="00FC0A25">
      <w:pPr>
        <w:pStyle w:val="Paragraphedeliste"/>
        <w:numPr>
          <w:ilvl w:val="0"/>
          <w:numId w:val="3"/>
        </w:numPr>
      </w:pPr>
      <w:r>
        <w:t>Les autres charges </w:t>
      </w:r>
      <w:r w:rsidR="002C4ECA">
        <w:t>se montent à</w:t>
      </w:r>
      <w:r>
        <w:t xml:space="preserve"> </w:t>
      </w:r>
      <w:r w:rsidR="00DD5686">
        <w:t>0.8</w:t>
      </w:r>
      <w:r>
        <w:t>M€</w:t>
      </w:r>
      <w:r w:rsidR="00D507FB">
        <w:t xml:space="preserve"> dont des honoraires</w:t>
      </w:r>
      <w:r w:rsidR="00072E4A">
        <w:t xml:space="preserve"> liés au pro</w:t>
      </w:r>
      <w:r w:rsidR="008D16A0">
        <w:t>jet d’OPA de Doodle sur Lexibook</w:t>
      </w:r>
      <w:r w:rsidR="0028413B">
        <w:t xml:space="preserve"> (</w:t>
      </w:r>
      <w:r w:rsidR="00711307">
        <w:t>70K€)</w:t>
      </w:r>
      <w:r w:rsidR="00145275">
        <w:t>.</w:t>
      </w:r>
    </w:p>
    <w:p w14:paraId="7F1CF5D5" w14:textId="77777777" w:rsidR="000C7735" w:rsidRDefault="000C7735" w:rsidP="000C7735">
      <w:pPr>
        <w:ind w:firstLine="708"/>
      </w:pPr>
    </w:p>
    <w:p w14:paraId="1373AC27" w14:textId="1F28F5C1" w:rsidR="00EC7397" w:rsidRDefault="00CD29E8" w:rsidP="00BF6816">
      <w:r>
        <w:t>Le résultat</w:t>
      </w:r>
      <w:r w:rsidR="009D5AAE">
        <w:t xml:space="preserve"> d’exploitation </w:t>
      </w:r>
      <w:r w:rsidR="002C4ECA">
        <w:t xml:space="preserve">ressort ainsi </w:t>
      </w:r>
      <w:r w:rsidR="009D5AAE">
        <w:t>à 2.</w:t>
      </w:r>
      <w:r w:rsidR="00FF12EB">
        <w:t>5</w:t>
      </w:r>
      <w:r w:rsidR="009D5AAE">
        <w:t>M€</w:t>
      </w:r>
      <w:r w:rsidR="00DD72F5">
        <w:t>,</w:t>
      </w:r>
      <w:r w:rsidR="009D5AAE">
        <w:t xml:space="preserve"> en retrait de </w:t>
      </w:r>
      <w:r w:rsidR="00D65B76">
        <w:t>1.</w:t>
      </w:r>
      <w:r w:rsidR="00FF12EB">
        <w:t>1</w:t>
      </w:r>
      <w:r w:rsidR="00D65B76">
        <w:t xml:space="preserve">M€, soit </w:t>
      </w:r>
      <w:r w:rsidR="00DD72F5">
        <w:t xml:space="preserve">une baisse de </w:t>
      </w:r>
      <w:r w:rsidR="00FF12EB">
        <w:t>30</w:t>
      </w:r>
      <w:r w:rsidR="00762167">
        <w:t>%.</w:t>
      </w:r>
    </w:p>
    <w:p w14:paraId="2511EB8E" w14:textId="77777777" w:rsidR="00266C32" w:rsidRDefault="00266C32" w:rsidP="00BF6816"/>
    <w:p w14:paraId="6BAB097C" w14:textId="77777777" w:rsidR="00B4051A" w:rsidRDefault="00B4051A" w:rsidP="00BF6816"/>
    <w:p w14:paraId="2F78A41C" w14:textId="4260E797" w:rsidR="00266C32" w:rsidRPr="009B7DC0" w:rsidRDefault="00266C32" w:rsidP="00BF6816">
      <w:pPr>
        <w:rPr>
          <w:b/>
          <w:bCs/>
          <w:u w:val="single"/>
        </w:rPr>
      </w:pPr>
      <w:r w:rsidRPr="009B7DC0">
        <w:rPr>
          <w:b/>
          <w:bCs/>
          <w:u w:val="single"/>
        </w:rPr>
        <w:t xml:space="preserve">Résultat </w:t>
      </w:r>
      <w:r w:rsidR="00E573EC" w:rsidRPr="009B7DC0">
        <w:rPr>
          <w:b/>
          <w:bCs/>
          <w:u w:val="single"/>
        </w:rPr>
        <w:t>financier</w:t>
      </w:r>
    </w:p>
    <w:p w14:paraId="3A06EF05" w14:textId="77777777" w:rsidR="00E573EC" w:rsidRDefault="00E573EC" w:rsidP="00BF6816"/>
    <w:p w14:paraId="79EC9D4E" w14:textId="25093FBD" w:rsidR="00E573EC" w:rsidRDefault="00E573EC" w:rsidP="002168E4">
      <w:pPr>
        <w:jc w:val="both"/>
      </w:pPr>
      <w:r>
        <w:t>Le taux de change moyen EUR/USD sur le 1</w:t>
      </w:r>
      <w:r w:rsidRPr="00490905">
        <w:rPr>
          <w:vertAlign w:val="superscript"/>
        </w:rPr>
        <w:t>er</w:t>
      </w:r>
      <w:r>
        <w:t xml:space="preserve"> semestre 2024-25 s’établit à 1.0877$ pour 1.00€ et pour le premier semestre 2023-24 à 1.0888$ pour 1.00€ (Source</w:t>
      </w:r>
      <w:r w:rsidR="0081558F">
        <w:t> </w:t>
      </w:r>
      <w:r>
        <w:t>:</w:t>
      </w:r>
      <w:r w:rsidRPr="00FE01C1">
        <w:t xml:space="preserve"> </w:t>
      </w:r>
      <w:hyperlink r:id="rId7" w:history="1">
        <w:r w:rsidRPr="00EE4EB6">
          <w:rPr>
            <w:rStyle w:val="Lienhypertexte"/>
          </w:rPr>
          <w:t>https</w:t>
        </w:r>
        <w:r w:rsidR="0081558F">
          <w:rPr>
            <w:rStyle w:val="Lienhypertexte"/>
          </w:rPr>
          <w:t> </w:t>
        </w:r>
        <w:r w:rsidRPr="00EE4EB6">
          <w:rPr>
            <w:rStyle w:val="Lienhypertexte"/>
          </w:rPr>
          <w:t>://www.banque-france.fr/fr/statistiques/taux-et-cours/taux-de-change-parites-moyenne-mensuelle-2024-09</w:t>
        </w:r>
      </w:hyperlink>
      <w:r>
        <w:t xml:space="preserve">). La variation n’est pas significative sur les périodes comparées. </w:t>
      </w:r>
    </w:p>
    <w:p w14:paraId="787CF30B" w14:textId="77777777" w:rsidR="0023525C" w:rsidRDefault="0023525C" w:rsidP="002168E4">
      <w:pPr>
        <w:jc w:val="both"/>
      </w:pPr>
    </w:p>
    <w:p w14:paraId="404AC958" w14:textId="2733D538" w:rsidR="0023525C" w:rsidRDefault="0023525C" w:rsidP="002168E4">
      <w:pPr>
        <w:jc w:val="both"/>
      </w:pPr>
      <w:r>
        <w:t xml:space="preserve">Le coût de l’endettement financier </w:t>
      </w:r>
      <w:r w:rsidR="00C37AE4">
        <w:t>du 1</w:t>
      </w:r>
      <w:r w:rsidR="00C37AE4" w:rsidRPr="00C37AE4">
        <w:rPr>
          <w:vertAlign w:val="superscript"/>
        </w:rPr>
        <w:t>er</w:t>
      </w:r>
      <w:r w:rsidR="00C37AE4">
        <w:t xml:space="preserve"> semestre </w:t>
      </w:r>
      <w:r w:rsidR="00DA4BAE">
        <w:t xml:space="preserve">2024-25 </w:t>
      </w:r>
      <w:r>
        <w:t xml:space="preserve">à </w:t>
      </w:r>
      <w:r w:rsidR="00C37AE4">
        <w:t xml:space="preserve">145K€, comparé </w:t>
      </w:r>
      <w:r w:rsidR="00DA4BAE">
        <w:t>au 1</w:t>
      </w:r>
      <w:r w:rsidR="00DA4BAE" w:rsidRPr="00DA4BAE">
        <w:rPr>
          <w:vertAlign w:val="superscript"/>
        </w:rPr>
        <w:t>er</w:t>
      </w:r>
      <w:r w:rsidR="00DA4BAE">
        <w:t xml:space="preserve"> semestre 2023-24 </w:t>
      </w:r>
      <w:r w:rsidR="00C37AE4">
        <w:t>à 250K€</w:t>
      </w:r>
      <w:r w:rsidR="00DA4BAE">
        <w:t xml:space="preserve">, </w:t>
      </w:r>
      <w:r w:rsidR="003A64B6">
        <w:t xml:space="preserve">est </w:t>
      </w:r>
      <w:r w:rsidR="00DA4BAE">
        <w:t xml:space="preserve">en diminution de </w:t>
      </w:r>
      <w:r w:rsidR="00B659EF">
        <w:t>105K€</w:t>
      </w:r>
      <w:r w:rsidR="007E7C8C">
        <w:t xml:space="preserve">. Cette évolution favorable </w:t>
      </w:r>
      <w:r w:rsidR="00B659EF">
        <w:t>trouve pour grande partie son explication dans la diminution des dettes financières</w:t>
      </w:r>
      <w:r w:rsidR="00E26200">
        <w:t xml:space="preserve"> (</w:t>
      </w:r>
      <w:r w:rsidR="008133BB">
        <w:t>11</w:t>
      </w:r>
      <w:r w:rsidR="006D13A0">
        <w:t>.3M€ le 30/09/24 contre 14.8M€ le 30/09/23</w:t>
      </w:r>
      <w:r w:rsidR="009B7DC0">
        <w:t>).</w:t>
      </w:r>
    </w:p>
    <w:p w14:paraId="74748665" w14:textId="77777777" w:rsidR="00E573EC" w:rsidRPr="00EC7397" w:rsidRDefault="00E573EC" w:rsidP="00BF6816"/>
    <w:p w14:paraId="474380AB" w14:textId="77777777" w:rsidR="009B7DC0" w:rsidRDefault="009B7DC0" w:rsidP="009B7DC0">
      <w:pPr>
        <w:rPr>
          <w:b/>
          <w:bCs/>
        </w:rPr>
      </w:pPr>
    </w:p>
    <w:p w14:paraId="0A424547" w14:textId="77777777" w:rsidR="00E618AC" w:rsidRDefault="00E618AC">
      <w:pPr>
        <w:spacing w:after="160"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39FFC6A" w14:textId="7699EDBC" w:rsidR="009B7DC0" w:rsidRPr="00B4051A" w:rsidRDefault="009B7DC0" w:rsidP="009B7DC0">
      <w:pPr>
        <w:rPr>
          <w:b/>
          <w:bCs/>
          <w:u w:val="single"/>
        </w:rPr>
      </w:pPr>
      <w:r w:rsidRPr="00B4051A">
        <w:rPr>
          <w:b/>
          <w:bCs/>
          <w:u w:val="single"/>
        </w:rPr>
        <w:lastRenderedPageBreak/>
        <w:t>Résultat net</w:t>
      </w:r>
    </w:p>
    <w:p w14:paraId="7A367B43" w14:textId="77777777" w:rsidR="009B7DC0" w:rsidRDefault="009B7DC0" w:rsidP="009B7DC0">
      <w:pPr>
        <w:rPr>
          <w:b/>
          <w:bCs/>
        </w:rPr>
      </w:pPr>
    </w:p>
    <w:p w14:paraId="4EF70416" w14:textId="24C2CFE8" w:rsidR="009B7DC0" w:rsidRDefault="00B4051A" w:rsidP="002168E4">
      <w:pPr>
        <w:jc w:val="both"/>
      </w:pPr>
      <w:r w:rsidRPr="00B4051A">
        <w:t>Les impôts de la période représentent</w:t>
      </w:r>
      <w:r>
        <w:t xml:space="preserve"> une charge de </w:t>
      </w:r>
      <w:r w:rsidR="00BC4388">
        <w:t>97K€, contre une charge de</w:t>
      </w:r>
      <w:r w:rsidR="007F10F8">
        <w:t xml:space="preserve"> 372K€ pour la période 2023-24.</w:t>
      </w:r>
      <w:r w:rsidR="005C3833">
        <w:t xml:space="preserve"> La provision pour impôt à payer s’él</w:t>
      </w:r>
      <w:r w:rsidR="00470FDB">
        <w:t>ève à -60</w:t>
      </w:r>
      <w:r w:rsidR="007E6E9D">
        <w:t>0</w:t>
      </w:r>
      <w:r w:rsidR="00470FDB">
        <w:t xml:space="preserve">K€ (-374K€ lors de l’exercice précédent) et </w:t>
      </w:r>
      <w:r w:rsidR="00967799">
        <w:t>la provision pour impôts différés s’élève à 503K€ (</w:t>
      </w:r>
      <w:r w:rsidR="007817BC">
        <w:t>2K€ exercice précédent).</w:t>
      </w:r>
    </w:p>
    <w:p w14:paraId="2946B5BA" w14:textId="77777777" w:rsidR="007E6E9D" w:rsidRDefault="007E6E9D" w:rsidP="009B7DC0"/>
    <w:p w14:paraId="27BFEB24" w14:textId="77777777" w:rsidR="007E6E9D" w:rsidRDefault="007E6E9D" w:rsidP="009B7DC0"/>
    <w:p w14:paraId="610DB3B9" w14:textId="5406A230" w:rsidR="007E6E9D" w:rsidRPr="00C70091" w:rsidRDefault="007E6E9D" w:rsidP="009B7DC0">
      <w:pPr>
        <w:rPr>
          <w:b/>
          <w:bCs/>
          <w:u w:val="single"/>
        </w:rPr>
      </w:pPr>
      <w:r w:rsidRPr="00C70091">
        <w:rPr>
          <w:b/>
          <w:bCs/>
          <w:u w:val="single"/>
        </w:rPr>
        <w:t>Bilan</w:t>
      </w:r>
    </w:p>
    <w:p w14:paraId="26D3B1D9" w14:textId="77777777" w:rsidR="007E6E9D" w:rsidRDefault="007E6E9D" w:rsidP="009B7DC0"/>
    <w:p w14:paraId="35797521" w14:textId="788A484B" w:rsidR="00451A5E" w:rsidRDefault="003B57CD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Comme chaque année, l</w:t>
      </w:r>
      <w:r w:rsidRPr="006B5671">
        <w:rPr>
          <w:rFonts w:cs="Arial"/>
          <w:color w:val="000000"/>
        </w:rPr>
        <w:t xml:space="preserve">’endettement net </w:t>
      </w:r>
      <w:r>
        <w:rPr>
          <w:rFonts w:cs="Arial"/>
          <w:color w:val="000000"/>
        </w:rPr>
        <w:t>au 30 Septembre apparaît</w:t>
      </w:r>
      <w:r w:rsidRPr="006B5671">
        <w:rPr>
          <w:rFonts w:cs="Arial"/>
          <w:color w:val="000000"/>
        </w:rPr>
        <w:t xml:space="preserve"> en hausse marquée </w:t>
      </w:r>
      <w:r>
        <w:rPr>
          <w:rFonts w:cs="Arial"/>
          <w:color w:val="000000"/>
        </w:rPr>
        <w:t xml:space="preserve">par rapport au 31 Mars et </w:t>
      </w:r>
      <w:r w:rsidR="006C0278">
        <w:rPr>
          <w:rFonts w:cs="Arial"/>
          <w:color w:val="000000"/>
        </w:rPr>
        <w:t>s’élève</w:t>
      </w:r>
      <w:r>
        <w:rPr>
          <w:rFonts w:cs="Arial"/>
          <w:color w:val="000000"/>
        </w:rPr>
        <w:t xml:space="preserve"> à </w:t>
      </w:r>
      <w:r w:rsidR="00185434">
        <w:rPr>
          <w:rFonts w:cs="Arial"/>
          <w:color w:val="000000"/>
        </w:rPr>
        <w:t>6.9</w:t>
      </w:r>
      <w:r>
        <w:rPr>
          <w:rFonts w:cs="Arial"/>
          <w:color w:val="000000"/>
        </w:rPr>
        <w:t>M€ au 30 Septembre 202</w:t>
      </w:r>
      <w:r w:rsidR="00185434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vs </w:t>
      </w:r>
      <w:r w:rsidR="0011749C">
        <w:rPr>
          <w:rFonts w:cs="Arial"/>
          <w:color w:val="000000"/>
        </w:rPr>
        <w:t>-2.0M</w:t>
      </w:r>
      <w:r>
        <w:rPr>
          <w:rFonts w:cs="Arial"/>
          <w:color w:val="000000"/>
        </w:rPr>
        <w:t>€ au 31 Mars 202</w:t>
      </w:r>
      <w:r w:rsidR="00185434">
        <w:rPr>
          <w:rFonts w:cs="Arial"/>
          <w:color w:val="000000"/>
        </w:rPr>
        <w:t>4</w:t>
      </w:r>
      <w:r w:rsidRPr="006B5671">
        <w:rPr>
          <w:rFonts w:cs="Arial"/>
          <w:color w:val="000000"/>
        </w:rPr>
        <w:t xml:space="preserve">. Cette progression </w:t>
      </w:r>
      <w:r>
        <w:rPr>
          <w:rFonts w:cs="Arial"/>
          <w:color w:val="000000"/>
        </w:rPr>
        <w:t>atteint</w:t>
      </w:r>
      <w:r w:rsidRPr="006B5671">
        <w:rPr>
          <w:rFonts w:cs="Arial"/>
          <w:color w:val="000000"/>
        </w:rPr>
        <w:t xml:space="preserve"> </w:t>
      </w:r>
      <w:r w:rsidR="00D36A67">
        <w:rPr>
          <w:rFonts w:cs="Arial"/>
          <w:color w:val="000000"/>
        </w:rPr>
        <w:t>8.9</w:t>
      </w:r>
      <w:r w:rsidRPr="006B5671">
        <w:rPr>
          <w:rFonts w:cs="Arial"/>
          <w:color w:val="000000"/>
        </w:rPr>
        <w:t>M€</w:t>
      </w:r>
      <w:r>
        <w:rPr>
          <w:rFonts w:cs="Arial"/>
          <w:color w:val="000000"/>
        </w:rPr>
        <w:t xml:space="preserve"> cette année. Elle </w:t>
      </w:r>
      <w:r w:rsidRPr="006B5671">
        <w:rPr>
          <w:rFonts w:cs="Arial"/>
          <w:color w:val="000000"/>
        </w:rPr>
        <w:t xml:space="preserve">est directement </w:t>
      </w:r>
      <w:r w:rsidR="00003F51">
        <w:rPr>
          <w:rFonts w:cs="Arial"/>
          <w:color w:val="000000"/>
        </w:rPr>
        <w:t xml:space="preserve">et principalement </w:t>
      </w:r>
      <w:r w:rsidRPr="006B5671">
        <w:rPr>
          <w:rFonts w:cs="Arial"/>
          <w:color w:val="000000"/>
        </w:rPr>
        <w:t xml:space="preserve">corrélée </w:t>
      </w:r>
      <w:r w:rsidR="00451A5E">
        <w:rPr>
          <w:rFonts w:cs="Arial"/>
          <w:color w:val="000000"/>
        </w:rPr>
        <w:t xml:space="preserve">aux éléments de besoins en fonds de roulement : </w:t>
      </w:r>
    </w:p>
    <w:p w14:paraId="5FB2757A" w14:textId="5FE2BD5C" w:rsidR="00451A5E" w:rsidRDefault="00451A5E" w:rsidP="002168E4">
      <w:pPr>
        <w:pStyle w:val="Paragraphedeliste"/>
        <w:numPr>
          <w:ilvl w:val="0"/>
          <w:numId w:val="2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 w:rsidRPr="00451A5E">
        <w:rPr>
          <w:rFonts w:cs="Arial"/>
          <w:color w:val="000000"/>
        </w:rPr>
        <w:t>Hausse</w:t>
      </w:r>
      <w:r w:rsidR="003B57CD" w:rsidRPr="00451A5E">
        <w:rPr>
          <w:rFonts w:cs="Arial"/>
          <w:color w:val="000000"/>
        </w:rPr>
        <w:t xml:space="preserve"> du niveau de stock </w:t>
      </w:r>
      <w:r w:rsidR="00D2701A">
        <w:rPr>
          <w:rFonts w:cs="Arial"/>
          <w:color w:val="000000"/>
        </w:rPr>
        <w:t>(+</w:t>
      </w:r>
      <w:r w:rsidR="00391380" w:rsidRPr="00451A5E">
        <w:rPr>
          <w:rFonts w:cs="Arial"/>
          <w:color w:val="000000"/>
        </w:rPr>
        <w:t>14.3</w:t>
      </w:r>
      <w:r w:rsidR="003B57CD" w:rsidRPr="00451A5E">
        <w:rPr>
          <w:rFonts w:cs="Arial"/>
          <w:color w:val="000000"/>
        </w:rPr>
        <w:t>M€</w:t>
      </w:r>
      <w:r w:rsidR="00D2701A">
        <w:rPr>
          <w:rFonts w:cs="Arial"/>
          <w:color w:val="000000"/>
        </w:rPr>
        <w:t>)</w:t>
      </w:r>
      <w:r w:rsidR="003B57CD" w:rsidRPr="00451A5E">
        <w:rPr>
          <w:rFonts w:cs="Arial"/>
          <w:color w:val="000000"/>
        </w:rPr>
        <w:t xml:space="preserve"> nécessaire pour sécuriser les livraisons de fin d’année</w:t>
      </w:r>
      <w:r w:rsidR="008D15C4" w:rsidRPr="00451A5E">
        <w:rPr>
          <w:rFonts w:cs="Arial"/>
          <w:color w:val="000000"/>
        </w:rPr>
        <w:t>,</w:t>
      </w:r>
      <w:r w:rsidR="003B57CD" w:rsidRPr="00451A5E">
        <w:rPr>
          <w:rFonts w:cs="Arial"/>
          <w:color w:val="000000"/>
        </w:rPr>
        <w:t xml:space="preserve"> </w:t>
      </w:r>
    </w:p>
    <w:p w14:paraId="257A09D0" w14:textId="48DD93CA" w:rsidR="00451A5E" w:rsidRDefault="00451A5E" w:rsidP="002168E4">
      <w:pPr>
        <w:pStyle w:val="Paragraphedeliste"/>
        <w:numPr>
          <w:ilvl w:val="0"/>
          <w:numId w:val="2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 w:rsidRPr="00451A5E">
        <w:rPr>
          <w:rFonts w:cs="Arial"/>
          <w:color w:val="000000"/>
        </w:rPr>
        <w:t>Progression</w:t>
      </w:r>
      <w:r w:rsidR="003B57CD" w:rsidRPr="00451A5E">
        <w:rPr>
          <w:rFonts w:cs="Arial"/>
          <w:color w:val="000000"/>
        </w:rPr>
        <w:t xml:space="preserve"> du poste Clients </w:t>
      </w:r>
      <w:r w:rsidR="00391380" w:rsidRPr="00451A5E">
        <w:rPr>
          <w:rFonts w:cs="Arial"/>
          <w:color w:val="000000"/>
        </w:rPr>
        <w:t>(+</w:t>
      </w:r>
      <w:r w:rsidR="007A338D" w:rsidRPr="00451A5E">
        <w:rPr>
          <w:rFonts w:cs="Arial"/>
          <w:color w:val="000000"/>
        </w:rPr>
        <w:t xml:space="preserve">5.7M€) </w:t>
      </w:r>
      <w:r w:rsidR="003B57CD" w:rsidRPr="00451A5E">
        <w:rPr>
          <w:rFonts w:cs="Arial"/>
          <w:color w:val="000000"/>
        </w:rPr>
        <w:t>en raison de la saisonnalité de l’activité</w:t>
      </w:r>
      <w:r w:rsidR="0042188C">
        <w:rPr>
          <w:rFonts w:cs="Arial"/>
          <w:color w:val="000000"/>
        </w:rPr>
        <w:t>,</w:t>
      </w:r>
      <w:r w:rsidR="00920722" w:rsidRPr="00451A5E">
        <w:rPr>
          <w:rFonts w:cs="Arial"/>
          <w:color w:val="000000"/>
        </w:rPr>
        <w:t xml:space="preserve"> </w:t>
      </w:r>
    </w:p>
    <w:p w14:paraId="0570EDC4" w14:textId="279DDE96" w:rsidR="0078556F" w:rsidRPr="00451A5E" w:rsidRDefault="00295FDE" w:rsidP="002168E4">
      <w:pPr>
        <w:pStyle w:val="Paragraphedeliste"/>
        <w:numPr>
          <w:ilvl w:val="0"/>
          <w:numId w:val="2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</w:t>
      </w:r>
      <w:r w:rsidR="00920722" w:rsidRPr="00451A5E">
        <w:rPr>
          <w:rFonts w:cs="Arial"/>
          <w:color w:val="000000"/>
        </w:rPr>
        <w:t>ausse des dettes d’exploitation (+</w:t>
      </w:r>
      <w:r w:rsidR="0078556F" w:rsidRPr="00451A5E">
        <w:rPr>
          <w:rFonts w:cs="Arial"/>
          <w:color w:val="000000"/>
        </w:rPr>
        <w:t>8.7M€)</w:t>
      </w:r>
      <w:r w:rsidR="00DB5B2E">
        <w:rPr>
          <w:rFonts w:cs="Arial"/>
          <w:color w:val="000000"/>
        </w:rPr>
        <w:t xml:space="preserve"> également </w:t>
      </w:r>
      <w:r w:rsidR="00DB5B2E" w:rsidRPr="00451A5E">
        <w:rPr>
          <w:rFonts w:cs="Arial"/>
          <w:color w:val="000000"/>
        </w:rPr>
        <w:t>en raison de la saisonnalité de l’activité</w:t>
      </w:r>
      <w:r w:rsidR="003B57CD" w:rsidRPr="00451A5E">
        <w:rPr>
          <w:rFonts w:cs="Arial"/>
          <w:color w:val="000000"/>
        </w:rPr>
        <w:t xml:space="preserve">. </w:t>
      </w:r>
    </w:p>
    <w:p w14:paraId="3117745D" w14:textId="77777777" w:rsidR="0078556F" w:rsidRDefault="0078556F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</w:p>
    <w:p w14:paraId="45A4F743" w14:textId="3BB13040" w:rsidR="003B57CD" w:rsidRPr="00BD4CB4" w:rsidRDefault="003B57CD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highlight w:val="yellow"/>
        </w:rPr>
      </w:pPr>
      <w:r w:rsidRPr="00057CED">
        <w:rPr>
          <w:rFonts w:cs="Arial"/>
          <w:color w:val="000000"/>
        </w:rPr>
        <w:t xml:space="preserve">La variation de la dette nette </w:t>
      </w:r>
      <w:r w:rsidR="008D3C69">
        <w:rPr>
          <w:rFonts w:cs="Arial"/>
          <w:color w:val="000000"/>
        </w:rPr>
        <w:t>(</w:t>
      </w:r>
      <w:r w:rsidR="00510AD8">
        <w:rPr>
          <w:rFonts w:cs="Arial"/>
          <w:color w:val="000000"/>
        </w:rPr>
        <w:t xml:space="preserve">+8.9M€) </w:t>
      </w:r>
      <w:r w:rsidRPr="00057CED">
        <w:rPr>
          <w:rFonts w:cs="Arial"/>
          <w:color w:val="000000"/>
        </w:rPr>
        <w:t xml:space="preserve">résulte </w:t>
      </w:r>
      <w:r w:rsidR="00C56D94">
        <w:rPr>
          <w:rFonts w:cs="Arial"/>
          <w:color w:val="000000"/>
        </w:rPr>
        <w:t xml:space="preserve">ainsi </w:t>
      </w:r>
      <w:r w:rsidRPr="00057CED">
        <w:rPr>
          <w:rFonts w:cs="Arial"/>
          <w:color w:val="000000"/>
        </w:rPr>
        <w:t>des facteurs suivants :</w:t>
      </w:r>
    </w:p>
    <w:p w14:paraId="64AE9716" w14:textId="3682D3D7" w:rsidR="003B57CD" w:rsidRPr="00BD110B" w:rsidRDefault="003B57CD" w:rsidP="002168E4">
      <w:pPr>
        <w:pStyle w:val="Paragraphedeliste"/>
        <w:numPr>
          <w:ilvl w:val="0"/>
          <w:numId w:val="4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 w:rsidRPr="00BD110B">
        <w:rPr>
          <w:rFonts w:cs="Arial"/>
          <w:color w:val="000000"/>
        </w:rPr>
        <w:t xml:space="preserve">Le remboursement d’un total de </w:t>
      </w:r>
      <w:r w:rsidR="009527B8">
        <w:rPr>
          <w:rFonts w:cs="Arial"/>
          <w:color w:val="000000"/>
        </w:rPr>
        <w:t>680K</w:t>
      </w:r>
      <w:r w:rsidRPr="00BD110B">
        <w:rPr>
          <w:rFonts w:cs="Arial"/>
          <w:color w:val="000000"/>
        </w:rPr>
        <w:t xml:space="preserve">€ </w:t>
      </w:r>
      <w:r w:rsidR="00CE4E5D">
        <w:rPr>
          <w:rFonts w:cs="Arial"/>
          <w:color w:val="000000"/>
        </w:rPr>
        <w:t xml:space="preserve">sur le semestre </w:t>
      </w:r>
      <w:r w:rsidRPr="00BD110B">
        <w:rPr>
          <w:rFonts w:cs="Arial"/>
          <w:color w:val="000000"/>
        </w:rPr>
        <w:t xml:space="preserve">pour les financements moyen terme dont </w:t>
      </w:r>
      <w:r w:rsidR="00D039C9">
        <w:rPr>
          <w:rFonts w:cs="Arial"/>
          <w:color w:val="000000"/>
        </w:rPr>
        <w:t>la société</w:t>
      </w:r>
      <w:r w:rsidRPr="00BD110B">
        <w:rPr>
          <w:rFonts w:cs="Arial"/>
          <w:color w:val="000000"/>
        </w:rPr>
        <w:t xml:space="preserve"> dispose,</w:t>
      </w:r>
    </w:p>
    <w:p w14:paraId="18E7075A" w14:textId="0AACB39F" w:rsidR="003B57CD" w:rsidRDefault="003B57CD" w:rsidP="002168E4">
      <w:pPr>
        <w:pStyle w:val="Paragraphedeliste"/>
        <w:numPr>
          <w:ilvl w:val="0"/>
          <w:numId w:val="4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 w:rsidRPr="00BD110B">
        <w:rPr>
          <w:rFonts w:cs="Arial"/>
          <w:color w:val="000000"/>
        </w:rPr>
        <w:t xml:space="preserve">Une hausse de l’affacturage de </w:t>
      </w:r>
      <w:r w:rsidR="00807DDA">
        <w:rPr>
          <w:rFonts w:cs="Arial"/>
          <w:color w:val="000000"/>
        </w:rPr>
        <w:t>1.923K</w:t>
      </w:r>
      <w:r w:rsidRPr="00BD110B">
        <w:rPr>
          <w:rFonts w:cs="Arial"/>
          <w:color w:val="000000"/>
        </w:rPr>
        <w:t>€ en lien direct avec la progression de l’activité,</w:t>
      </w:r>
    </w:p>
    <w:p w14:paraId="4F435AA1" w14:textId="542C67CB" w:rsidR="002E245C" w:rsidRPr="002E245C" w:rsidRDefault="000B0882" w:rsidP="002168E4">
      <w:pPr>
        <w:pStyle w:val="Paragraphedeliste"/>
        <w:numPr>
          <w:ilvl w:val="0"/>
          <w:numId w:val="4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2E245C">
        <w:rPr>
          <w:rFonts w:cs="Arial"/>
          <w:color w:val="000000"/>
        </w:rPr>
        <w:t xml:space="preserve">Une augmentation des crédits de campagne pour </w:t>
      </w:r>
      <w:r w:rsidR="005E57AC" w:rsidRPr="002E245C">
        <w:rPr>
          <w:rFonts w:cs="Arial"/>
          <w:color w:val="000000"/>
        </w:rPr>
        <w:t>3.440K€</w:t>
      </w:r>
      <w:r w:rsidR="005E58D3">
        <w:rPr>
          <w:rFonts w:cs="Arial"/>
          <w:color w:val="000000"/>
        </w:rPr>
        <w:t>,</w:t>
      </w:r>
    </w:p>
    <w:p w14:paraId="095B3665" w14:textId="0213DE49" w:rsidR="00EC7397" w:rsidRPr="00ED18D4" w:rsidRDefault="003B57CD" w:rsidP="002168E4">
      <w:pPr>
        <w:pStyle w:val="Paragraphedeliste"/>
        <w:numPr>
          <w:ilvl w:val="0"/>
          <w:numId w:val="4"/>
        </w:num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2E245C">
        <w:rPr>
          <w:rFonts w:cs="Arial"/>
          <w:color w:val="000000"/>
        </w:rPr>
        <w:t>Une dégradation de la trésorerie à hauteur de 4</w:t>
      </w:r>
      <w:r w:rsidR="00915E1B" w:rsidRPr="002E245C">
        <w:rPr>
          <w:rFonts w:cs="Arial"/>
          <w:color w:val="000000"/>
        </w:rPr>
        <w:t>.245</w:t>
      </w:r>
      <w:r w:rsidR="002E245C" w:rsidRPr="002E245C">
        <w:rPr>
          <w:rFonts w:cs="Arial"/>
          <w:color w:val="000000"/>
        </w:rPr>
        <w:t>K</w:t>
      </w:r>
      <w:r w:rsidRPr="002E245C">
        <w:rPr>
          <w:rFonts w:cs="Arial"/>
          <w:color w:val="000000"/>
        </w:rPr>
        <w:t>€.</w:t>
      </w:r>
    </w:p>
    <w:p w14:paraId="3A3A70D0" w14:textId="77777777" w:rsidR="00ED18D4" w:rsidRDefault="00ED18D4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14:paraId="76642B86" w14:textId="3824F195" w:rsidR="00ED18D4" w:rsidRDefault="00ED18D4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 w:rsidRPr="00ED18D4">
        <w:t>L’endettement</w:t>
      </w:r>
      <w:r>
        <w:t xml:space="preserve"> net au </w:t>
      </w:r>
      <w:r w:rsidR="009325F5">
        <w:t>30 septembre 2024 (</w:t>
      </w:r>
      <w:r w:rsidR="00D76A85">
        <w:t>6</w:t>
      </w:r>
      <w:r w:rsidR="00136B56">
        <w:t>.</w:t>
      </w:r>
      <w:r w:rsidR="00D76A85">
        <w:t xml:space="preserve">885K€) </w:t>
      </w:r>
      <w:r w:rsidR="009325F5">
        <w:t>est également en baisse par rapport au 30 septembre 202</w:t>
      </w:r>
      <w:r w:rsidR="00042096">
        <w:t>3</w:t>
      </w:r>
      <w:r w:rsidR="00D76A85">
        <w:t xml:space="preserve"> (13</w:t>
      </w:r>
      <w:r w:rsidR="00136B56">
        <w:t>.</w:t>
      </w:r>
      <w:r w:rsidR="00D76A85">
        <w:t>744K€)</w:t>
      </w:r>
      <w:r w:rsidR="00042096">
        <w:t xml:space="preserve">, soit une diminution de </w:t>
      </w:r>
      <w:r w:rsidR="00FA19C4">
        <w:t>6,85</w:t>
      </w:r>
      <w:r w:rsidR="006760FA">
        <w:t>7</w:t>
      </w:r>
      <w:r w:rsidR="00FA19C4">
        <w:t>K€. Elle provient d’un moindre recours à l’affacturage (</w:t>
      </w:r>
      <w:r w:rsidR="008C7299">
        <w:t>favorable de 2</w:t>
      </w:r>
      <w:r w:rsidR="00136B56">
        <w:t>.</w:t>
      </w:r>
      <w:r w:rsidR="008C7299">
        <w:t xml:space="preserve">656K€), de remboursement de </w:t>
      </w:r>
      <w:r w:rsidR="00601AFA">
        <w:t xml:space="preserve">prêts et d’utilisation d’autres crédits (favorable de 898K€) et d’une amélioration de la situation de trésorerie (favorable de </w:t>
      </w:r>
      <w:r w:rsidR="006760FA">
        <w:t>3</w:t>
      </w:r>
      <w:r w:rsidR="008740DA">
        <w:t>.</w:t>
      </w:r>
      <w:r w:rsidR="006760FA">
        <w:t>303K€).</w:t>
      </w:r>
    </w:p>
    <w:p w14:paraId="4330633C" w14:textId="77777777" w:rsidR="004950E9" w:rsidRDefault="004950E9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096BD9DC" w14:textId="53FB9C3F" w:rsidR="004950E9" w:rsidRDefault="00F27316" w:rsidP="002168E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 xml:space="preserve">Le stock s’élève à </w:t>
      </w:r>
      <w:r w:rsidR="006B520E">
        <w:t xml:space="preserve">26.2M€ </w:t>
      </w:r>
      <w:r>
        <w:t xml:space="preserve">au 30 septembre 2024 </w:t>
      </w:r>
      <w:r w:rsidR="006B520E">
        <w:t xml:space="preserve">en hausse de </w:t>
      </w:r>
      <w:r w:rsidR="00677273">
        <w:t xml:space="preserve">14.3M€ par rapport au 31 mars 2024 et en hausse de </w:t>
      </w:r>
      <w:r w:rsidR="00D717AC">
        <w:t>6.0M€ par rapport au 30 septembre 2023.</w:t>
      </w:r>
      <w:r w:rsidR="0098257F">
        <w:t xml:space="preserve"> Ces hausses permettent de sécuriser les livraisons de fin d’année</w:t>
      </w:r>
      <w:r w:rsidR="00577061">
        <w:t xml:space="preserve"> lors des pics d’activité.</w:t>
      </w:r>
    </w:p>
    <w:p w14:paraId="350C2211" w14:textId="77777777" w:rsidR="00880201" w:rsidRDefault="0088020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32E2E5B2" w14:textId="77777777" w:rsidR="00880201" w:rsidRDefault="0088020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25944432" w14:textId="423B4638" w:rsidR="00880201" w:rsidRPr="00880201" w:rsidRDefault="0088020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b/>
          <w:bCs/>
          <w:u w:val="single"/>
        </w:rPr>
      </w:pPr>
      <w:r w:rsidRPr="00880201">
        <w:rPr>
          <w:b/>
          <w:bCs/>
          <w:u w:val="single"/>
        </w:rPr>
        <w:t>Perspectives</w:t>
      </w:r>
    </w:p>
    <w:p w14:paraId="140C91B5" w14:textId="77777777" w:rsidR="00880201" w:rsidRDefault="0088020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6B1E9779" w14:textId="197F2FF0" w:rsidR="00442022" w:rsidRDefault="00464A02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 xml:space="preserve">Dans un contexte général anxiogène du fait </w:t>
      </w:r>
      <w:r w:rsidR="00EE0F7B">
        <w:t>des incertitudes géopolitiques</w:t>
      </w:r>
      <w:r w:rsidR="00497A7F">
        <w:t xml:space="preserve"> mondiales</w:t>
      </w:r>
      <w:r w:rsidR="00EE0F7B">
        <w:t>, l</w:t>
      </w:r>
      <w:r w:rsidR="00880201">
        <w:t xml:space="preserve">e </w:t>
      </w:r>
      <w:r w:rsidR="00215CFE">
        <w:t>G</w:t>
      </w:r>
      <w:r w:rsidR="00880201">
        <w:t>roupe</w:t>
      </w:r>
      <w:r w:rsidR="0030407B">
        <w:t xml:space="preserve"> Lexibook </w:t>
      </w:r>
      <w:r w:rsidR="00251BDB">
        <w:t xml:space="preserve">est </w:t>
      </w:r>
      <w:r w:rsidR="00F724AF">
        <w:t xml:space="preserve">raisonnablement confiant </w:t>
      </w:r>
      <w:r w:rsidR="00F24DB0">
        <w:t xml:space="preserve">sur </w:t>
      </w:r>
      <w:r w:rsidR="00EE0F7B">
        <w:t>son</w:t>
      </w:r>
      <w:r w:rsidR="00F24DB0">
        <w:t xml:space="preserve"> niveau d’activité</w:t>
      </w:r>
      <w:r w:rsidR="009A1A12">
        <w:t xml:space="preserve"> notamment grâce au développement des ventes internationales</w:t>
      </w:r>
      <w:r w:rsidR="002B6643">
        <w:t>. Il doit néanmoins renforcer rapidement</w:t>
      </w:r>
      <w:r w:rsidR="002F5A17">
        <w:t xml:space="preserve"> ses équipes administratives, SAV et autres services support de manière à pouvoir se structurer </w:t>
      </w:r>
      <w:r w:rsidR="002B6643">
        <w:t xml:space="preserve">face à la croissance de </w:t>
      </w:r>
      <w:r w:rsidR="009B33CF">
        <w:t>l’activité depuis plusieurs années</w:t>
      </w:r>
      <w:r w:rsidR="000E794E">
        <w:t>.</w:t>
      </w:r>
      <w:r w:rsidR="009B33CF">
        <w:t xml:space="preserve"> Le niveau de charges fixes sera donc revu en hausse </w:t>
      </w:r>
      <w:r w:rsidR="00532FE0">
        <w:t>pour les prochains exercices.</w:t>
      </w:r>
      <w:r w:rsidR="000E794E">
        <w:t xml:space="preserve"> </w:t>
      </w:r>
    </w:p>
    <w:p w14:paraId="6A3F0A0F" w14:textId="77777777" w:rsidR="00442022" w:rsidRDefault="00442022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2DC617AF" w14:textId="7A718555" w:rsidR="00863D27" w:rsidRDefault="00532FE0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 xml:space="preserve">Les plus gros contrats de licences du Groupe arrivant prochainement à échéance sont actuellement </w:t>
      </w:r>
      <w:r w:rsidR="00CB4716">
        <w:t xml:space="preserve">toujours </w:t>
      </w:r>
      <w:r>
        <w:t xml:space="preserve">en cours de </w:t>
      </w:r>
      <w:r w:rsidR="00EE0F7B">
        <w:t>négociation</w:t>
      </w:r>
      <w:r w:rsidR="00303310">
        <w:t xml:space="preserve">. </w:t>
      </w:r>
      <w:r w:rsidR="00AC1DA8">
        <w:t xml:space="preserve"> </w:t>
      </w:r>
    </w:p>
    <w:p w14:paraId="1911BED1" w14:textId="77777777" w:rsidR="00863D27" w:rsidRDefault="00863D27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19F1B942" w14:textId="411DEE71" w:rsidR="00880201" w:rsidRDefault="00AC1DA8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 xml:space="preserve">Les investissements publicitaires </w:t>
      </w:r>
      <w:r w:rsidR="00281F90">
        <w:t>continueront à peser sur le résultat</w:t>
      </w:r>
      <w:r w:rsidR="00F809A1">
        <w:t xml:space="preserve"> de l’exercice et des exercices futurs</w:t>
      </w:r>
      <w:r w:rsidR="00251BDB">
        <w:t xml:space="preserve"> afin d’aller chercher de nouveaux marchés ou clients</w:t>
      </w:r>
      <w:r w:rsidR="00281F90">
        <w:t xml:space="preserve">, notamment aux USA, marché très </w:t>
      </w:r>
      <w:r w:rsidR="00117377">
        <w:t>e</w:t>
      </w:r>
      <w:r w:rsidR="00281F90">
        <w:t xml:space="preserve">xigeant </w:t>
      </w:r>
      <w:r w:rsidR="00500B6B">
        <w:t xml:space="preserve">et coûteux </w:t>
      </w:r>
      <w:r w:rsidR="00117377">
        <w:t xml:space="preserve">pour </w:t>
      </w:r>
      <w:r w:rsidR="00013B5B">
        <w:t>être visible</w:t>
      </w:r>
      <w:r w:rsidR="00863D27">
        <w:t>.</w:t>
      </w:r>
    </w:p>
    <w:p w14:paraId="07DBB20F" w14:textId="77777777" w:rsidR="00863D27" w:rsidRDefault="00863D27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79CF7F78" w14:textId="7190C9E8" w:rsidR="008B3AB7" w:rsidRDefault="00CD7679" w:rsidP="008B3AB7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>Lexibook</w:t>
      </w:r>
      <w:r w:rsidR="00F01CCF">
        <w:t xml:space="preserve"> étant fortement exposé aux fluctuations monétaires</w:t>
      </w:r>
      <w:r w:rsidR="00EE504F">
        <w:t>, une attention toute particulière est apportée à l’évolution des devises.</w:t>
      </w:r>
      <w:r w:rsidR="009F25A7">
        <w:t xml:space="preserve"> Plusieurs facteurs, dont notamment les résultats des élections américaines, affec</w:t>
      </w:r>
      <w:r w:rsidR="00A6691F">
        <w:t xml:space="preserve">tent </w:t>
      </w:r>
      <w:r w:rsidR="00203703">
        <w:t xml:space="preserve">depuis peu </w:t>
      </w:r>
      <w:r w:rsidR="00A6691F">
        <w:t>sévèrement l’euro par rapport au dollar américain</w:t>
      </w:r>
      <w:r w:rsidR="00203703">
        <w:t xml:space="preserve"> (</w:t>
      </w:r>
      <w:r w:rsidR="00072AF2">
        <w:t xml:space="preserve">chute rapide de </w:t>
      </w:r>
      <w:r w:rsidR="00445D71">
        <w:t>1.12</w:t>
      </w:r>
      <w:r w:rsidR="00576801">
        <w:t>1</w:t>
      </w:r>
      <w:r w:rsidR="00F40961">
        <w:t>0</w:t>
      </w:r>
      <w:r w:rsidR="00445D71">
        <w:t>US$</w:t>
      </w:r>
      <w:r w:rsidR="00576801">
        <w:t xml:space="preserve"> contre 1.00€ fin septembre 2024</w:t>
      </w:r>
      <w:r w:rsidR="00445D71">
        <w:t xml:space="preserve"> </w:t>
      </w:r>
      <w:r w:rsidR="004A05D0">
        <w:t>à 1.05</w:t>
      </w:r>
      <w:r w:rsidR="00852EBC">
        <w:t>60</w:t>
      </w:r>
      <w:r w:rsidR="00500B6B">
        <w:t>US$</w:t>
      </w:r>
      <w:r w:rsidR="00576801">
        <w:t xml:space="preserve"> au 13</w:t>
      </w:r>
      <w:r w:rsidR="006E7961">
        <w:t xml:space="preserve"> Novembre 2024</w:t>
      </w:r>
      <w:r w:rsidR="000B52FA">
        <w:t>)</w:t>
      </w:r>
      <w:r w:rsidR="00A6691F">
        <w:t>, ce qui pourrait peser lourdement sur les marges du Groupe</w:t>
      </w:r>
      <w:r w:rsidR="00BF34FC">
        <w:t xml:space="preserve"> si la tendance ne s’inversait pas d’ici à l’année prochaine. </w:t>
      </w:r>
      <w:r w:rsidR="008B3AB7">
        <w:t xml:space="preserve">Les tarifs du fret international pourraient également </w:t>
      </w:r>
      <w:r w:rsidR="00BA3986">
        <w:t>continuer d’</w:t>
      </w:r>
      <w:r w:rsidR="008B3AB7">
        <w:t xml:space="preserve">avoir un effet défavorable </w:t>
      </w:r>
      <w:r w:rsidR="00493BA5">
        <w:t>s</w:t>
      </w:r>
      <w:r w:rsidR="009C6711">
        <w:t xml:space="preserve">i la situation </w:t>
      </w:r>
      <w:r w:rsidR="00064A86">
        <w:t xml:space="preserve">au </w:t>
      </w:r>
      <w:r w:rsidR="004E4256">
        <w:t>Proche-Orient</w:t>
      </w:r>
      <w:r w:rsidR="00064A86">
        <w:t xml:space="preserve"> ne s’améliorait pas.</w:t>
      </w:r>
    </w:p>
    <w:p w14:paraId="54D771BB" w14:textId="73D43D20" w:rsidR="00863D27" w:rsidRDefault="006E796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>Pour 2025, l</w:t>
      </w:r>
      <w:r w:rsidR="00BF34FC">
        <w:t xml:space="preserve">es </w:t>
      </w:r>
      <w:r w:rsidR="008507C6">
        <w:t xml:space="preserve">marges de manœuvre de Lexibook pour revoir ses tarifs sont limitées, </w:t>
      </w:r>
      <w:r w:rsidR="00C65922">
        <w:t xml:space="preserve">le Groupe craint donc une détérioration de ses marges si </w:t>
      </w:r>
      <w:r w:rsidR="00D57911">
        <w:t xml:space="preserve">le dollar reste à ce niveau ou </w:t>
      </w:r>
      <w:r w:rsidR="000B52FA">
        <w:t>s’apprécie</w:t>
      </w:r>
      <w:r w:rsidR="00D57911">
        <w:t xml:space="preserve"> davantage.</w:t>
      </w:r>
    </w:p>
    <w:p w14:paraId="3E72EDA7" w14:textId="77777777" w:rsidR="00BA5E16" w:rsidRDefault="00BA5E16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  <w:rPr>
          <w:color w:val="FF0000"/>
        </w:rPr>
      </w:pPr>
    </w:p>
    <w:p w14:paraId="35F94EC9" w14:textId="1E0D0ED3" w:rsidR="00707DE8" w:rsidRPr="00F11850" w:rsidRDefault="00BA5E16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 w:rsidRPr="00F11850">
        <w:t>Dans le cadre du projet d’OPA de Doodle sur Lexibook, la société a provisionné dans ses comptes semestriels des honoraires à hauteur de 70K€ et anticipe 2</w:t>
      </w:r>
      <w:r w:rsidR="00046A02" w:rsidRPr="00F11850">
        <w:t>5</w:t>
      </w:r>
      <w:r w:rsidRPr="00F11850">
        <w:t xml:space="preserve">0K€ </w:t>
      </w:r>
      <w:r w:rsidR="00046A02" w:rsidRPr="00F11850">
        <w:t>à 350K</w:t>
      </w:r>
      <w:r w:rsidRPr="00F11850">
        <w:t>€ d’honoraires supplémentaires dans le courant du 2</w:t>
      </w:r>
      <w:r w:rsidRPr="00F11850">
        <w:rPr>
          <w:vertAlign w:val="superscript"/>
        </w:rPr>
        <w:t>nd</w:t>
      </w:r>
      <w:r w:rsidRPr="00F11850">
        <w:t xml:space="preserve"> semestre.</w:t>
      </w:r>
    </w:p>
    <w:p w14:paraId="0C524FC3" w14:textId="77777777" w:rsidR="00C23D61" w:rsidRDefault="00C23D6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140CB212" w14:textId="27893C45" w:rsidR="00C23D61" w:rsidRDefault="00C23D61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  <w:r>
        <w:t>Enfin, un nouveau sujet d’inquiétude</w:t>
      </w:r>
      <w:r w:rsidR="008C2B55">
        <w:t xml:space="preserve"> porte sur les décisions futures de l’administration Trump sur les futurs éventuels changements de </w:t>
      </w:r>
      <w:r w:rsidR="00E863BD">
        <w:t xml:space="preserve">droits de douane pour les produits fabriqués en Chine </w:t>
      </w:r>
      <w:r w:rsidR="00743D3E">
        <w:t xml:space="preserve">faisant leur entrée sur le sol américain. Ceci pourrait avoir un impact direct sur les ventes et les marges sur le marché </w:t>
      </w:r>
      <w:r w:rsidR="00724910">
        <w:t>US.</w:t>
      </w:r>
    </w:p>
    <w:p w14:paraId="6121A0A4" w14:textId="136165DC" w:rsidR="00B87DE2" w:rsidRDefault="00B87DE2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7F978EF1" w14:textId="05E6326B" w:rsidR="00B87DE2" w:rsidRDefault="00B87DE2" w:rsidP="00ED18D4">
      <w:pPr>
        <w:tabs>
          <w:tab w:val="left" w:pos="0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</w:tabs>
        <w:autoSpaceDE w:val="0"/>
        <w:autoSpaceDN w:val="0"/>
        <w:adjustRightInd w:val="0"/>
        <w:spacing w:line="240" w:lineRule="atLeast"/>
        <w:jc w:val="both"/>
      </w:pPr>
    </w:p>
    <w:p w14:paraId="0829FC0E" w14:textId="32A6DCDC" w:rsidR="00CD4F6B" w:rsidRPr="005F39A9" w:rsidRDefault="00CD4F6B" w:rsidP="00E618AC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5F39A9">
        <w:rPr>
          <w:rFonts w:cs="Calibri"/>
          <w:b/>
        </w:rPr>
        <w:t>A propos de Lexibook</w:t>
      </w:r>
    </w:p>
    <w:p w14:paraId="4DB754AA" w14:textId="75AE6FE6" w:rsidR="00CD4F6B" w:rsidRPr="00614819" w:rsidRDefault="00CD4F6B" w:rsidP="00E618AC">
      <w:pPr>
        <w:pStyle w:val="Paragraphedeliste"/>
        <w:ind w:left="0"/>
        <w:jc w:val="both"/>
        <w:rPr>
          <w:rFonts w:cs="Calibri"/>
        </w:rPr>
      </w:pPr>
      <w:r>
        <w:rPr>
          <w:rFonts w:cs="Calibri"/>
        </w:rPr>
        <w:t>Lexibook®, p</w:t>
      </w:r>
      <w:r w:rsidRPr="00614819">
        <w:rPr>
          <w:rFonts w:cs="Calibri"/>
        </w:rPr>
        <w:t xml:space="preserve">ropriétaire de plus de </w:t>
      </w:r>
      <w:r>
        <w:rPr>
          <w:rFonts w:cs="Calibri"/>
        </w:rPr>
        <w:t>22</w:t>
      </w:r>
      <w:r w:rsidRPr="00614819">
        <w:rPr>
          <w:rFonts w:cs="Calibri"/>
        </w:rPr>
        <w:t xml:space="preserve"> marques enregistrées telles que Powerman®, Decotech®, Karaoke Micro Star®, Chessman®, Cyber Arcade®, Lexitab®, iParty®, FlashBoom®, etc., Lexibook® est le leader des produits de loisirs électroniques intelligents pour les enfants. Ce succès est fondé sur une stratégie éprouvée consistant à marier des licences internationales fortes à des produits électroniques grand public à haute valeur ajoutée. Cette stratégie, complétée par une politique d'innovation constante, permet au </w:t>
      </w:r>
      <w:r w:rsidR="00CD7679">
        <w:rPr>
          <w:rFonts w:cs="Calibri"/>
        </w:rPr>
        <w:t>G</w:t>
      </w:r>
      <w:r w:rsidRPr="00614819">
        <w:rPr>
          <w:rFonts w:cs="Calibri"/>
        </w:rPr>
        <w:t xml:space="preserve">roupe de s'épanouir à l'international et de développer en permanence de nouvelles gammes de produits sous </w:t>
      </w:r>
      <w:r w:rsidR="00CD7679">
        <w:rPr>
          <w:rFonts w:cs="Calibri"/>
        </w:rPr>
        <w:t>s</w:t>
      </w:r>
      <w:r w:rsidRPr="00614819">
        <w:rPr>
          <w:rFonts w:cs="Calibri"/>
        </w:rPr>
        <w:t xml:space="preserve">es marques </w:t>
      </w:r>
      <w:r w:rsidR="00CD7679">
        <w:rPr>
          <w:rFonts w:cs="Calibri"/>
        </w:rPr>
        <w:t>propres</w:t>
      </w:r>
      <w:r w:rsidRPr="00614819">
        <w:rPr>
          <w:rFonts w:cs="Calibri"/>
        </w:rPr>
        <w:t>. Avec plus de 35 millions de produits sur le marché, l'entreprise vend désormais un produit toutes les 10 secondes dans le monde entier</w:t>
      </w:r>
      <w:r>
        <w:rPr>
          <w:rFonts w:cs="Calibri"/>
        </w:rPr>
        <w:t xml:space="preserve"> </w:t>
      </w:r>
      <w:r w:rsidRPr="00614819">
        <w:rPr>
          <w:rFonts w:cs="Calibri"/>
        </w:rPr>
        <w:t xml:space="preserve">! </w:t>
      </w:r>
      <w:r w:rsidRPr="005F39A9">
        <w:rPr>
          <w:rFonts w:cs="Calibri"/>
        </w:rPr>
        <w:t xml:space="preserve">Le capital social de Lexibook est composé de </w:t>
      </w:r>
      <w:r>
        <w:rPr>
          <w:rFonts w:cs="Calibri"/>
        </w:rPr>
        <w:t>7 763 319</w:t>
      </w:r>
      <w:r w:rsidRPr="005F39A9">
        <w:rPr>
          <w:rFonts w:cs="Calibri"/>
        </w:rPr>
        <w:t xml:space="preserve"> actions cotées sur le marché Alternext à Paris (Euronext). ISIN : FR0000033599 – ALLEX ; ICB : 3743 – Consumer electronics. </w:t>
      </w:r>
      <w:r w:rsidRPr="00614819">
        <w:rPr>
          <w:rFonts w:cs="Calibri"/>
        </w:rPr>
        <w:t>Pour en savoir plus : www.lexibook.com et www.decotech-lights.com.</w:t>
      </w:r>
    </w:p>
    <w:p w14:paraId="0D37E4B6" w14:textId="77777777" w:rsidR="00CD4F6B" w:rsidRPr="005F39A9" w:rsidRDefault="00CD4F6B" w:rsidP="00CD4F6B">
      <w:pPr>
        <w:pStyle w:val="Paragraphedeliste"/>
        <w:ind w:left="142"/>
        <w:jc w:val="both"/>
        <w:rPr>
          <w:rFonts w:cs="Calibri"/>
          <w:b/>
          <w:i/>
          <w:sz w:val="20"/>
          <w:szCs w:val="20"/>
        </w:rPr>
      </w:pPr>
    </w:p>
    <w:p w14:paraId="344DE39F" w14:textId="77777777" w:rsidR="00CD4F6B" w:rsidRPr="00715FE4" w:rsidRDefault="00CD4F6B" w:rsidP="00CD4F6B">
      <w:pPr>
        <w:autoSpaceDE w:val="0"/>
        <w:autoSpaceDN w:val="0"/>
        <w:adjustRightInd w:val="0"/>
        <w:spacing w:line="240" w:lineRule="atLeast"/>
        <w:ind w:left="142"/>
        <w:jc w:val="both"/>
        <w:rPr>
          <w:rFonts w:cs="Calibri"/>
          <w:b/>
          <w:lang w:val="en-US"/>
        </w:rPr>
      </w:pPr>
      <w:r w:rsidRPr="00715FE4">
        <w:rPr>
          <w:rFonts w:cs="Calibri"/>
          <w:b/>
          <w:lang w:val="en-US"/>
        </w:rPr>
        <w:t xml:space="preserve">Contacts </w:t>
      </w:r>
    </w:p>
    <w:p w14:paraId="128023FD" w14:textId="67AC5989" w:rsidR="00EC7397" w:rsidRPr="008F3101" w:rsidRDefault="00CD4F6B" w:rsidP="008F3101">
      <w:pPr>
        <w:ind w:left="142"/>
        <w:jc w:val="both"/>
        <w:outlineLvl w:val="0"/>
        <w:rPr>
          <w:lang w:val="en-US"/>
        </w:rPr>
      </w:pPr>
      <w:r w:rsidRPr="00715FE4">
        <w:rPr>
          <w:rFonts w:cs="Calibri"/>
          <w:lang w:val="en-US"/>
        </w:rPr>
        <w:t xml:space="preserve">LEXIBOOK </w:t>
      </w:r>
      <w:r>
        <w:rPr>
          <w:rFonts w:cs="Calibri"/>
          <w:lang w:val="en-US"/>
        </w:rPr>
        <w:t xml:space="preserve">- </w:t>
      </w:r>
      <w:r w:rsidRPr="00715FE4">
        <w:rPr>
          <w:rFonts w:cs="Calibri"/>
          <w:lang w:val="en-US"/>
        </w:rPr>
        <w:t>Aymer</w:t>
      </w:r>
      <w:r>
        <w:rPr>
          <w:rFonts w:cs="Calibri"/>
          <w:lang w:val="en-US"/>
        </w:rPr>
        <w:t>ic Le Cottier</w:t>
      </w:r>
      <w:r w:rsidRPr="00715FE4">
        <w:rPr>
          <w:rFonts w:cs="Calibri"/>
          <w:lang w:val="en-US"/>
        </w:rPr>
        <w:t xml:space="preserve"> - </w:t>
      </w:r>
      <w:r>
        <w:rPr>
          <w:rFonts w:cs="Calibri"/>
          <w:lang w:val="en-US"/>
        </w:rPr>
        <w:t>CEO</w:t>
      </w:r>
      <w:r w:rsidRPr="00715FE4">
        <w:rPr>
          <w:rFonts w:cs="Calibri"/>
          <w:lang w:val="en-US"/>
        </w:rPr>
        <w:t xml:space="preserve"> - 01 73 23 23 4</w:t>
      </w:r>
      <w:r>
        <w:rPr>
          <w:rFonts w:cs="Calibri"/>
          <w:lang w:val="en-US"/>
        </w:rPr>
        <w:t>8</w:t>
      </w:r>
      <w:r w:rsidRPr="00715FE4">
        <w:rPr>
          <w:rFonts w:cs="Calibri"/>
          <w:lang w:val="en-US"/>
        </w:rPr>
        <w:t xml:space="preserve"> / </w:t>
      </w:r>
      <w:r>
        <w:rPr>
          <w:rFonts w:cs="Calibri"/>
          <w:lang w:val="en-US"/>
        </w:rPr>
        <w:t>aymericlecottier</w:t>
      </w:r>
      <w:r w:rsidRPr="00715FE4">
        <w:rPr>
          <w:rFonts w:cs="Calibri"/>
          <w:lang w:val="en-US"/>
        </w:rPr>
        <w:t>@lexibook.com</w:t>
      </w:r>
    </w:p>
    <w:sectPr w:rsidR="00EC7397" w:rsidRPr="008F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97A"/>
    <w:multiLevelType w:val="hybridMultilevel"/>
    <w:tmpl w:val="C3A427DC"/>
    <w:lvl w:ilvl="0" w:tplc="B966F99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13E"/>
    <w:multiLevelType w:val="hybridMultilevel"/>
    <w:tmpl w:val="7E58546C"/>
    <w:lvl w:ilvl="0" w:tplc="5010E48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127"/>
    <w:multiLevelType w:val="hybridMultilevel"/>
    <w:tmpl w:val="E744C630"/>
    <w:lvl w:ilvl="0" w:tplc="9260DAE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6CB6"/>
    <w:multiLevelType w:val="hybridMultilevel"/>
    <w:tmpl w:val="A886AD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2876CA"/>
    <w:multiLevelType w:val="hybridMultilevel"/>
    <w:tmpl w:val="A21EFA9E"/>
    <w:lvl w:ilvl="0" w:tplc="F4D4149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96462">
    <w:abstractNumId w:val="4"/>
  </w:num>
  <w:num w:numId="2" w16cid:durableId="1554922704">
    <w:abstractNumId w:val="2"/>
  </w:num>
  <w:num w:numId="3" w16cid:durableId="965159586">
    <w:abstractNumId w:val="3"/>
  </w:num>
  <w:num w:numId="4" w16cid:durableId="566309757">
    <w:abstractNumId w:val="0"/>
  </w:num>
  <w:num w:numId="5" w16cid:durableId="189053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BF6816"/>
    <w:rsid w:val="00003F51"/>
    <w:rsid w:val="000061B4"/>
    <w:rsid w:val="00012E0B"/>
    <w:rsid w:val="00013B5B"/>
    <w:rsid w:val="000140D4"/>
    <w:rsid w:val="000166A9"/>
    <w:rsid w:val="000242B7"/>
    <w:rsid w:val="00024CDE"/>
    <w:rsid w:val="000300DE"/>
    <w:rsid w:val="000325BD"/>
    <w:rsid w:val="00042096"/>
    <w:rsid w:val="00046A02"/>
    <w:rsid w:val="00052F24"/>
    <w:rsid w:val="00055E29"/>
    <w:rsid w:val="000576A3"/>
    <w:rsid w:val="00061512"/>
    <w:rsid w:val="00064A86"/>
    <w:rsid w:val="00072AF2"/>
    <w:rsid w:val="00072E4A"/>
    <w:rsid w:val="000759C0"/>
    <w:rsid w:val="00075E18"/>
    <w:rsid w:val="0008062F"/>
    <w:rsid w:val="000939CF"/>
    <w:rsid w:val="000965B7"/>
    <w:rsid w:val="000A4A19"/>
    <w:rsid w:val="000B0882"/>
    <w:rsid w:val="000B52FA"/>
    <w:rsid w:val="000C2C53"/>
    <w:rsid w:val="000C33E8"/>
    <w:rsid w:val="000C3AEC"/>
    <w:rsid w:val="000C7735"/>
    <w:rsid w:val="000D0906"/>
    <w:rsid w:val="000D6478"/>
    <w:rsid w:val="000E3E11"/>
    <w:rsid w:val="000E794E"/>
    <w:rsid w:val="000F5972"/>
    <w:rsid w:val="00101829"/>
    <w:rsid w:val="00110056"/>
    <w:rsid w:val="00114F40"/>
    <w:rsid w:val="00117377"/>
    <w:rsid w:val="0011749C"/>
    <w:rsid w:val="00121BCE"/>
    <w:rsid w:val="0012447C"/>
    <w:rsid w:val="001273FA"/>
    <w:rsid w:val="001369AF"/>
    <w:rsid w:val="00136B56"/>
    <w:rsid w:val="00145275"/>
    <w:rsid w:val="00150C38"/>
    <w:rsid w:val="00153FC6"/>
    <w:rsid w:val="0016108B"/>
    <w:rsid w:val="00183E40"/>
    <w:rsid w:val="00185434"/>
    <w:rsid w:val="00186D48"/>
    <w:rsid w:val="00190729"/>
    <w:rsid w:val="00194CDE"/>
    <w:rsid w:val="001A67F7"/>
    <w:rsid w:val="001A6F60"/>
    <w:rsid w:val="001B320D"/>
    <w:rsid w:val="001B3B56"/>
    <w:rsid w:val="001B5A56"/>
    <w:rsid w:val="001B5B10"/>
    <w:rsid w:val="001B63F2"/>
    <w:rsid w:val="001B66D8"/>
    <w:rsid w:val="001C2B94"/>
    <w:rsid w:val="001D37F3"/>
    <w:rsid w:val="001F02D5"/>
    <w:rsid w:val="00203703"/>
    <w:rsid w:val="00210338"/>
    <w:rsid w:val="002114E3"/>
    <w:rsid w:val="00215CFE"/>
    <w:rsid w:val="002168E4"/>
    <w:rsid w:val="002222CA"/>
    <w:rsid w:val="00225AD5"/>
    <w:rsid w:val="00234CAC"/>
    <w:rsid w:val="0023525C"/>
    <w:rsid w:val="0023670B"/>
    <w:rsid w:val="00237FC7"/>
    <w:rsid w:val="00251BDB"/>
    <w:rsid w:val="00264D5E"/>
    <w:rsid w:val="00266C32"/>
    <w:rsid w:val="00281F90"/>
    <w:rsid w:val="0028413B"/>
    <w:rsid w:val="00295D5B"/>
    <w:rsid w:val="00295FDE"/>
    <w:rsid w:val="002A07AB"/>
    <w:rsid w:val="002A61AA"/>
    <w:rsid w:val="002B6643"/>
    <w:rsid w:val="002C4ECA"/>
    <w:rsid w:val="002C5BB7"/>
    <w:rsid w:val="002E245C"/>
    <w:rsid w:val="002F2F00"/>
    <w:rsid w:val="002F5A17"/>
    <w:rsid w:val="003007E6"/>
    <w:rsid w:val="00303310"/>
    <w:rsid w:val="0030407B"/>
    <w:rsid w:val="003071EC"/>
    <w:rsid w:val="003149D2"/>
    <w:rsid w:val="00316996"/>
    <w:rsid w:val="00324EE6"/>
    <w:rsid w:val="00325BA8"/>
    <w:rsid w:val="00330D01"/>
    <w:rsid w:val="00331ED2"/>
    <w:rsid w:val="003471DF"/>
    <w:rsid w:val="00355766"/>
    <w:rsid w:val="003811A9"/>
    <w:rsid w:val="003830CB"/>
    <w:rsid w:val="00391380"/>
    <w:rsid w:val="003A151D"/>
    <w:rsid w:val="003A64B6"/>
    <w:rsid w:val="003B42D7"/>
    <w:rsid w:val="003B57CD"/>
    <w:rsid w:val="003B6D29"/>
    <w:rsid w:val="003B6FAA"/>
    <w:rsid w:val="003C2397"/>
    <w:rsid w:val="003C6EAD"/>
    <w:rsid w:val="003E7146"/>
    <w:rsid w:val="004068FA"/>
    <w:rsid w:val="00412E90"/>
    <w:rsid w:val="0042188C"/>
    <w:rsid w:val="0043102A"/>
    <w:rsid w:val="00436CF8"/>
    <w:rsid w:val="00440618"/>
    <w:rsid w:val="004417FA"/>
    <w:rsid w:val="00442022"/>
    <w:rsid w:val="0044449D"/>
    <w:rsid w:val="00445D71"/>
    <w:rsid w:val="00451A5E"/>
    <w:rsid w:val="00451B7B"/>
    <w:rsid w:val="004521B6"/>
    <w:rsid w:val="00457E40"/>
    <w:rsid w:val="0046185C"/>
    <w:rsid w:val="00464A02"/>
    <w:rsid w:val="00470FDB"/>
    <w:rsid w:val="004748B6"/>
    <w:rsid w:val="00483817"/>
    <w:rsid w:val="00490905"/>
    <w:rsid w:val="00493087"/>
    <w:rsid w:val="00493BA5"/>
    <w:rsid w:val="004945E9"/>
    <w:rsid w:val="004950E9"/>
    <w:rsid w:val="00497A7F"/>
    <w:rsid w:val="004A05D0"/>
    <w:rsid w:val="004A0A23"/>
    <w:rsid w:val="004A7361"/>
    <w:rsid w:val="004B4980"/>
    <w:rsid w:val="004B5477"/>
    <w:rsid w:val="004B79B7"/>
    <w:rsid w:val="004C6621"/>
    <w:rsid w:val="004D36DE"/>
    <w:rsid w:val="004D3CCA"/>
    <w:rsid w:val="004E3655"/>
    <w:rsid w:val="004E3F91"/>
    <w:rsid w:val="004E4256"/>
    <w:rsid w:val="004F3FA4"/>
    <w:rsid w:val="004F43C5"/>
    <w:rsid w:val="004F6A8D"/>
    <w:rsid w:val="00500B6B"/>
    <w:rsid w:val="00501E58"/>
    <w:rsid w:val="0051074C"/>
    <w:rsid w:val="00510AD8"/>
    <w:rsid w:val="00513DB7"/>
    <w:rsid w:val="00523E2C"/>
    <w:rsid w:val="00532FE0"/>
    <w:rsid w:val="005628CE"/>
    <w:rsid w:val="00564562"/>
    <w:rsid w:val="005659E1"/>
    <w:rsid w:val="00570334"/>
    <w:rsid w:val="00575FCB"/>
    <w:rsid w:val="00576801"/>
    <w:rsid w:val="00577061"/>
    <w:rsid w:val="00592118"/>
    <w:rsid w:val="00594358"/>
    <w:rsid w:val="005A5532"/>
    <w:rsid w:val="005B4D40"/>
    <w:rsid w:val="005C3833"/>
    <w:rsid w:val="005D15E9"/>
    <w:rsid w:val="005D7AEC"/>
    <w:rsid w:val="005E57AC"/>
    <w:rsid w:val="005E58D3"/>
    <w:rsid w:val="00601AFA"/>
    <w:rsid w:val="00607E54"/>
    <w:rsid w:val="0061622F"/>
    <w:rsid w:val="00616600"/>
    <w:rsid w:val="006362F4"/>
    <w:rsid w:val="00644DAA"/>
    <w:rsid w:val="006461A0"/>
    <w:rsid w:val="00673582"/>
    <w:rsid w:val="00674C03"/>
    <w:rsid w:val="006760FA"/>
    <w:rsid w:val="00677273"/>
    <w:rsid w:val="0068657B"/>
    <w:rsid w:val="006A3E37"/>
    <w:rsid w:val="006B2434"/>
    <w:rsid w:val="006B2960"/>
    <w:rsid w:val="006B520E"/>
    <w:rsid w:val="006C0278"/>
    <w:rsid w:val="006D13A0"/>
    <w:rsid w:val="006D576E"/>
    <w:rsid w:val="006E0926"/>
    <w:rsid w:val="006E29AA"/>
    <w:rsid w:val="006E6117"/>
    <w:rsid w:val="006E7961"/>
    <w:rsid w:val="006F41E2"/>
    <w:rsid w:val="006F4E7F"/>
    <w:rsid w:val="00707DE8"/>
    <w:rsid w:val="00711307"/>
    <w:rsid w:val="00714112"/>
    <w:rsid w:val="007160DA"/>
    <w:rsid w:val="00724910"/>
    <w:rsid w:val="00724B61"/>
    <w:rsid w:val="00726481"/>
    <w:rsid w:val="007300C4"/>
    <w:rsid w:val="007304F5"/>
    <w:rsid w:val="00731C66"/>
    <w:rsid w:val="00734AAC"/>
    <w:rsid w:val="00737113"/>
    <w:rsid w:val="007400EF"/>
    <w:rsid w:val="00743D3E"/>
    <w:rsid w:val="00752E8A"/>
    <w:rsid w:val="007618B3"/>
    <w:rsid w:val="00762167"/>
    <w:rsid w:val="007660A4"/>
    <w:rsid w:val="007779EA"/>
    <w:rsid w:val="007817BC"/>
    <w:rsid w:val="0078556F"/>
    <w:rsid w:val="007962B3"/>
    <w:rsid w:val="00796CDD"/>
    <w:rsid w:val="007A06D6"/>
    <w:rsid w:val="007A304F"/>
    <w:rsid w:val="007A338D"/>
    <w:rsid w:val="007B7697"/>
    <w:rsid w:val="007C460F"/>
    <w:rsid w:val="007C752A"/>
    <w:rsid w:val="007D1D64"/>
    <w:rsid w:val="007E0BB9"/>
    <w:rsid w:val="007E6E9D"/>
    <w:rsid w:val="007E75F2"/>
    <w:rsid w:val="007E7C8C"/>
    <w:rsid w:val="007F10F8"/>
    <w:rsid w:val="00807DDA"/>
    <w:rsid w:val="008133BB"/>
    <w:rsid w:val="0081558F"/>
    <w:rsid w:val="00823F87"/>
    <w:rsid w:val="00833D89"/>
    <w:rsid w:val="00842C10"/>
    <w:rsid w:val="00847A13"/>
    <w:rsid w:val="008507C6"/>
    <w:rsid w:val="00852EBC"/>
    <w:rsid w:val="00863D27"/>
    <w:rsid w:val="008740DA"/>
    <w:rsid w:val="00880201"/>
    <w:rsid w:val="0088572D"/>
    <w:rsid w:val="00890414"/>
    <w:rsid w:val="0089156D"/>
    <w:rsid w:val="008933D6"/>
    <w:rsid w:val="008A7218"/>
    <w:rsid w:val="008B0990"/>
    <w:rsid w:val="008B3AB7"/>
    <w:rsid w:val="008C2B55"/>
    <w:rsid w:val="008C7299"/>
    <w:rsid w:val="008D15C4"/>
    <w:rsid w:val="008D16A0"/>
    <w:rsid w:val="008D39CF"/>
    <w:rsid w:val="008D3C69"/>
    <w:rsid w:val="008F3101"/>
    <w:rsid w:val="008F7C74"/>
    <w:rsid w:val="00915420"/>
    <w:rsid w:val="00915E1B"/>
    <w:rsid w:val="00920722"/>
    <w:rsid w:val="00921704"/>
    <w:rsid w:val="009325F5"/>
    <w:rsid w:val="009339E5"/>
    <w:rsid w:val="00946FFE"/>
    <w:rsid w:val="0095197D"/>
    <w:rsid w:val="009527B8"/>
    <w:rsid w:val="00956953"/>
    <w:rsid w:val="00961B11"/>
    <w:rsid w:val="00963077"/>
    <w:rsid w:val="00967799"/>
    <w:rsid w:val="00974988"/>
    <w:rsid w:val="0098257F"/>
    <w:rsid w:val="00987636"/>
    <w:rsid w:val="009A1A12"/>
    <w:rsid w:val="009A6BF8"/>
    <w:rsid w:val="009A7515"/>
    <w:rsid w:val="009A76AF"/>
    <w:rsid w:val="009B0035"/>
    <w:rsid w:val="009B33CF"/>
    <w:rsid w:val="009B50A7"/>
    <w:rsid w:val="009B7DC0"/>
    <w:rsid w:val="009C6711"/>
    <w:rsid w:val="009C7599"/>
    <w:rsid w:val="009D1872"/>
    <w:rsid w:val="009D5AAE"/>
    <w:rsid w:val="009D7273"/>
    <w:rsid w:val="009E1537"/>
    <w:rsid w:val="009E2D93"/>
    <w:rsid w:val="009E3053"/>
    <w:rsid w:val="009E3A97"/>
    <w:rsid w:val="009E7BB1"/>
    <w:rsid w:val="009F25A7"/>
    <w:rsid w:val="009F48A1"/>
    <w:rsid w:val="009F74DA"/>
    <w:rsid w:val="00A03238"/>
    <w:rsid w:val="00A6691F"/>
    <w:rsid w:val="00A67B13"/>
    <w:rsid w:val="00A70EB7"/>
    <w:rsid w:val="00A73564"/>
    <w:rsid w:val="00A80A0F"/>
    <w:rsid w:val="00A91AD4"/>
    <w:rsid w:val="00AA49B2"/>
    <w:rsid w:val="00AB0823"/>
    <w:rsid w:val="00AC1DA8"/>
    <w:rsid w:val="00AC5422"/>
    <w:rsid w:val="00AC69B5"/>
    <w:rsid w:val="00AD61BA"/>
    <w:rsid w:val="00AD772B"/>
    <w:rsid w:val="00AE1301"/>
    <w:rsid w:val="00AF5B00"/>
    <w:rsid w:val="00B00811"/>
    <w:rsid w:val="00B02367"/>
    <w:rsid w:val="00B0399F"/>
    <w:rsid w:val="00B06843"/>
    <w:rsid w:val="00B07E35"/>
    <w:rsid w:val="00B13ECE"/>
    <w:rsid w:val="00B173E0"/>
    <w:rsid w:val="00B17C2C"/>
    <w:rsid w:val="00B22A87"/>
    <w:rsid w:val="00B2767B"/>
    <w:rsid w:val="00B32B4F"/>
    <w:rsid w:val="00B32F0F"/>
    <w:rsid w:val="00B35F41"/>
    <w:rsid w:val="00B36D41"/>
    <w:rsid w:val="00B4051A"/>
    <w:rsid w:val="00B45DC8"/>
    <w:rsid w:val="00B46E42"/>
    <w:rsid w:val="00B659EF"/>
    <w:rsid w:val="00B67C5C"/>
    <w:rsid w:val="00B87DE2"/>
    <w:rsid w:val="00B87F94"/>
    <w:rsid w:val="00BA22C3"/>
    <w:rsid w:val="00BA3986"/>
    <w:rsid w:val="00BA5E16"/>
    <w:rsid w:val="00BB4D4F"/>
    <w:rsid w:val="00BB54E8"/>
    <w:rsid w:val="00BB6035"/>
    <w:rsid w:val="00BC4388"/>
    <w:rsid w:val="00BD17D3"/>
    <w:rsid w:val="00BD3D1E"/>
    <w:rsid w:val="00BD4231"/>
    <w:rsid w:val="00BD61E9"/>
    <w:rsid w:val="00BE5E59"/>
    <w:rsid w:val="00BF0A76"/>
    <w:rsid w:val="00BF16DB"/>
    <w:rsid w:val="00BF34FC"/>
    <w:rsid w:val="00BF6816"/>
    <w:rsid w:val="00C045C2"/>
    <w:rsid w:val="00C05785"/>
    <w:rsid w:val="00C12C50"/>
    <w:rsid w:val="00C23D61"/>
    <w:rsid w:val="00C26DD6"/>
    <w:rsid w:val="00C32404"/>
    <w:rsid w:val="00C35C01"/>
    <w:rsid w:val="00C37AE4"/>
    <w:rsid w:val="00C4157D"/>
    <w:rsid w:val="00C56D94"/>
    <w:rsid w:val="00C636AE"/>
    <w:rsid w:val="00C65922"/>
    <w:rsid w:val="00C70091"/>
    <w:rsid w:val="00C80222"/>
    <w:rsid w:val="00C921E5"/>
    <w:rsid w:val="00C92E35"/>
    <w:rsid w:val="00C946D7"/>
    <w:rsid w:val="00C94CAC"/>
    <w:rsid w:val="00C95B9E"/>
    <w:rsid w:val="00CA1632"/>
    <w:rsid w:val="00CA3B49"/>
    <w:rsid w:val="00CB1812"/>
    <w:rsid w:val="00CB4716"/>
    <w:rsid w:val="00CD1375"/>
    <w:rsid w:val="00CD29E8"/>
    <w:rsid w:val="00CD4F6B"/>
    <w:rsid w:val="00CD6AD8"/>
    <w:rsid w:val="00CD7679"/>
    <w:rsid w:val="00CE4E5D"/>
    <w:rsid w:val="00CF0A5E"/>
    <w:rsid w:val="00CF38A9"/>
    <w:rsid w:val="00CF45AB"/>
    <w:rsid w:val="00CF64D2"/>
    <w:rsid w:val="00D03116"/>
    <w:rsid w:val="00D039C9"/>
    <w:rsid w:val="00D06A08"/>
    <w:rsid w:val="00D07BB8"/>
    <w:rsid w:val="00D10235"/>
    <w:rsid w:val="00D227A3"/>
    <w:rsid w:val="00D22CB4"/>
    <w:rsid w:val="00D26295"/>
    <w:rsid w:val="00D2701A"/>
    <w:rsid w:val="00D3040A"/>
    <w:rsid w:val="00D36A67"/>
    <w:rsid w:val="00D44F5F"/>
    <w:rsid w:val="00D474C5"/>
    <w:rsid w:val="00D507FB"/>
    <w:rsid w:val="00D51341"/>
    <w:rsid w:val="00D52B7D"/>
    <w:rsid w:val="00D52EE7"/>
    <w:rsid w:val="00D539B8"/>
    <w:rsid w:val="00D54C0E"/>
    <w:rsid w:val="00D57911"/>
    <w:rsid w:val="00D65B76"/>
    <w:rsid w:val="00D717AC"/>
    <w:rsid w:val="00D76A85"/>
    <w:rsid w:val="00D76B61"/>
    <w:rsid w:val="00D837A8"/>
    <w:rsid w:val="00D91194"/>
    <w:rsid w:val="00D970E5"/>
    <w:rsid w:val="00DA38F9"/>
    <w:rsid w:val="00DA4BAE"/>
    <w:rsid w:val="00DA696D"/>
    <w:rsid w:val="00DB5B2E"/>
    <w:rsid w:val="00DC27CC"/>
    <w:rsid w:val="00DD5686"/>
    <w:rsid w:val="00DD72F5"/>
    <w:rsid w:val="00DE0323"/>
    <w:rsid w:val="00DE6C7C"/>
    <w:rsid w:val="00E1715E"/>
    <w:rsid w:val="00E2055C"/>
    <w:rsid w:val="00E26200"/>
    <w:rsid w:val="00E55985"/>
    <w:rsid w:val="00E573EC"/>
    <w:rsid w:val="00E618AC"/>
    <w:rsid w:val="00E71C58"/>
    <w:rsid w:val="00E863BD"/>
    <w:rsid w:val="00E96A3A"/>
    <w:rsid w:val="00E96B35"/>
    <w:rsid w:val="00E97BA1"/>
    <w:rsid w:val="00EA19A8"/>
    <w:rsid w:val="00EA46B6"/>
    <w:rsid w:val="00EA6444"/>
    <w:rsid w:val="00EB7C71"/>
    <w:rsid w:val="00EC7397"/>
    <w:rsid w:val="00ED18D4"/>
    <w:rsid w:val="00EE0DFE"/>
    <w:rsid w:val="00EE0F7B"/>
    <w:rsid w:val="00EE504F"/>
    <w:rsid w:val="00EF37F6"/>
    <w:rsid w:val="00EF5CD0"/>
    <w:rsid w:val="00F01CCF"/>
    <w:rsid w:val="00F04BE6"/>
    <w:rsid w:val="00F11850"/>
    <w:rsid w:val="00F2119A"/>
    <w:rsid w:val="00F22F94"/>
    <w:rsid w:val="00F24DB0"/>
    <w:rsid w:val="00F27316"/>
    <w:rsid w:val="00F403DF"/>
    <w:rsid w:val="00F40961"/>
    <w:rsid w:val="00F44000"/>
    <w:rsid w:val="00F645B1"/>
    <w:rsid w:val="00F724AF"/>
    <w:rsid w:val="00F809A1"/>
    <w:rsid w:val="00F811EB"/>
    <w:rsid w:val="00F908B6"/>
    <w:rsid w:val="00F9199A"/>
    <w:rsid w:val="00FA0734"/>
    <w:rsid w:val="00FA19C4"/>
    <w:rsid w:val="00FB3755"/>
    <w:rsid w:val="00FC0A25"/>
    <w:rsid w:val="00FC1813"/>
    <w:rsid w:val="00FC6FA4"/>
    <w:rsid w:val="00FD6681"/>
    <w:rsid w:val="00FE01C1"/>
    <w:rsid w:val="00FE2083"/>
    <w:rsid w:val="00FE307E"/>
    <w:rsid w:val="00FE61B2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F7E1F"/>
  <w15:chartTrackingRefBased/>
  <w15:docId w15:val="{511BE8CA-8199-4DEB-87EA-3177C49A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6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F6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68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68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68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68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68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68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6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68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68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68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8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681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E01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1C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339E5"/>
    <w:pPr>
      <w:spacing w:after="0" w:line="240" w:lineRule="auto"/>
    </w:pPr>
    <w:rPr>
      <w:rFonts w:ascii="Aptos" w:hAnsi="Aptos" w:cs="Aptos"/>
      <w:kern w:val="0"/>
    </w:rPr>
  </w:style>
  <w:style w:type="character" w:styleId="Marquedecommentaire">
    <w:name w:val="annotation reference"/>
    <w:basedOn w:val="Policepardfaut"/>
    <w:uiPriority w:val="99"/>
    <w:semiHidden/>
    <w:unhideWhenUsed/>
    <w:rsid w:val="00D837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37A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37A8"/>
    <w:rPr>
      <w:rFonts w:ascii="Aptos" w:hAnsi="Aptos" w:cs="Aptos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37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37A8"/>
    <w:rPr>
      <w:rFonts w:ascii="Aptos" w:hAnsi="Aptos" w:cs="Aptos"/>
      <w:b/>
      <w:bCs/>
      <w:kern w:val="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B52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nque-france.fr/fr/statistiques/taux-et-cours/taux-de-change-parites-moyenne-mensuelle-2024-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Links>
    <vt:vector size="6" baseType="variant">
      <vt:variant>
        <vt:i4>6488186</vt:i4>
      </vt:variant>
      <vt:variant>
        <vt:i4>3</vt:i4>
      </vt:variant>
      <vt:variant>
        <vt:i4>0</vt:i4>
      </vt:variant>
      <vt:variant>
        <vt:i4>5</vt:i4>
      </vt:variant>
      <vt:variant>
        <vt:lpwstr>https://www.banque-france.fr/fr/statistiques/taux-et-cours/taux-de-change-parites-moyenne-mensuelle-2024-09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SOUDAIS</dc:creator>
  <cp:keywords/>
  <dc:description/>
  <cp:lastModifiedBy>Aymeric LE COTTIER</cp:lastModifiedBy>
  <cp:revision>64</cp:revision>
  <cp:lastPrinted>2024-11-14T09:37:00Z</cp:lastPrinted>
  <dcterms:created xsi:type="dcterms:W3CDTF">2024-11-15T10:41:00Z</dcterms:created>
  <dcterms:modified xsi:type="dcterms:W3CDTF">2024-11-15T13:21:00Z</dcterms:modified>
</cp:coreProperties>
</file>