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5BC47" w14:textId="77777777" w:rsidR="009D1A60" w:rsidRDefault="00000000">
      <w:pPr>
        <w:rPr>
          <w:rFonts w:ascii="Proxima Nova" w:eastAsia="Proxima Nova" w:hAnsi="Proxima Nova" w:cs="Proxima Nova"/>
        </w:rPr>
      </w:pPr>
      <w:r>
        <w:rPr>
          <w:rFonts w:ascii="Proxima Nova" w:eastAsia="Proxima Nova" w:hAnsi="Proxima Nova" w:cs="Proxima Nova"/>
          <w:noProof/>
        </w:rPr>
        <w:drawing>
          <wp:anchor distT="0" distB="0" distL="114300" distR="114300" simplePos="0" relativeHeight="251658240" behindDoc="0" locked="0" layoutInCell="1" hidden="0" allowOverlap="1" wp14:anchorId="50BB2663" wp14:editId="36BC8CF1">
            <wp:simplePos x="0" y="0"/>
            <wp:positionH relativeFrom="page">
              <wp:posOffset>615315</wp:posOffset>
            </wp:positionH>
            <wp:positionV relativeFrom="page">
              <wp:posOffset>2505075</wp:posOffset>
            </wp:positionV>
            <wp:extent cx="2988000" cy="248400"/>
            <wp:effectExtent l="0" t="0" r="0" b="0"/>
            <wp:wrapNone/>
            <wp:docPr id="538" name="image10.png" descr="../cvi/logo/prfoods-logo-rgb-valge.wmf"/>
            <wp:cNvGraphicFramePr/>
            <a:graphic xmlns:a="http://schemas.openxmlformats.org/drawingml/2006/main">
              <a:graphicData uri="http://schemas.openxmlformats.org/drawingml/2006/picture">
                <pic:pic xmlns:pic="http://schemas.openxmlformats.org/drawingml/2006/picture">
                  <pic:nvPicPr>
                    <pic:cNvPr id="0" name="image10.png" descr="../cvi/logo/prfoods-logo-rgb-valge.wmf"/>
                    <pic:cNvPicPr preferRelativeResize="0"/>
                  </pic:nvPicPr>
                  <pic:blipFill>
                    <a:blip r:embed="rId8"/>
                    <a:srcRect/>
                    <a:stretch>
                      <a:fillRect/>
                    </a:stretch>
                  </pic:blipFill>
                  <pic:spPr>
                    <a:xfrm>
                      <a:off x="0" y="0"/>
                      <a:ext cx="2988000" cy="248400"/>
                    </a:xfrm>
                    <a:prstGeom prst="rect">
                      <a:avLst/>
                    </a:prstGeom>
                    <a:ln/>
                  </pic:spPr>
                </pic:pic>
              </a:graphicData>
            </a:graphic>
          </wp:anchor>
        </w:drawing>
      </w:r>
      <w:r>
        <w:br w:type="page"/>
      </w:r>
      <w:r>
        <w:rPr>
          <w:noProof/>
        </w:rPr>
        <mc:AlternateContent>
          <mc:Choice Requires="wpg">
            <w:drawing>
              <wp:anchor distT="0" distB="0" distL="0" distR="0" simplePos="0" relativeHeight="251659264" behindDoc="1" locked="0" layoutInCell="1" hidden="0" allowOverlap="1" wp14:anchorId="7A77BF61" wp14:editId="5EF5F787">
                <wp:simplePos x="0" y="0"/>
                <wp:positionH relativeFrom="column">
                  <wp:posOffset>-380999</wp:posOffset>
                </wp:positionH>
                <wp:positionV relativeFrom="paragraph">
                  <wp:posOffset>0</wp:posOffset>
                </wp:positionV>
                <wp:extent cx="7121517" cy="10181944"/>
                <wp:effectExtent l="0" t="0" r="0" b="0"/>
                <wp:wrapNone/>
                <wp:docPr id="529" name="Rectangle 529"/>
                <wp:cNvGraphicFramePr/>
                <a:graphic xmlns:a="http://schemas.openxmlformats.org/drawingml/2006/main">
                  <a:graphicData uri="http://schemas.microsoft.com/office/word/2010/wordprocessingShape">
                    <wps:wsp>
                      <wps:cNvSpPr/>
                      <wps:spPr>
                        <a:xfrm>
                          <a:off x="1790004" y="0"/>
                          <a:ext cx="7111992" cy="7560000"/>
                        </a:xfrm>
                        <a:prstGeom prst="rect">
                          <a:avLst/>
                        </a:prstGeom>
                        <a:solidFill>
                          <a:srgbClr val="363270"/>
                        </a:solidFill>
                        <a:ln>
                          <a:noFill/>
                        </a:ln>
                      </wps:spPr>
                      <wps:txbx>
                        <w:txbxContent>
                          <w:p w14:paraId="63F064C7" w14:textId="77777777" w:rsidR="009D1A60" w:rsidRDefault="009D1A60">
                            <w:pP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-380999</wp:posOffset>
                </wp:positionH>
                <wp:positionV relativeFrom="paragraph">
                  <wp:posOffset>0</wp:posOffset>
                </wp:positionV>
                <wp:extent cx="7121517" cy="10181944"/>
                <wp:effectExtent b="0" l="0" r="0" t="0"/>
                <wp:wrapNone/>
                <wp:docPr id="529"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7121517" cy="10181944"/>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D25E9A9" wp14:editId="5281B649">
                <wp:simplePos x="0" y="0"/>
                <wp:positionH relativeFrom="column">
                  <wp:posOffset>88901</wp:posOffset>
                </wp:positionH>
                <wp:positionV relativeFrom="paragraph">
                  <wp:posOffset>2844800</wp:posOffset>
                </wp:positionV>
                <wp:extent cx="4332605" cy="1957273"/>
                <wp:effectExtent l="0" t="0" r="0" b="0"/>
                <wp:wrapNone/>
                <wp:docPr id="531" name="Rectangle 531"/>
                <wp:cNvGraphicFramePr/>
                <a:graphic xmlns:a="http://schemas.openxmlformats.org/drawingml/2006/main">
                  <a:graphicData uri="http://schemas.microsoft.com/office/word/2010/wordprocessingShape">
                    <wps:wsp>
                      <wps:cNvSpPr/>
                      <wps:spPr>
                        <a:xfrm>
                          <a:off x="3184460" y="2810038"/>
                          <a:ext cx="4323080" cy="1939925"/>
                        </a:xfrm>
                        <a:prstGeom prst="rect">
                          <a:avLst/>
                        </a:prstGeom>
                        <a:noFill/>
                        <a:ln>
                          <a:noFill/>
                        </a:ln>
                      </wps:spPr>
                      <wps:txbx>
                        <w:txbxContent>
                          <w:p w14:paraId="6127D66C" w14:textId="77777777" w:rsidR="009D1A60" w:rsidRDefault="00000000">
                            <w:pPr>
                              <w:spacing w:after="0"/>
                              <w:jc w:val="left"/>
                              <w:textDirection w:val="btLr"/>
                            </w:pPr>
                            <w:r>
                              <w:rPr>
                                <w:rFonts w:eastAsia="Arial" w:cs="Arial"/>
                                <w:b/>
                                <w:color w:val="FFFFFF"/>
                                <w:sz w:val="24"/>
                              </w:rPr>
                              <w:t xml:space="preserve">AS </w:t>
                            </w:r>
                            <w:proofErr w:type="spellStart"/>
                            <w:r>
                              <w:rPr>
                                <w:rFonts w:eastAsia="Arial" w:cs="Arial"/>
                                <w:b/>
                                <w:color w:val="FFFFFF"/>
                                <w:sz w:val="24"/>
                              </w:rPr>
                              <w:t>PRFoods</w:t>
                            </w:r>
                            <w:proofErr w:type="spellEnd"/>
                          </w:p>
                          <w:p w14:paraId="5059CBF1" w14:textId="77777777" w:rsidR="009D1A60" w:rsidRDefault="00000000">
                            <w:pPr>
                              <w:spacing w:after="0"/>
                              <w:jc w:val="left"/>
                              <w:textDirection w:val="btLr"/>
                            </w:pPr>
                            <w:r>
                              <w:rPr>
                                <w:rFonts w:eastAsia="Arial" w:cs="Arial"/>
                                <w:color w:val="FFFFFF"/>
                                <w:sz w:val="24"/>
                              </w:rPr>
                              <w:t>Consolidated Unaudited Interim Report</w:t>
                            </w:r>
                          </w:p>
                          <w:p w14:paraId="1FF1CD2C" w14:textId="77777777" w:rsidR="009D1A60" w:rsidRDefault="00000000">
                            <w:pPr>
                              <w:spacing w:after="0"/>
                              <w:jc w:val="left"/>
                              <w:textDirection w:val="btLr"/>
                            </w:pPr>
                            <w:r>
                              <w:rPr>
                                <w:rFonts w:eastAsia="Arial" w:cs="Arial"/>
                                <w:color w:val="FFFFFF"/>
                                <w:sz w:val="24"/>
                              </w:rPr>
                              <w:t>4</w:t>
                            </w:r>
                            <w:r>
                              <w:rPr>
                                <w:rFonts w:eastAsia="Arial" w:cs="Arial"/>
                                <w:color w:val="FFFFFF"/>
                                <w:sz w:val="24"/>
                                <w:vertAlign w:val="superscript"/>
                              </w:rPr>
                              <w:t xml:space="preserve">th </w:t>
                            </w:r>
                            <w:r>
                              <w:rPr>
                                <w:rFonts w:eastAsia="Arial" w:cs="Arial"/>
                                <w:color w:val="FFFFFF"/>
                                <w:sz w:val="24"/>
                              </w:rPr>
                              <w:t>quarter and 12 months of 2021/2022</w:t>
                            </w:r>
                            <w:r>
                              <w:rPr>
                                <w:rFonts w:eastAsia="Arial" w:cs="Arial"/>
                                <w:color w:val="FFFFFF"/>
                                <w:sz w:val="24"/>
                              </w:rPr>
                              <w:br/>
                              <w:t>(translation from the Estonian original)</w:t>
                            </w:r>
                          </w:p>
                          <w:p w14:paraId="1A58C4B0" w14:textId="77777777" w:rsidR="009D1A60" w:rsidRDefault="009D1A60">
                            <w:pPr>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2844800</wp:posOffset>
                </wp:positionV>
                <wp:extent cx="4332605" cy="1957273"/>
                <wp:effectExtent b="0" l="0" r="0" t="0"/>
                <wp:wrapNone/>
                <wp:docPr id="53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4332605" cy="1957273"/>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53AE9B5" wp14:editId="5024A0C4">
                <wp:simplePos x="0" y="0"/>
                <wp:positionH relativeFrom="column">
                  <wp:posOffset>1</wp:posOffset>
                </wp:positionH>
                <wp:positionV relativeFrom="paragraph">
                  <wp:posOffset>7493000</wp:posOffset>
                </wp:positionV>
                <wp:extent cx="6266180" cy="1673517"/>
                <wp:effectExtent l="0" t="0" r="0" b="0"/>
                <wp:wrapSquare wrapText="bothSides" distT="0" distB="0" distL="114300" distR="114300"/>
                <wp:docPr id="534" name="Rectangle 534"/>
                <wp:cNvGraphicFramePr/>
                <a:graphic xmlns:a="http://schemas.openxmlformats.org/drawingml/2006/main">
                  <a:graphicData uri="http://schemas.microsoft.com/office/word/2010/wordprocessingShape">
                    <wps:wsp>
                      <wps:cNvSpPr/>
                      <wps:spPr>
                        <a:xfrm>
                          <a:off x="2217673" y="3192625"/>
                          <a:ext cx="6256655" cy="1174750"/>
                        </a:xfrm>
                        <a:prstGeom prst="rect">
                          <a:avLst/>
                        </a:prstGeom>
                        <a:noFill/>
                        <a:ln>
                          <a:noFill/>
                        </a:ln>
                      </wps:spPr>
                      <wps:txbx>
                        <w:txbxContent>
                          <w:p w14:paraId="3B6F2932" w14:textId="77777777" w:rsidR="009D1A60" w:rsidRDefault="00000000">
                            <w:pPr>
                              <w:spacing w:after="120" w:line="240" w:lineRule="auto"/>
                              <w:textDirection w:val="btLr"/>
                            </w:pPr>
                            <w:r>
                              <w:rPr>
                                <w:rFonts w:eastAsia="Arial" w:cs="Arial"/>
                                <w:color w:val="FFFFFF"/>
                                <w:sz w:val="58"/>
                              </w:rPr>
                              <w:t xml:space="preserve">2021/2022 </w:t>
                            </w:r>
                          </w:p>
                          <w:p w14:paraId="328C3284" w14:textId="77777777" w:rsidR="009D1A60" w:rsidRDefault="00000000">
                            <w:pPr>
                              <w:spacing w:after="120" w:line="240" w:lineRule="auto"/>
                              <w:textDirection w:val="btLr"/>
                            </w:pPr>
                            <w:r>
                              <w:rPr>
                                <w:rFonts w:eastAsia="Arial" w:cs="Arial"/>
                                <w:color w:val="FFFFFF"/>
                                <w:sz w:val="58"/>
                              </w:rPr>
                              <w:t>4</w:t>
                            </w:r>
                            <w:r>
                              <w:rPr>
                                <w:rFonts w:eastAsia="Arial" w:cs="Arial"/>
                                <w:color w:val="FFFFFF"/>
                                <w:sz w:val="58"/>
                                <w:vertAlign w:val="superscript"/>
                              </w:rPr>
                              <w:t xml:space="preserve">th </w:t>
                            </w:r>
                            <w:r>
                              <w:rPr>
                                <w:rFonts w:eastAsia="Arial" w:cs="Arial"/>
                                <w:color w:val="FFFFFF"/>
                                <w:sz w:val="58"/>
                              </w:rPr>
                              <w:t>QUARTER &amp; 12 MONTHS</w:t>
                            </w:r>
                          </w:p>
                          <w:p w14:paraId="477AB324" w14:textId="77777777" w:rsidR="009D1A60" w:rsidRDefault="009D1A60">
                            <w:pPr>
                              <w:textDirection w:val="btLr"/>
                            </w:pP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66180" cy="1673517"/>
                <wp:effectExtent b="0" l="0" r="0" t="0"/>
                <wp:wrapSquare wrapText="bothSides" distB="0" distT="0" distL="114300" distR="114300"/>
                <wp:docPr id="53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266180" cy="1673517"/>
                        </a:xfrm>
                        <a:prstGeom prst="rect"/>
                        <a:ln/>
                      </pic:spPr>
                    </pic:pic>
                  </a:graphicData>
                </a:graphic>
              </wp:anchor>
            </w:drawing>
          </mc:Fallback>
        </mc:AlternateContent>
      </w:r>
    </w:p>
    <w:p w14:paraId="2DE4AB83" w14:textId="77777777" w:rsidR="009D1A60" w:rsidRDefault="009D1A60"/>
    <w:p w14:paraId="38949183" w14:textId="77777777" w:rsidR="009D1A60" w:rsidRDefault="009D1A60"/>
    <w:p w14:paraId="369F2F06" w14:textId="77777777" w:rsidR="009D1A60" w:rsidRDefault="009D1A60"/>
    <w:p w14:paraId="13DBCA41" w14:textId="77777777" w:rsidR="009D1A60" w:rsidRDefault="009D1A60"/>
    <w:p w14:paraId="71EAE79E" w14:textId="77777777" w:rsidR="009D1A60" w:rsidRDefault="009D1A60"/>
    <w:p w14:paraId="5BC48797" w14:textId="77777777" w:rsidR="009D1A60" w:rsidRDefault="009D1A60"/>
    <w:p w14:paraId="1D929AFA" w14:textId="77777777" w:rsidR="009D1A60" w:rsidRDefault="009D1A60"/>
    <w:p w14:paraId="1C502A9C" w14:textId="77777777" w:rsidR="009D1A60" w:rsidRDefault="009D1A60"/>
    <w:p w14:paraId="4A7F6894" w14:textId="77777777" w:rsidR="009D1A60" w:rsidRDefault="00000000">
      <w:r>
        <w:rPr>
          <w:noProof/>
        </w:rPr>
        <w:drawing>
          <wp:anchor distT="0" distB="0" distL="114300" distR="114300" simplePos="0" relativeHeight="251662336" behindDoc="0" locked="0" layoutInCell="1" hidden="0" allowOverlap="1" wp14:anchorId="28385B24" wp14:editId="150D490D">
            <wp:simplePos x="0" y="0"/>
            <wp:positionH relativeFrom="column">
              <wp:posOffset>1</wp:posOffset>
            </wp:positionH>
            <wp:positionV relativeFrom="paragraph">
              <wp:posOffset>0</wp:posOffset>
            </wp:positionV>
            <wp:extent cx="2780665" cy="248285"/>
            <wp:effectExtent l="0" t="0" r="0" b="0"/>
            <wp:wrapNone/>
            <wp:docPr id="5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780665" cy="248285"/>
                    </a:xfrm>
                    <a:prstGeom prst="rect">
                      <a:avLst/>
                    </a:prstGeom>
                    <a:ln/>
                  </pic:spPr>
                </pic:pic>
              </a:graphicData>
            </a:graphic>
          </wp:anchor>
        </w:drawing>
      </w:r>
    </w:p>
    <w:p w14:paraId="14DBE1AA" w14:textId="77777777" w:rsidR="009D1A60" w:rsidRDefault="009D1A60"/>
    <w:p w14:paraId="526CFFD0" w14:textId="77777777" w:rsidR="009D1A60" w:rsidRDefault="009D1A60"/>
    <w:p w14:paraId="3A9EAC39" w14:textId="77777777" w:rsidR="009D1A60" w:rsidRDefault="009D1A60"/>
    <w:p w14:paraId="7441E27E" w14:textId="77777777" w:rsidR="009D1A60" w:rsidRDefault="009D1A60"/>
    <w:p w14:paraId="1E9AE92C" w14:textId="77777777" w:rsidR="009D1A60" w:rsidRDefault="009D1A60"/>
    <w:p w14:paraId="37EFF7F4" w14:textId="77777777" w:rsidR="009D1A60" w:rsidRDefault="009D1A60"/>
    <w:p w14:paraId="0C08239C" w14:textId="77777777" w:rsidR="009D1A60" w:rsidRDefault="009D1A60"/>
    <w:p w14:paraId="2F4AD497" w14:textId="77777777" w:rsidR="009D1A60" w:rsidRDefault="009D1A60"/>
    <w:p w14:paraId="64CA722E" w14:textId="77777777" w:rsidR="009D1A60" w:rsidRDefault="00000000">
      <w:pPr>
        <w:tabs>
          <w:tab w:val="left" w:pos="3686"/>
        </w:tabs>
      </w:pPr>
      <w:r>
        <w:t>Business name</w:t>
      </w:r>
      <w:r>
        <w:tab/>
      </w:r>
      <w:r>
        <w:rPr>
          <w:b/>
        </w:rPr>
        <w:t xml:space="preserve">AS </w:t>
      </w:r>
      <w:proofErr w:type="spellStart"/>
      <w:r>
        <w:rPr>
          <w:b/>
        </w:rPr>
        <w:t>PRFoods</w:t>
      </w:r>
      <w:proofErr w:type="spellEnd"/>
    </w:p>
    <w:p w14:paraId="458B39EF" w14:textId="77777777" w:rsidR="009D1A60" w:rsidRDefault="00000000">
      <w:pPr>
        <w:tabs>
          <w:tab w:val="left" w:pos="3686"/>
        </w:tabs>
      </w:pPr>
      <w:r>
        <w:t>Commercial registry code</w:t>
      </w:r>
      <w:r>
        <w:tab/>
      </w:r>
      <w:r>
        <w:rPr>
          <w:b/>
        </w:rPr>
        <w:t>11560713</w:t>
      </w:r>
    </w:p>
    <w:p w14:paraId="093A5CE5" w14:textId="77777777" w:rsidR="009D1A60" w:rsidRDefault="00000000">
      <w:pPr>
        <w:tabs>
          <w:tab w:val="left" w:pos="3686"/>
        </w:tabs>
      </w:pPr>
      <w:r>
        <w:t>Address</w:t>
      </w:r>
      <w:r>
        <w:tab/>
      </w:r>
      <w:proofErr w:type="spellStart"/>
      <w:r>
        <w:rPr>
          <w:b/>
        </w:rPr>
        <w:t>Pärnu</w:t>
      </w:r>
      <w:proofErr w:type="spellEnd"/>
      <w:r>
        <w:rPr>
          <w:b/>
        </w:rPr>
        <w:t xml:space="preserve"> </w:t>
      </w:r>
      <w:proofErr w:type="spellStart"/>
      <w:r>
        <w:rPr>
          <w:b/>
        </w:rPr>
        <w:t>mnt</w:t>
      </w:r>
      <w:proofErr w:type="spellEnd"/>
      <w:r>
        <w:rPr>
          <w:b/>
        </w:rPr>
        <w:t xml:space="preserve"> 141, Tallinn, Estonia</w:t>
      </w:r>
    </w:p>
    <w:p w14:paraId="1F0A7338" w14:textId="77777777" w:rsidR="009D1A60" w:rsidRDefault="00000000">
      <w:pPr>
        <w:tabs>
          <w:tab w:val="left" w:pos="3686"/>
        </w:tabs>
      </w:pPr>
      <w:r>
        <w:t>Phone</w:t>
      </w:r>
      <w:r>
        <w:tab/>
      </w:r>
      <w:r>
        <w:rPr>
          <w:b/>
        </w:rPr>
        <w:t>+372 452 1470</w:t>
      </w:r>
    </w:p>
    <w:p w14:paraId="6EF2DD65" w14:textId="77777777" w:rsidR="009D1A60" w:rsidRDefault="00000000">
      <w:pPr>
        <w:tabs>
          <w:tab w:val="left" w:pos="3686"/>
        </w:tabs>
      </w:pPr>
      <w:r>
        <w:t>Website</w:t>
      </w:r>
      <w:r>
        <w:tab/>
      </w:r>
      <w:hyperlink r:id="rId13">
        <w:r>
          <w:rPr>
            <w:b/>
          </w:rPr>
          <w:t>prfoods.ee</w:t>
        </w:r>
      </w:hyperlink>
    </w:p>
    <w:p w14:paraId="7624526A" w14:textId="77777777" w:rsidR="009D1A60" w:rsidRDefault="00000000">
      <w:pPr>
        <w:tabs>
          <w:tab w:val="left" w:pos="3686"/>
        </w:tabs>
        <w:jc w:val="left"/>
        <w:rPr>
          <w:b/>
        </w:rPr>
      </w:pPr>
      <w:r>
        <w:t>Main activities</w:t>
      </w:r>
      <w:r>
        <w:tab/>
      </w:r>
      <w:r>
        <w:rPr>
          <w:b/>
        </w:rPr>
        <w:t>Production and sale of fish products</w:t>
      </w:r>
      <w:r>
        <w:rPr>
          <w:b/>
        </w:rPr>
        <w:br/>
      </w:r>
      <w:r>
        <w:rPr>
          <w:b/>
        </w:rPr>
        <w:tab/>
        <w:t>Fish farming</w:t>
      </w:r>
    </w:p>
    <w:p w14:paraId="6A7AADE8" w14:textId="77777777" w:rsidR="009D1A60" w:rsidRDefault="00000000">
      <w:pPr>
        <w:tabs>
          <w:tab w:val="left" w:pos="3686"/>
        </w:tabs>
      </w:pPr>
      <w:r>
        <w:t>Reporting period</w:t>
      </w:r>
      <w:r>
        <w:tab/>
      </w:r>
      <w:r>
        <w:rPr>
          <w:b/>
        </w:rPr>
        <w:t>1 July 2021 – 30 June 2022</w:t>
      </w:r>
      <w:r>
        <w:br w:type="page"/>
      </w:r>
    </w:p>
    <w:p w14:paraId="7F6E91CB" w14:textId="77777777" w:rsidR="009D1A60" w:rsidRDefault="00000000">
      <w:pPr>
        <w:tabs>
          <w:tab w:val="center" w:pos="4819"/>
        </w:tabs>
        <w:rPr>
          <w:rFonts w:eastAsia="Arial" w:cs="Arial"/>
          <w:smallCaps/>
          <w:color w:val="363270"/>
          <w:sz w:val="24"/>
          <w:szCs w:val="24"/>
        </w:rPr>
      </w:pPr>
      <w:r>
        <w:rPr>
          <w:rFonts w:eastAsia="Arial" w:cs="Arial"/>
          <w:smallCaps/>
          <w:color w:val="363270"/>
          <w:sz w:val="24"/>
          <w:szCs w:val="24"/>
        </w:rPr>
        <w:lastRenderedPageBreak/>
        <w:t>TABLE OF CONTENTS</w:t>
      </w:r>
    </w:p>
    <w:sdt>
      <w:sdtPr>
        <w:id w:val="488911150"/>
        <w:docPartObj>
          <w:docPartGallery w:val="Table of Contents"/>
          <w:docPartUnique/>
        </w:docPartObj>
      </w:sdtPr>
      <w:sdtEndPr>
        <w:rPr>
          <w:bCs w:val="0"/>
          <w:caps w:val="0"/>
          <w:noProof w:val="0"/>
          <w:sz w:val="18"/>
          <w:szCs w:val="18"/>
        </w:rPr>
      </w:sdtEndPr>
      <w:sdtContent>
        <w:p w14:paraId="44F25FC0" w14:textId="29EFDE98" w:rsidR="001A7CB9" w:rsidRDefault="00000000">
          <w:pPr>
            <w:pStyle w:val="TOC1"/>
            <w:rPr>
              <w:rFonts w:asciiTheme="minorHAnsi" w:eastAsiaTheme="minorEastAsia" w:hAnsiTheme="minorHAnsi" w:cstheme="minorBidi"/>
              <w:bCs w:val="0"/>
              <w:caps w:val="0"/>
              <w:sz w:val="24"/>
              <w:szCs w:val="24"/>
              <w:lang w:val="en-EE" w:eastAsia="en-GB"/>
            </w:rPr>
          </w:pPr>
          <w:r>
            <w:fldChar w:fldCharType="begin"/>
          </w:r>
          <w:r>
            <w:instrText xml:space="preserve"> TOC \h \u \z </w:instrText>
          </w:r>
          <w:r>
            <w:fldChar w:fldCharType="separate"/>
          </w:r>
          <w:hyperlink w:anchor="_Toc112873374" w:history="1">
            <w:r w:rsidR="001A7CB9" w:rsidRPr="00A47BC6">
              <w:rPr>
                <w:rStyle w:val="Hyperlink"/>
              </w:rPr>
              <w:t>Corporate Profile</w:t>
            </w:r>
            <w:r w:rsidR="001A7CB9">
              <w:rPr>
                <w:webHidden/>
              </w:rPr>
              <w:tab/>
            </w:r>
            <w:r w:rsidR="001A7CB9">
              <w:rPr>
                <w:webHidden/>
              </w:rPr>
              <w:fldChar w:fldCharType="begin"/>
            </w:r>
            <w:r w:rsidR="001A7CB9">
              <w:rPr>
                <w:webHidden/>
              </w:rPr>
              <w:instrText xml:space="preserve"> PAGEREF _Toc112873374 \h </w:instrText>
            </w:r>
            <w:r w:rsidR="001A7CB9">
              <w:rPr>
                <w:webHidden/>
              </w:rPr>
            </w:r>
            <w:r w:rsidR="001A7CB9">
              <w:rPr>
                <w:webHidden/>
              </w:rPr>
              <w:fldChar w:fldCharType="separate"/>
            </w:r>
            <w:r w:rsidR="001A7CB9">
              <w:rPr>
                <w:webHidden/>
              </w:rPr>
              <w:t>4</w:t>
            </w:r>
            <w:r w:rsidR="001A7CB9">
              <w:rPr>
                <w:webHidden/>
              </w:rPr>
              <w:fldChar w:fldCharType="end"/>
            </w:r>
          </w:hyperlink>
        </w:p>
        <w:p w14:paraId="215011A8" w14:textId="57F9E134" w:rsidR="001A7CB9" w:rsidRDefault="001A7CB9">
          <w:pPr>
            <w:pStyle w:val="TOC1"/>
            <w:rPr>
              <w:rFonts w:asciiTheme="minorHAnsi" w:eastAsiaTheme="minorEastAsia" w:hAnsiTheme="minorHAnsi" w:cstheme="minorBidi"/>
              <w:bCs w:val="0"/>
              <w:caps w:val="0"/>
              <w:sz w:val="24"/>
              <w:szCs w:val="24"/>
              <w:lang w:val="en-EE" w:eastAsia="en-GB"/>
            </w:rPr>
          </w:pPr>
          <w:hyperlink w:anchor="_Toc112873375" w:history="1">
            <w:r w:rsidRPr="00A47BC6">
              <w:rPr>
                <w:rStyle w:val="Hyperlink"/>
              </w:rPr>
              <w:t>Management Report</w:t>
            </w:r>
            <w:r>
              <w:rPr>
                <w:webHidden/>
              </w:rPr>
              <w:tab/>
            </w:r>
            <w:r>
              <w:rPr>
                <w:webHidden/>
              </w:rPr>
              <w:fldChar w:fldCharType="begin"/>
            </w:r>
            <w:r>
              <w:rPr>
                <w:webHidden/>
              </w:rPr>
              <w:instrText xml:space="preserve"> PAGEREF _Toc112873375 \h </w:instrText>
            </w:r>
            <w:r>
              <w:rPr>
                <w:webHidden/>
              </w:rPr>
            </w:r>
            <w:r>
              <w:rPr>
                <w:webHidden/>
              </w:rPr>
              <w:fldChar w:fldCharType="separate"/>
            </w:r>
            <w:r>
              <w:rPr>
                <w:webHidden/>
              </w:rPr>
              <w:t>7</w:t>
            </w:r>
            <w:r>
              <w:rPr>
                <w:webHidden/>
              </w:rPr>
              <w:fldChar w:fldCharType="end"/>
            </w:r>
          </w:hyperlink>
        </w:p>
        <w:p w14:paraId="17C229C2" w14:textId="389B228E" w:rsidR="001A7CB9" w:rsidRDefault="001A7CB9">
          <w:pPr>
            <w:pStyle w:val="TOC2"/>
            <w:rPr>
              <w:rFonts w:asciiTheme="minorHAnsi" w:eastAsiaTheme="minorEastAsia" w:hAnsiTheme="minorHAnsi" w:cstheme="minorBidi"/>
              <w:bCs w:val="0"/>
              <w:caps w:val="0"/>
              <w:sz w:val="24"/>
              <w:szCs w:val="24"/>
              <w:lang w:val="en-EE" w:eastAsia="en-GB"/>
            </w:rPr>
          </w:pPr>
          <w:hyperlink w:anchor="_Toc112873376" w:history="1">
            <w:r w:rsidRPr="00A47BC6">
              <w:rPr>
                <w:rStyle w:val="Hyperlink"/>
              </w:rPr>
              <w:t>Overview of Economic Activities</w:t>
            </w:r>
            <w:r>
              <w:rPr>
                <w:webHidden/>
              </w:rPr>
              <w:tab/>
            </w:r>
            <w:r>
              <w:rPr>
                <w:webHidden/>
              </w:rPr>
              <w:fldChar w:fldCharType="begin"/>
            </w:r>
            <w:r>
              <w:rPr>
                <w:webHidden/>
              </w:rPr>
              <w:instrText xml:space="preserve"> PAGEREF _Toc112873376 \h </w:instrText>
            </w:r>
            <w:r>
              <w:rPr>
                <w:webHidden/>
              </w:rPr>
            </w:r>
            <w:r>
              <w:rPr>
                <w:webHidden/>
              </w:rPr>
              <w:fldChar w:fldCharType="separate"/>
            </w:r>
            <w:r>
              <w:rPr>
                <w:webHidden/>
              </w:rPr>
              <w:t>7</w:t>
            </w:r>
            <w:r>
              <w:rPr>
                <w:webHidden/>
              </w:rPr>
              <w:fldChar w:fldCharType="end"/>
            </w:r>
          </w:hyperlink>
        </w:p>
        <w:p w14:paraId="0EC8B525" w14:textId="371FF9E7" w:rsidR="001A7CB9" w:rsidRDefault="001A7CB9">
          <w:pPr>
            <w:pStyle w:val="TOC2"/>
            <w:rPr>
              <w:rFonts w:asciiTheme="minorHAnsi" w:eastAsiaTheme="minorEastAsia" w:hAnsiTheme="minorHAnsi" w:cstheme="minorBidi"/>
              <w:bCs w:val="0"/>
              <w:caps w:val="0"/>
              <w:sz w:val="24"/>
              <w:szCs w:val="24"/>
              <w:lang w:val="en-EE" w:eastAsia="en-GB"/>
            </w:rPr>
          </w:pPr>
          <w:hyperlink w:anchor="_Toc112873377" w:history="1">
            <w:r w:rsidRPr="00A47BC6">
              <w:rPr>
                <w:rStyle w:val="Hyperlink"/>
              </w:rPr>
              <w:t>Management and Supervisory Boards</w:t>
            </w:r>
            <w:r>
              <w:rPr>
                <w:webHidden/>
              </w:rPr>
              <w:tab/>
            </w:r>
            <w:r>
              <w:rPr>
                <w:webHidden/>
              </w:rPr>
              <w:fldChar w:fldCharType="begin"/>
            </w:r>
            <w:r>
              <w:rPr>
                <w:webHidden/>
              </w:rPr>
              <w:instrText xml:space="preserve"> PAGEREF _Toc112873377 \h </w:instrText>
            </w:r>
            <w:r>
              <w:rPr>
                <w:webHidden/>
              </w:rPr>
            </w:r>
            <w:r>
              <w:rPr>
                <w:webHidden/>
              </w:rPr>
              <w:fldChar w:fldCharType="separate"/>
            </w:r>
            <w:r>
              <w:rPr>
                <w:webHidden/>
              </w:rPr>
              <w:t>11</w:t>
            </w:r>
            <w:r>
              <w:rPr>
                <w:webHidden/>
              </w:rPr>
              <w:fldChar w:fldCharType="end"/>
            </w:r>
          </w:hyperlink>
        </w:p>
        <w:p w14:paraId="44DA12B9" w14:textId="781E1BBF" w:rsidR="001A7CB9" w:rsidRDefault="001A7CB9">
          <w:pPr>
            <w:pStyle w:val="TOC2"/>
            <w:rPr>
              <w:rFonts w:asciiTheme="minorHAnsi" w:eastAsiaTheme="minorEastAsia" w:hAnsiTheme="minorHAnsi" w:cstheme="minorBidi"/>
              <w:bCs w:val="0"/>
              <w:caps w:val="0"/>
              <w:sz w:val="24"/>
              <w:szCs w:val="24"/>
              <w:lang w:val="en-EE" w:eastAsia="en-GB"/>
            </w:rPr>
          </w:pPr>
          <w:hyperlink w:anchor="_Toc112873378" w:history="1">
            <w:r w:rsidRPr="00A47BC6">
              <w:rPr>
                <w:rStyle w:val="Hyperlink"/>
              </w:rPr>
              <w:t>Consolidated Statement of Financial Position</w:t>
            </w:r>
            <w:r>
              <w:rPr>
                <w:webHidden/>
              </w:rPr>
              <w:tab/>
            </w:r>
            <w:r>
              <w:rPr>
                <w:webHidden/>
              </w:rPr>
              <w:fldChar w:fldCharType="begin"/>
            </w:r>
            <w:r>
              <w:rPr>
                <w:webHidden/>
              </w:rPr>
              <w:instrText xml:space="preserve"> PAGEREF _Toc112873378 \h </w:instrText>
            </w:r>
            <w:r>
              <w:rPr>
                <w:webHidden/>
              </w:rPr>
            </w:r>
            <w:r>
              <w:rPr>
                <w:webHidden/>
              </w:rPr>
              <w:fldChar w:fldCharType="separate"/>
            </w:r>
            <w:r>
              <w:rPr>
                <w:webHidden/>
              </w:rPr>
              <w:t>13</w:t>
            </w:r>
            <w:r>
              <w:rPr>
                <w:webHidden/>
              </w:rPr>
              <w:fldChar w:fldCharType="end"/>
            </w:r>
          </w:hyperlink>
        </w:p>
        <w:p w14:paraId="7D0D2B94" w14:textId="3B499D75" w:rsidR="001A7CB9" w:rsidRDefault="001A7CB9">
          <w:pPr>
            <w:pStyle w:val="TOC2"/>
            <w:rPr>
              <w:rFonts w:asciiTheme="minorHAnsi" w:eastAsiaTheme="minorEastAsia" w:hAnsiTheme="minorHAnsi" w:cstheme="minorBidi"/>
              <w:bCs w:val="0"/>
              <w:caps w:val="0"/>
              <w:sz w:val="24"/>
              <w:szCs w:val="24"/>
              <w:lang w:val="en-EE" w:eastAsia="en-GB"/>
            </w:rPr>
          </w:pPr>
          <w:hyperlink w:anchor="_Toc112873379" w:history="1">
            <w:r w:rsidRPr="00A47BC6">
              <w:rPr>
                <w:rStyle w:val="Hyperlink"/>
              </w:rPr>
              <w:t>Consolidated Statement of Profit or Loss And Comprehensive Income</w:t>
            </w:r>
            <w:r>
              <w:rPr>
                <w:webHidden/>
              </w:rPr>
              <w:tab/>
            </w:r>
            <w:r>
              <w:rPr>
                <w:webHidden/>
              </w:rPr>
              <w:fldChar w:fldCharType="begin"/>
            </w:r>
            <w:r>
              <w:rPr>
                <w:webHidden/>
              </w:rPr>
              <w:instrText xml:space="preserve"> PAGEREF _Toc112873379 \h </w:instrText>
            </w:r>
            <w:r>
              <w:rPr>
                <w:webHidden/>
              </w:rPr>
            </w:r>
            <w:r>
              <w:rPr>
                <w:webHidden/>
              </w:rPr>
              <w:fldChar w:fldCharType="separate"/>
            </w:r>
            <w:r>
              <w:rPr>
                <w:webHidden/>
              </w:rPr>
              <w:t>14</w:t>
            </w:r>
            <w:r>
              <w:rPr>
                <w:webHidden/>
              </w:rPr>
              <w:fldChar w:fldCharType="end"/>
            </w:r>
          </w:hyperlink>
        </w:p>
        <w:p w14:paraId="7D4DCDF0" w14:textId="1B4EC6B8" w:rsidR="001A7CB9" w:rsidRDefault="001A7CB9">
          <w:pPr>
            <w:pStyle w:val="TOC2"/>
            <w:rPr>
              <w:rFonts w:asciiTheme="minorHAnsi" w:eastAsiaTheme="minorEastAsia" w:hAnsiTheme="minorHAnsi" w:cstheme="minorBidi"/>
              <w:bCs w:val="0"/>
              <w:caps w:val="0"/>
              <w:sz w:val="24"/>
              <w:szCs w:val="24"/>
              <w:lang w:val="en-EE" w:eastAsia="en-GB"/>
            </w:rPr>
          </w:pPr>
          <w:hyperlink w:anchor="_Toc112873380" w:history="1">
            <w:r w:rsidRPr="00A47BC6">
              <w:rPr>
                <w:rStyle w:val="Hyperlink"/>
              </w:rPr>
              <w:t>Consolidated Statement of Changes in Equity</w:t>
            </w:r>
            <w:r>
              <w:rPr>
                <w:webHidden/>
              </w:rPr>
              <w:tab/>
            </w:r>
            <w:r>
              <w:rPr>
                <w:webHidden/>
              </w:rPr>
              <w:fldChar w:fldCharType="begin"/>
            </w:r>
            <w:r>
              <w:rPr>
                <w:webHidden/>
              </w:rPr>
              <w:instrText xml:space="preserve"> PAGEREF _Toc112873380 \h </w:instrText>
            </w:r>
            <w:r>
              <w:rPr>
                <w:webHidden/>
              </w:rPr>
            </w:r>
            <w:r>
              <w:rPr>
                <w:webHidden/>
              </w:rPr>
              <w:fldChar w:fldCharType="separate"/>
            </w:r>
            <w:r>
              <w:rPr>
                <w:webHidden/>
              </w:rPr>
              <w:t>15</w:t>
            </w:r>
            <w:r>
              <w:rPr>
                <w:webHidden/>
              </w:rPr>
              <w:fldChar w:fldCharType="end"/>
            </w:r>
          </w:hyperlink>
        </w:p>
        <w:p w14:paraId="2CE27616" w14:textId="71AD5226" w:rsidR="001A7CB9" w:rsidRDefault="001A7CB9">
          <w:pPr>
            <w:pStyle w:val="TOC2"/>
            <w:rPr>
              <w:rFonts w:asciiTheme="minorHAnsi" w:eastAsiaTheme="minorEastAsia" w:hAnsiTheme="minorHAnsi" w:cstheme="minorBidi"/>
              <w:bCs w:val="0"/>
              <w:caps w:val="0"/>
              <w:sz w:val="24"/>
              <w:szCs w:val="24"/>
              <w:lang w:val="en-EE" w:eastAsia="en-GB"/>
            </w:rPr>
          </w:pPr>
          <w:hyperlink w:anchor="_Toc112873381" w:history="1">
            <w:r w:rsidRPr="00A47BC6">
              <w:rPr>
                <w:rStyle w:val="Hyperlink"/>
              </w:rPr>
              <w:t>Notes to the Interim Report</w:t>
            </w:r>
            <w:r>
              <w:rPr>
                <w:webHidden/>
              </w:rPr>
              <w:tab/>
            </w:r>
            <w:r>
              <w:rPr>
                <w:webHidden/>
              </w:rPr>
              <w:fldChar w:fldCharType="begin"/>
            </w:r>
            <w:r>
              <w:rPr>
                <w:webHidden/>
              </w:rPr>
              <w:instrText xml:space="preserve"> PAGEREF _Toc112873381 \h </w:instrText>
            </w:r>
            <w:r>
              <w:rPr>
                <w:webHidden/>
              </w:rPr>
            </w:r>
            <w:r>
              <w:rPr>
                <w:webHidden/>
              </w:rPr>
              <w:fldChar w:fldCharType="separate"/>
            </w:r>
            <w:r>
              <w:rPr>
                <w:webHidden/>
              </w:rPr>
              <w:t>16</w:t>
            </w:r>
            <w:r>
              <w:rPr>
                <w:webHidden/>
              </w:rPr>
              <w:fldChar w:fldCharType="end"/>
            </w:r>
          </w:hyperlink>
        </w:p>
        <w:p w14:paraId="06D8F440" w14:textId="70765EF4" w:rsidR="001A7CB9" w:rsidRDefault="001A7CB9">
          <w:pPr>
            <w:pStyle w:val="TOC3"/>
            <w:rPr>
              <w:rFonts w:asciiTheme="minorHAnsi" w:eastAsiaTheme="minorEastAsia" w:hAnsiTheme="minorHAnsi" w:cstheme="minorBidi"/>
              <w:iCs w:val="0"/>
              <w:caps w:val="0"/>
              <w:sz w:val="24"/>
              <w:szCs w:val="24"/>
              <w:lang w:val="en-EE" w:eastAsia="en-GB"/>
            </w:rPr>
          </w:pPr>
          <w:hyperlink w:anchor="_Toc112873382" w:history="1">
            <w:r w:rsidRPr="00A47BC6">
              <w:rPr>
                <w:rStyle w:val="Hyperlink"/>
              </w:rPr>
              <w:t>NOTE 1.</w:t>
            </w:r>
            <w:r>
              <w:rPr>
                <w:rFonts w:asciiTheme="minorHAnsi" w:eastAsiaTheme="minorEastAsia" w:hAnsiTheme="minorHAnsi" w:cstheme="minorBidi"/>
                <w:iCs w:val="0"/>
                <w:caps w:val="0"/>
                <w:sz w:val="24"/>
                <w:szCs w:val="24"/>
                <w:lang w:val="en-EE" w:eastAsia="en-GB"/>
              </w:rPr>
              <w:tab/>
            </w:r>
            <w:r w:rsidRPr="00A47BC6">
              <w:rPr>
                <w:rStyle w:val="Hyperlink"/>
              </w:rPr>
              <w:t>Summary of Material Accounting Policies</w:t>
            </w:r>
            <w:r>
              <w:rPr>
                <w:webHidden/>
              </w:rPr>
              <w:tab/>
            </w:r>
            <w:r>
              <w:rPr>
                <w:webHidden/>
              </w:rPr>
              <w:fldChar w:fldCharType="begin"/>
            </w:r>
            <w:r>
              <w:rPr>
                <w:webHidden/>
              </w:rPr>
              <w:instrText xml:space="preserve"> PAGEREF _Toc112873382 \h </w:instrText>
            </w:r>
            <w:r>
              <w:rPr>
                <w:webHidden/>
              </w:rPr>
            </w:r>
            <w:r>
              <w:rPr>
                <w:webHidden/>
              </w:rPr>
              <w:fldChar w:fldCharType="separate"/>
            </w:r>
            <w:r>
              <w:rPr>
                <w:webHidden/>
              </w:rPr>
              <w:t>16</w:t>
            </w:r>
            <w:r>
              <w:rPr>
                <w:webHidden/>
              </w:rPr>
              <w:fldChar w:fldCharType="end"/>
            </w:r>
          </w:hyperlink>
        </w:p>
        <w:p w14:paraId="4C1EEEF3" w14:textId="3FD36B88" w:rsidR="001A7CB9" w:rsidRDefault="001A7CB9">
          <w:pPr>
            <w:pStyle w:val="TOC3"/>
            <w:rPr>
              <w:rFonts w:asciiTheme="minorHAnsi" w:eastAsiaTheme="minorEastAsia" w:hAnsiTheme="minorHAnsi" w:cstheme="minorBidi"/>
              <w:iCs w:val="0"/>
              <w:caps w:val="0"/>
              <w:sz w:val="24"/>
              <w:szCs w:val="24"/>
              <w:lang w:val="en-EE" w:eastAsia="en-GB"/>
            </w:rPr>
          </w:pPr>
          <w:hyperlink w:anchor="_Toc112873383" w:history="1">
            <w:r w:rsidRPr="00A47BC6">
              <w:rPr>
                <w:rStyle w:val="Hyperlink"/>
              </w:rPr>
              <w:t>NOTE 2.</w:t>
            </w:r>
            <w:r>
              <w:rPr>
                <w:rFonts w:asciiTheme="minorHAnsi" w:eastAsiaTheme="minorEastAsia" w:hAnsiTheme="minorHAnsi" w:cstheme="minorBidi"/>
                <w:iCs w:val="0"/>
                <w:caps w:val="0"/>
                <w:sz w:val="24"/>
                <w:szCs w:val="24"/>
                <w:lang w:val="en-EE" w:eastAsia="en-GB"/>
              </w:rPr>
              <w:tab/>
            </w:r>
            <w:r w:rsidRPr="00A47BC6">
              <w:rPr>
                <w:rStyle w:val="Hyperlink"/>
              </w:rPr>
              <w:t>Cash and Cash Equivalents</w:t>
            </w:r>
            <w:r>
              <w:rPr>
                <w:webHidden/>
              </w:rPr>
              <w:tab/>
            </w:r>
            <w:r>
              <w:rPr>
                <w:webHidden/>
              </w:rPr>
              <w:fldChar w:fldCharType="begin"/>
            </w:r>
            <w:r>
              <w:rPr>
                <w:webHidden/>
              </w:rPr>
              <w:instrText xml:space="preserve"> PAGEREF _Toc112873383 \h </w:instrText>
            </w:r>
            <w:r>
              <w:rPr>
                <w:webHidden/>
              </w:rPr>
            </w:r>
            <w:r>
              <w:rPr>
                <w:webHidden/>
              </w:rPr>
              <w:fldChar w:fldCharType="separate"/>
            </w:r>
            <w:r>
              <w:rPr>
                <w:webHidden/>
              </w:rPr>
              <w:t>16</w:t>
            </w:r>
            <w:r>
              <w:rPr>
                <w:webHidden/>
              </w:rPr>
              <w:fldChar w:fldCharType="end"/>
            </w:r>
          </w:hyperlink>
        </w:p>
        <w:p w14:paraId="59C1C6DA" w14:textId="018A4AFF" w:rsidR="001A7CB9" w:rsidRDefault="001A7CB9">
          <w:pPr>
            <w:pStyle w:val="TOC3"/>
            <w:rPr>
              <w:rFonts w:asciiTheme="minorHAnsi" w:eastAsiaTheme="minorEastAsia" w:hAnsiTheme="minorHAnsi" w:cstheme="minorBidi"/>
              <w:iCs w:val="0"/>
              <w:caps w:val="0"/>
              <w:sz w:val="24"/>
              <w:szCs w:val="24"/>
              <w:lang w:val="en-EE" w:eastAsia="en-GB"/>
            </w:rPr>
          </w:pPr>
          <w:hyperlink w:anchor="_Toc112873384" w:history="1">
            <w:r w:rsidRPr="00A47BC6">
              <w:rPr>
                <w:rStyle w:val="Hyperlink"/>
              </w:rPr>
              <w:t>NOTE 3.</w:t>
            </w:r>
            <w:r>
              <w:rPr>
                <w:rFonts w:asciiTheme="minorHAnsi" w:eastAsiaTheme="minorEastAsia" w:hAnsiTheme="minorHAnsi" w:cstheme="minorBidi"/>
                <w:iCs w:val="0"/>
                <w:caps w:val="0"/>
                <w:sz w:val="24"/>
                <w:szCs w:val="24"/>
                <w:lang w:val="en-EE" w:eastAsia="en-GB"/>
              </w:rPr>
              <w:tab/>
            </w:r>
            <w:r w:rsidRPr="00A47BC6">
              <w:rPr>
                <w:rStyle w:val="Hyperlink"/>
              </w:rPr>
              <w:t>Biological Assets</w:t>
            </w:r>
            <w:r>
              <w:rPr>
                <w:webHidden/>
              </w:rPr>
              <w:tab/>
            </w:r>
            <w:r>
              <w:rPr>
                <w:webHidden/>
              </w:rPr>
              <w:fldChar w:fldCharType="begin"/>
            </w:r>
            <w:r>
              <w:rPr>
                <w:webHidden/>
              </w:rPr>
              <w:instrText xml:space="preserve"> PAGEREF _Toc112873384 \h </w:instrText>
            </w:r>
            <w:r>
              <w:rPr>
                <w:webHidden/>
              </w:rPr>
            </w:r>
            <w:r>
              <w:rPr>
                <w:webHidden/>
              </w:rPr>
              <w:fldChar w:fldCharType="separate"/>
            </w:r>
            <w:r>
              <w:rPr>
                <w:webHidden/>
              </w:rPr>
              <w:t>17</w:t>
            </w:r>
            <w:r>
              <w:rPr>
                <w:webHidden/>
              </w:rPr>
              <w:fldChar w:fldCharType="end"/>
            </w:r>
          </w:hyperlink>
        </w:p>
        <w:p w14:paraId="79F68C95" w14:textId="314DFBAE" w:rsidR="001A7CB9" w:rsidRDefault="001A7CB9">
          <w:pPr>
            <w:pStyle w:val="TOC3"/>
            <w:rPr>
              <w:rFonts w:asciiTheme="minorHAnsi" w:eastAsiaTheme="minorEastAsia" w:hAnsiTheme="minorHAnsi" w:cstheme="minorBidi"/>
              <w:iCs w:val="0"/>
              <w:caps w:val="0"/>
              <w:sz w:val="24"/>
              <w:szCs w:val="24"/>
              <w:lang w:val="en-EE" w:eastAsia="en-GB"/>
            </w:rPr>
          </w:pPr>
          <w:hyperlink w:anchor="_Toc112873385" w:history="1">
            <w:r w:rsidRPr="00A47BC6">
              <w:rPr>
                <w:rStyle w:val="Hyperlink"/>
              </w:rPr>
              <w:t>NOTE 4.</w:t>
            </w:r>
            <w:r>
              <w:rPr>
                <w:rFonts w:asciiTheme="minorHAnsi" w:eastAsiaTheme="minorEastAsia" w:hAnsiTheme="minorHAnsi" w:cstheme="minorBidi"/>
                <w:iCs w:val="0"/>
                <w:caps w:val="0"/>
                <w:sz w:val="24"/>
                <w:szCs w:val="24"/>
                <w:lang w:val="en-EE" w:eastAsia="en-GB"/>
              </w:rPr>
              <w:tab/>
            </w:r>
            <w:r w:rsidRPr="00A47BC6">
              <w:rPr>
                <w:rStyle w:val="Hyperlink"/>
              </w:rPr>
              <w:t>Equity</w:t>
            </w:r>
            <w:r>
              <w:rPr>
                <w:webHidden/>
              </w:rPr>
              <w:tab/>
            </w:r>
            <w:r>
              <w:rPr>
                <w:webHidden/>
              </w:rPr>
              <w:fldChar w:fldCharType="begin"/>
            </w:r>
            <w:r>
              <w:rPr>
                <w:webHidden/>
              </w:rPr>
              <w:instrText xml:space="preserve"> PAGEREF _Toc112873385 \h </w:instrText>
            </w:r>
            <w:r>
              <w:rPr>
                <w:webHidden/>
              </w:rPr>
            </w:r>
            <w:r>
              <w:rPr>
                <w:webHidden/>
              </w:rPr>
              <w:fldChar w:fldCharType="separate"/>
            </w:r>
            <w:r>
              <w:rPr>
                <w:webHidden/>
              </w:rPr>
              <w:t>17</w:t>
            </w:r>
            <w:r>
              <w:rPr>
                <w:webHidden/>
              </w:rPr>
              <w:fldChar w:fldCharType="end"/>
            </w:r>
          </w:hyperlink>
        </w:p>
        <w:p w14:paraId="027C25D8" w14:textId="2D575EDC" w:rsidR="001A7CB9" w:rsidRDefault="001A7CB9">
          <w:pPr>
            <w:pStyle w:val="TOC3"/>
            <w:rPr>
              <w:rFonts w:asciiTheme="minorHAnsi" w:eastAsiaTheme="minorEastAsia" w:hAnsiTheme="minorHAnsi" w:cstheme="minorBidi"/>
              <w:iCs w:val="0"/>
              <w:caps w:val="0"/>
              <w:sz w:val="24"/>
              <w:szCs w:val="24"/>
              <w:lang w:val="en-EE" w:eastAsia="en-GB"/>
            </w:rPr>
          </w:pPr>
          <w:hyperlink w:anchor="_Toc112873386" w:history="1">
            <w:r w:rsidRPr="00A47BC6">
              <w:rPr>
                <w:rStyle w:val="Hyperlink"/>
              </w:rPr>
              <w:t>NOTE 5.</w:t>
            </w:r>
            <w:r>
              <w:rPr>
                <w:rFonts w:asciiTheme="minorHAnsi" w:eastAsiaTheme="minorEastAsia" w:hAnsiTheme="minorHAnsi" w:cstheme="minorBidi"/>
                <w:iCs w:val="0"/>
                <w:caps w:val="0"/>
                <w:sz w:val="24"/>
                <w:szCs w:val="24"/>
                <w:lang w:val="en-EE" w:eastAsia="en-GB"/>
              </w:rPr>
              <w:tab/>
            </w:r>
            <w:r w:rsidRPr="00A47BC6">
              <w:rPr>
                <w:rStyle w:val="Hyperlink"/>
              </w:rPr>
              <w:t>Related Party Transactions</w:t>
            </w:r>
            <w:r>
              <w:rPr>
                <w:webHidden/>
              </w:rPr>
              <w:tab/>
            </w:r>
            <w:r>
              <w:rPr>
                <w:webHidden/>
              </w:rPr>
              <w:fldChar w:fldCharType="begin"/>
            </w:r>
            <w:r>
              <w:rPr>
                <w:webHidden/>
              </w:rPr>
              <w:instrText xml:space="preserve"> PAGEREF _Toc112873386 \h </w:instrText>
            </w:r>
            <w:r>
              <w:rPr>
                <w:webHidden/>
              </w:rPr>
            </w:r>
            <w:r>
              <w:rPr>
                <w:webHidden/>
              </w:rPr>
              <w:fldChar w:fldCharType="separate"/>
            </w:r>
            <w:r>
              <w:rPr>
                <w:webHidden/>
              </w:rPr>
              <w:t>18</w:t>
            </w:r>
            <w:r>
              <w:rPr>
                <w:webHidden/>
              </w:rPr>
              <w:fldChar w:fldCharType="end"/>
            </w:r>
          </w:hyperlink>
        </w:p>
        <w:p w14:paraId="6FC490BB" w14:textId="224B3288" w:rsidR="001A7CB9" w:rsidRDefault="001A7CB9">
          <w:pPr>
            <w:pStyle w:val="TOC3"/>
            <w:rPr>
              <w:rFonts w:asciiTheme="minorHAnsi" w:eastAsiaTheme="minorEastAsia" w:hAnsiTheme="minorHAnsi" w:cstheme="minorBidi"/>
              <w:iCs w:val="0"/>
              <w:caps w:val="0"/>
              <w:sz w:val="24"/>
              <w:szCs w:val="24"/>
              <w:lang w:val="en-EE" w:eastAsia="en-GB"/>
            </w:rPr>
          </w:pPr>
          <w:hyperlink w:anchor="_Toc112873387" w:history="1">
            <w:r w:rsidRPr="00A47BC6">
              <w:rPr>
                <w:rStyle w:val="Hyperlink"/>
              </w:rPr>
              <w:t>NOTE 6.</w:t>
            </w:r>
            <w:r>
              <w:rPr>
                <w:rFonts w:asciiTheme="minorHAnsi" w:eastAsiaTheme="minorEastAsia" w:hAnsiTheme="minorHAnsi" w:cstheme="minorBidi"/>
                <w:iCs w:val="0"/>
                <w:caps w:val="0"/>
                <w:sz w:val="24"/>
                <w:szCs w:val="24"/>
                <w:lang w:val="en-EE" w:eastAsia="en-GB"/>
              </w:rPr>
              <w:tab/>
            </w:r>
            <w:r w:rsidRPr="00A47BC6">
              <w:rPr>
                <w:rStyle w:val="Hyperlink"/>
              </w:rPr>
              <w:t>Associate Companies</w:t>
            </w:r>
            <w:r>
              <w:rPr>
                <w:webHidden/>
              </w:rPr>
              <w:tab/>
            </w:r>
            <w:r>
              <w:rPr>
                <w:webHidden/>
              </w:rPr>
              <w:fldChar w:fldCharType="begin"/>
            </w:r>
            <w:r>
              <w:rPr>
                <w:webHidden/>
              </w:rPr>
              <w:instrText xml:space="preserve"> PAGEREF _Toc112873387 \h </w:instrText>
            </w:r>
            <w:r>
              <w:rPr>
                <w:webHidden/>
              </w:rPr>
            </w:r>
            <w:r>
              <w:rPr>
                <w:webHidden/>
              </w:rPr>
              <w:fldChar w:fldCharType="separate"/>
            </w:r>
            <w:r>
              <w:rPr>
                <w:webHidden/>
              </w:rPr>
              <w:t>18</w:t>
            </w:r>
            <w:r>
              <w:rPr>
                <w:webHidden/>
              </w:rPr>
              <w:fldChar w:fldCharType="end"/>
            </w:r>
          </w:hyperlink>
        </w:p>
        <w:p w14:paraId="62F137CA" w14:textId="730C8970" w:rsidR="001A7CB9" w:rsidRDefault="001A7CB9">
          <w:pPr>
            <w:pStyle w:val="TOC3"/>
            <w:rPr>
              <w:rFonts w:asciiTheme="minorHAnsi" w:eastAsiaTheme="minorEastAsia" w:hAnsiTheme="minorHAnsi" w:cstheme="minorBidi"/>
              <w:iCs w:val="0"/>
              <w:caps w:val="0"/>
              <w:sz w:val="24"/>
              <w:szCs w:val="24"/>
              <w:lang w:val="en-EE" w:eastAsia="en-GB"/>
            </w:rPr>
          </w:pPr>
          <w:hyperlink w:anchor="_Toc112873388" w:history="1">
            <w:r w:rsidRPr="00A47BC6">
              <w:rPr>
                <w:rStyle w:val="Hyperlink"/>
              </w:rPr>
              <w:t>NOTE 7.</w:t>
            </w:r>
            <w:r>
              <w:rPr>
                <w:rFonts w:asciiTheme="minorHAnsi" w:eastAsiaTheme="minorEastAsia" w:hAnsiTheme="minorHAnsi" w:cstheme="minorBidi"/>
                <w:iCs w:val="0"/>
                <w:caps w:val="0"/>
                <w:sz w:val="24"/>
                <w:szCs w:val="24"/>
                <w:lang w:val="en-EE" w:eastAsia="en-GB"/>
              </w:rPr>
              <w:tab/>
            </w:r>
            <w:r w:rsidRPr="00A47BC6">
              <w:rPr>
                <w:rStyle w:val="Hyperlink"/>
              </w:rPr>
              <w:t>Contingent Liabilities</w:t>
            </w:r>
            <w:r>
              <w:rPr>
                <w:webHidden/>
              </w:rPr>
              <w:tab/>
            </w:r>
            <w:r>
              <w:rPr>
                <w:webHidden/>
              </w:rPr>
              <w:fldChar w:fldCharType="begin"/>
            </w:r>
            <w:r>
              <w:rPr>
                <w:webHidden/>
              </w:rPr>
              <w:instrText xml:space="preserve"> PAGEREF _Toc112873388 \h </w:instrText>
            </w:r>
            <w:r>
              <w:rPr>
                <w:webHidden/>
              </w:rPr>
            </w:r>
            <w:r>
              <w:rPr>
                <w:webHidden/>
              </w:rPr>
              <w:fldChar w:fldCharType="separate"/>
            </w:r>
            <w:r>
              <w:rPr>
                <w:webHidden/>
              </w:rPr>
              <w:t>19</w:t>
            </w:r>
            <w:r>
              <w:rPr>
                <w:webHidden/>
              </w:rPr>
              <w:fldChar w:fldCharType="end"/>
            </w:r>
          </w:hyperlink>
        </w:p>
        <w:p w14:paraId="5AF639D7" w14:textId="1F971753" w:rsidR="001A7CB9" w:rsidRDefault="001A7CB9">
          <w:pPr>
            <w:pStyle w:val="TOC3"/>
            <w:rPr>
              <w:rFonts w:asciiTheme="minorHAnsi" w:eastAsiaTheme="minorEastAsia" w:hAnsiTheme="minorHAnsi" w:cstheme="minorBidi"/>
              <w:iCs w:val="0"/>
              <w:caps w:val="0"/>
              <w:sz w:val="24"/>
              <w:szCs w:val="24"/>
              <w:lang w:val="en-EE" w:eastAsia="en-GB"/>
            </w:rPr>
          </w:pPr>
          <w:hyperlink w:anchor="_Toc112873389" w:history="1">
            <w:r w:rsidRPr="00A47BC6">
              <w:rPr>
                <w:rStyle w:val="Hyperlink"/>
              </w:rPr>
              <w:t>NOTE 8.</w:t>
            </w:r>
            <w:r>
              <w:rPr>
                <w:rFonts w:asciiTheme="minorHAnsi" w:eastAsiaTheme="minorEastAsia" w:hAnsiTheme="minorHAnsi" w:cstheme="minorBidi"/>
                <w:iCs w:val="0"/>
                <w:caps w:val="0"/>
                <w:sz w:val="24"/>
                <w:szCs w:val="24"/>
                <w:lang w:val="en-EE" w:eastAsia="en-GB"/>
              </w:rPr>
              <w:tab/>
            </w:r>
            <w:r w:rsidRPr="00A47BC6">
              <w:rPr>
                <w:rStyle w:val="Hyperlink"/>
              </w:rPr>
              <w:t>Disposal of Subsidiary</w:t>
            </w:r>
            <w:r>
              <w:rPr>
                <w:webHidden/>
              </w:rPr>
              <w:tab/>
            </w:r>
            <w:r>
              <w:rPr>
                <w:webHidden/>
              </w:rPr>
              <w:fldChar w:fldCharType="begin"/>
            </w:r>
            <w:r>
              <w:rPr>
                <w:webHidden/>
              </w:rPr>
              <w:instrText xml:space="preserve"> PAGEREF _Toc112873389 \h </w:instrText>
            </w:r>
            <w:r>
              <w:rPr>
                <w:webHidden/>
              </w:rPr>
            </w:r>
            <w:r>
              <w:rPr>
                <w:webHidden/>
              </w:rPr>
              <w:fldChar w:fldCharType="separate"/>
            </w:r>
            <w:r>
              <w:rPr>
                <w:webHidden/>
              </w:rPr>
              <w:t>19</w:t>
            </w:r>
            <w:r>
              <w:rPr>
                <w:webHidden/>
              </w:rPr>
              <w:fldChar w:fldCharType="end"/>
            </w:r>
          </w:hyperlink>
        </w:p>
        <w:p w14:paraId="3315D7CE" w14:textId="480DAA77" w:rsidR="001A7CB9" w:rsidRDefault="001A7CB9">
          <w:pPr>
            <w:pStyle w:val="TOC1"/>
            <w:rPr>
              <w:rFonts w:asciiTheme="minorHAnsi" w:eastAsiaTheme="minorEastAsia" w:hAnsiTheme="minorHAnsi" w:cstheme="minorBidi"/>
              <w:bCs w:val="0"/>
              <w:caps w:val="0"/>
              <w:sz w:val="24"/>
              <w:szCs w:val="24"/>
              <w:lang w:val="en-EE" w:eastAsia="en-GB"/>
            </w:rPr>
          </w:pPr>
          <w:hyperlink w:anchor="_Toc112873390" w:history="1">
            <w:r w:rsidRPr="00A47BC6">
              <w:rPr>
                <w:rStyle w:val="Hyperlink"/>
              </w:rPr>
              <w:t>Management Board’s Confirmation to the Interim Report</w:t>
            </w:r>
            <w:r>
              <w:rPr>
                <w:webHidden/>
              </w:rPr>
              <w:tab/>
            </w:r>
            <w:r>
              <w:rPr>
                <w:webHidden/>
              </w:rPr>
              <w:fldChar w:fldCharType="begin"/>
            </w:r>
            <w:r>
              <w:rPr>
                <w:webHidden/>
              </w:rPr>
              <w:instrText xml:space="preserve"> PAGEREF _Toc112873390 \h </w:instrText>
            </w:r>
            <w:r>
              <w:rPr>
                <w:webHidden/>
              </w:rPr>
            </w:r>
            <w:r>
              <w:rPr>
                <w:webHidden/>
              </w:rPr>
              <w:fldChar w:fldCharType="separate"/>
            </w:r>
            <w:r>
              <w:rPr>
                <w:webHidden/>
              </w:rPr>
              <w:t>21</w:t>
            </w:r>
            <w:r>
              <w:rPr>
                <w:webHidden/>
              </w:rPr>
              <w:fldChar w:fldCharType="end"/>
            </w:r>
          </w:hyperlink>
        </w:p>
        <w:p w14:paraId="383C0504" w14:textId="6804C67C" w:rsidR="009D1A60" w:rsidRDefault="00000000">
          <w:pPr>
            <w:pBdr>
              <w:top w:val="nil"/>
              <w:left w:val="nil"/>
              <w:bottom w:val="nil"/>
              <w:right w:val="nil"/>
              <w:between w:val="nil"/>
            </w:pBdr>
            <w:tabs>
              <w:tab w:val="right" w:pos="9645"/>
            </w:tabs>
            <w:spacing w:before="120" w:after="120" w:line="360" w:lineRule="auto"/>
            <w:rPr>
              <w:rFonts w:eastAsia="Arial" w:cs="Arial"/>
              <w:smallCaps/>
              <w:color w:val="000000"/>
              <w:sz w:val="16"/>
              <w:szCs w:val="16"/>
            </w:rPr>
          </w:pPr>
          <w:r>
            <w:fldChar w:fldCharType="end"/>
          </w:r>
        </w:p>
      </w:sdtContent>
    </w:sdt>
    <w:p w14:paraId="719931B5" w14:textId="77777777" w:rsidR="009D1A60" w:rsidRDefault="00000000">
      <w:pPr>
        <w:pStyle w:val="Heading1"/>
      </w:pPr>
      <w:bookmarkStart w:id="0" w:name="_Toc112873374"/>
      <w:r>
        <w:lastRenderedPageBreak/>
        <w:t>Corporate Profile</w:t>
      </w:r>
      <w:bookmarkEnd w:id="0"/>
    </w:p>
    <w:p w14:paraId="1D14E2FE" w14:textId="77777777" w:rsidR="009D1A60" w:rsidRDefault="00000000">
      <w:pPr>
        <w:spacing w:after="120"/>
      </w:pPr>
      <w:r>
        <w:t xml:space="preserve">AS </w:t>
      </w:r>
      <w:proofErr w:type="spellStart"/>
      <w:r>
        <w:t>PRFoods</w:t>
      </w:r>
      <w:proofErr w:type="spellEnd"/>
      <w:r>
        <w:t xml:space="preserve"> (hereinafter the "Group") is a company engaged in fish farming, processing and sales, and its shares are listed on the main list of NASDAQ Tallinn Stock Exchange since 5 May 2010 and its bonds are listed since 6 April 2020. </w:t>
      </w:r>
    </w:p>
    <w:p w14:paraId="4554F607" w14:textId="77777777" w:rsidR="009D1A60" w:rsidRDefault="00000000">
      <w:pPr>
        <w:spacing w:after="120"/>
      </w:pPr>
      <w:r>
        <w:t xml:space="preserve">09.02.2022, </w:t>
      </w:r>
      <w:proofErr w:type="spellStart"/>
      <w:r>
        <w:t>Saaremere</w:t>
      </w:r>
      <w:proofErr w:type="spellEnd"/>
      <w:r>
        <w:t xml:space="preserve"> Kala AS, a subsidiary of AS </w:t>
      </w:r>
      <w:proofErr w:type="spellStart"/>
      <w:r>
        <w:t>PRFoods</w:t>
      </w:r>
      <w:proofErr w:type="spellEnd"/>
      <w:r>
        <w:t xml:space="preserve">, signed an agreement to transfer 100% of the shares of </w:t>
      </w:r>
      <w:proofErr w:type="spellStart"/>
      <w:r>
        <w:t>Heimon</w:t>
      </w:r>
      <w:proofErr w:type="spellEnd"/>
      <w:r>
        <w:t xml:space="preserve"> Kala Oy to Nordic Fish Oy. The transfer of </w:t>
      </w:r>
      <w:proofErr w:type="spellStart"/>
      <w:r>
        <w:t>Heimon</w:t>
      </w:r>
      <w:proofErr w:type="spellEnd"/>
      <w:r>
        <w:t xml:space="preserve"> Kala Oy shares has been completed on 07.03.2022, </w:t>
      </w:r>
      <w:proofErr w:type="spellStart"/>
      <w:proofErr w:type="gramStart"/>
      <w:r>
        <w:t>ie</w:t>
      </w:r>
      <w:proofErr w:type="spellEnd"/>
      <w:proofErr w:type="gramEnd"/>
      <w:r>
        <w:t xml:space="preserve"> the shares of </w:t>
      </w:r>
      <w:proofErr w:type="spellStart"/>
      <w:r>
        <w:t>Heimon</w:t>
      </w:r>
      <w:proofErr w:type="spellEnd"/>
      <w:r>
        <w:t xml:space="preserve"> Kala Oy have been transferred to Nordic Fish Oy. AS </w:t>
      </w:r>
      <w:proofErr w:type="spellStart"/>
      <w:r>
        <w:t>PRFoods</w:t>
      </w:r>
      <w:proofErr w:type="spellEnd"/>
      <w:r>
        <w:t xml:space="preserve"> will continue to develop fish farming in Sweden and Estonia, with the aim of becoming the largest fish farmer in the region.</w:t>
      </w:r>
    </w:p>
    <w:p w14:paraId="676F3685" w14:textId="77777777" w:rsidR="009D1A60" w:rsidRDefault="00000000">
      <w:pPr>
        <w:spacing w:after="120"/>
      </w:pPr>
      <w:r>
        <w:t xml:space="preserve">Since the acquisition of John Ross Jr. and </w:t>
      </w:r>
      <w:proofErr w:type="spellStart"/>
      <w:r>
        <w:t>Coln</w:t>
      </w:r>
      <w:proofErr w:type="spellEnd"/>
      <w:r>
        <w:t xml:space="preserve"> Valley Smokery in the summer of 2017, the Group has sales experience to 37 countries in Europe, North and South America, and Asia.</w:t>
      </w:r>
    </w:p>
    <w:p w14:paraId="308B6D33" w14:textId="77777777" w:rsidR="009D1A60" w:rsidRDefault="00000000">
      <w:pPr>
        <w:spacing w:after="120"/>
      </w:pPr>
      <w:r>
        <w:t>Main activities of the Group are fish farming and manufacturing of fish products. The main products are salmon and rainbow trout products. Approximately 2/3 of the raw fish used in the Group’s rainbow trout production comes from the Group’s fish farms in Swedish lakes and from coastal waters of Saaremaa in Estonia, assuring the highest quality and reliable deliveries. The rest of raw fish is purchased mainly from Norway and Denmark. Fish products are manufactured in two modern factories in Saaremaa (Estonia), and in Aberdeen (Great Britain).</w:t>
      </w:r>
    </w:p>
    <w:p w14:paraId="6FE9120B" w14:textId="77777777" w:rsidR="009D1A60" w:rsidRDefault="00000000">
      <w:r>
        <w:t xml:space="preserve">Products of the Group are sold as leading brands in their respective operating market and the primary focus is on higher value-added premium products, increasing thereby the profitability of the company. </w:t>
      </w:r>
    </w:p>
    <w:p w14:paraId="5B662C00" w14:textId="77777777" w:rsidR="009D1A60" w:rsidRDefault="00000000">
      <w:r>
        <w:t xml:space="preserve">AS </w:t>
      </w:r>
      <w:proofErr w:type="spellStart"/>
      <w:r>
        <w:t>PRFoods</w:t>
      </w:r>
      <w:proofErr w:type="spellEnd"/>
      <w:r>
        <w:t xml:space="preserve"> plans to introduce a new brand this year, which emphasizes the origin of our Saaremaa. We process mostly rainbow trout and salmon in our factories, in smaller quantities also whitefish, perch, pikeperch, vendace, Atlantic and Baltic herrings. We always keep the fish in a place of honour – both when farming and processing it – that is why we raise most of our red fish ourselves and smoke it with alder chips in the traditional way. As our product range is quite wide, a favourite product can be found for the whole family – lightly salted trout slices that have won the title of the Best Fish Product in Estonia, children's favourite trout cutlets or trout roe for a more festive occasion.</w:t>
      </w:r>
    </w:p>
    <w:p w14:paraId="79B2ED83" w14:textId="77777777" w:rsidR="009D1A60" w:rsidRDefault="00000000">
      <w:r>
        <w:t xml:space="preserve">The Group is actively involved in developing new products for expanding also to new export markets. </w:t>
      </w:r>
    </w:p>
    <w:p w14:paraId="604EC1E9" w14:textId="77777777" w:rsidR="009D1A60" w:rsidRDefault="00000000" w:rsidP="0028653E">
      <w:pPr>
        <w:pStyle w:val="ENGNormalcapslilla"/>
      </w:pPr>
      <w:r>
        <w:t>The Geography of Production and Sales</w:t>
      </w:r>
      <w:r>
        <w:rPr>
          <w:noProof/>
        </w:rPr>
        <mc:AlternateContent>
          <mc:Choice Requires="wpg">
            <w:drawing>
              <wp:anchor distT="0" distB="0" distL="114300" distR="114300" simplePos="0" relativeHeight="251663360" behindDoc="0" locked="0" layoutInCell="1" hidden="0" allowOverlap="1" wp14:anchorId="39B82A73" wp14:editId="6941567E">
                <wp:simplePos x="0" y="0"/>
                <wp:positionH relativeFrom="column">
                  <wp:posOffset>1701800</wp:posOffset>
                </wp:positionH>
                <wp:positionV relativeFrom="paragraph">
                  <wp:posOffset>63500</wp:posOffset>
                </wp:positionV>
                <wp:extent cx="4352290" cy="4667250"/>
                <wp:effectExtent l="0" t="0" r="0" b="0"/>
                <wp:wrapNone/>
                <wp:docPr id="532" name="Group 532"/>
                <wp:cNvGraphicFramePr/>
                <a:graphic xmlns:a="http://schemas.openxmlformats.org/drawingml/2006/main">
                  <a:graphicData uri="http://schemas.microsoft.com/office/word/2010/wordprocessingGroup">
                    <wpg:wgp>
                      <wpg:cNvGrpSpPr/>
                      <wpg:grpSpPr>
                        <a:xfrm>
                          <a:off x="0" y="0"/>
                          <a:ext cx="4352290" cy="4667250"/>
                          <a:chOff x="3169855" y="1446375"/>
                          <a:chExt cx="4352290" cy="4667250"/>
                        </a:xfrm>
                      </wpg:grpSpPr>
                      <wpg:grpSp>
                        <wpg:cNvPr id="1" name="Group 1"/>
                        <wpg:cNvGrpSpPr/>
                        <wpg:grpSpPr>
                          <a:xfrm>
                            <a:off x="3169855" y="1446375"/>
                            <a:ext cx="4352290" cy="4667250"/>
                            <a:chOff x="0" y="0"/>
                            <a:chExt cx="4352290" cy="4667250"/>
                          </a:xfrm>
                        </wpg:grpSpPr>
                        <wps:wsp>
                          <wps:cNvPr id="2" name="Rectangle 2"/>
                          <wps:cNvSpPr/>
                          <wps:spPr>
                            <a:xfrm>
                              <a:off x="0" y="0"/>
                              <a:ext cx="4352275" cy="4667250"/>
                            </a:xfrm>
                            <a:prstGeom prst="rect">
                              <a:avLst/>
                            </a:prstGeom>
                            <a:noFill/>
                            <a:ln>
                              <a:noFill/>
                            </a:ln>
                          </wps:spPr>
                          <wps:txbx>
                            <w:txbxContent>
                              <w:p w14:paraId="68AA583B" w14:textId="77777777" w:rsidR="009D1A60" w:rsidRDefault="009D1A60">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4">
                              <a:alphaModFix amt="50000"/>
                            </a:blip>
                            <a:srcRect l="17040" b="11017"/>
                            <a:stretch/>
                          </pic:blipFill>
                          <pic:spPr>
                            <a:xfrm>
                              <a:off x="0" y="0"/>
                              <a:ext cx="4352290" cy="4667250"/>
                            </a:xfrm>
                            <a:prstGeom prst="rect">
                              <a:avLst/>
                            </a:prstGeom>
                            <a:noFill/>
                            <a:ln>
                              <a:noFill/>
                            </a:ln>
                          </pic:spPr>
                        </pic:pic>
                        <wpg:grpSp>
                          <wpg:cNvPr id="3" name="Group 3"/>
                          <wpg:cNvGrpSpPr/>
                          <wpg:grpSpPr>
                            <a:xfrm>
                              <a:off x="1500936" y="1514475"/>
                              <a:ext cx="1344498" cy="1105304"/>
                              <a:chOff x="2831619" y="0"/>
                              <a:chExt cx="3750248" cy="3083076"/>
                            </a:xfrm>
                          </wpg:grpSpPr>
                          <pic:pic xmlns:pic="http://schemas.openxmlformats.org/drawingml/2006/picture">
                            <pic:nvPicPr>
                              <pic:cNvPr id="9" name="Shape 9"/>
                              <pic:cNvPicPr preferRelativeResize="0"/>
                            </pic:nvPicPr>
                            <pic:blipFill rotWithShape="1">
                              <a:blip r:embed="rId15">
                                <a:alphaModFix/>
                              </a:blip>
                              <a:srcRect/>
                              <a:stretch/>
                            </pic:blipFill>
                            <pic:spPr>
                              <a:xfrm>
                                <a:off x="5951867" y="0"/>
                                <a:ext cx="630000" cy="630000"/>
                              </a:xfrm>
                              <a:prstGeom prst="rect">
                                <a:avLst/>
                              </a:prstGeom>
                              <a:noFill/>
                              <a:ln>
                                <a:noFill/>
                              </a:ln>
                            </pic:spPr>
                          </pic:pic>
                          <pic:pic xmlns:pic="http://schemas.openxmlformats.org/drawingml/2006/picture">
                            <pic:nvPicPr>
                              <pic:cNvPr id="10" name="Shape 10"/>
                              <pic:cNvPicPr preferRelativeResize="0"/>
                            </pic:nvPicPr>
                            <pic:blipFill rotWithShape="1">
                              <a:blip r:embed="rId16">
                                <a:alphaModFix/>
                              </a:blip>
                              <a:srcRect/>
                              <a:stretch/>
                            </pic:blipFill>
                            <pic:spPr>
                              <a:xfrm>
                                <a:off x="5951867" y="1346532"/>
                                <a:ext cx="630000" cy="630000"/>
                              </a:xfrm>
                              <a:prstGeom prst="rect">
                                <a:avLst/>
                              </a:prstGeom>
                              <a:noFill/>
                              <a:ln>
                                <a:noFill/>
                              </a:ln>
                            </pic:spPr>
                          </pic:pic>
                          <pic:pic xmlns:pic="http://schemas.openxmlformats.org/drawingml/2006/picture">
                            <pic:nvPicPr>
                              <pic:cNvPr id="11" name="Shape 11"/>
                              <pic:cNvPicPr preferRelativeResize="0"/>
                            </pic:nvPicPr>
                            <pic:blipFill rotWithShape="1">
                              <a:blip r:embed="rId17">
                                <a:alphaModFix/>
                              </a:blip>
                              <a:srcRect/>
                              <a:stretch/>
                            </pic:blipFill>
                            <pic:spPr>
                              <a:xfrm>
                                <a:off x="3999917" y="1031532"/>
                                <a:ext cx="630000" cy="630000"/>
                              </a:xfrm>
                              <a:prstGeom prst="rect">
                                <a:avLst/>
                              </a:prstGeom>
                              <a:noFill/>
                              <a:ln>
                                <a:noFill/>
                              </a:ln>
                            </pic:spPr>
                          </pic:pic>
                          <pic:pic xmlns:pic="http://schemas.openxmlformats.org/drawingml/2006/picture">
                            <pic:nvPicPr>
                              <pic:cNvPr id="12" name="Shape 12"/>
                              <pic:cNvPicPr preferRelativeResize="0"/>
                            </pic:nvPicPr>
                            <pic:blipFill rotWithShape="1">
                              <a:blip r:embed="rId18">
                                <a:alphaModFix/>
                              </a:blip>
                              <a:srcRect/>
                              <a:stretch/>
                            </pic:blipFill>
                            <pic:spPr>
                              <a:xfrm>
                                <a:off x="2831619" y="241167"/>
                                <a:ext cx="630000" cy="630000"/>
                              </a:xfrm>
                              <a:prstGeom prst="rect">
                                <a:avLst/>
                              </a:prstGeom>
                              <a:noFill/>
                              <a:ln>
                                <a:noFill/>
                              </a:ln>
                            </pic:spPr>
                          </pic:pic>
                          <pic:pic xmlns:pic="http://schemas.openxmlformats.org/drawingml/2006/picture">
                            <pic:nvPicPr>
                              <pic:cNvPr id="13" name="Shape 13"/>
                              <pic:cNvPicPr preferRelativeResize="0"/>
                            </pic:nvPicPr>
                            <pic:blipFill rotWithShape="1">
                              <a:blip r:embed="rId19">
                                <a:alphaModFix/>
                              </a:blip>
                              <a:srcRect/>
                              <a:stretch/>
                            </pic:blipFill>
                            <pic:spPr>
                              <a:xfrm>
                                <a:off x="2851216" y="2453076"/>
                                <a:ext cx="630000" cy="630000"/>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4352290" cy="4667250"/>
                <wp:effectExtent b="0" l="0" r="0" t="0"/>
                <wp:wrapNone/>
                <wp:docPr id="532"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4352290" cy="4667250"/>
                        </a:xfrm>
                        <a:prstGeom prst="rect"/>
                        <a:ln/>
                      </pic:spPr>
                    </pic:pic>
                  </a:graphicData>
                </a:graphic>
              </wp:anchor>
            </w:drawing>
          </mc:Fallback>
        </mc:AlternateContent>
      </w:r>
    </w:p>
    <w:tbl>
      <w:tblPr>
        <w:tblStyle w:val="a"/>
        <w:tblW w:w="3392" w:type="dxa"/>
        <w:tblLayout w:type="fixed"/>
        <w:tblLook w:val="0400" w:firstRow="0" w:lastRow="0" w:firstColumn="0" w:lastColumn="0" w:noHBand="0" w:noVBand="1"/>
      </w:tblPr>
      <w:tblGrid>
        <w:gridCol w:w="1985"/>
        <w:gridCol w:w="1407"/>
      </w:tblGrid>
      <w:tr w:rsidR="009D1A60" w14:paraId="48D5109C" w14:textId="77777777">
        <w:trPr>
          <w:trHeight w:val="911"/>
        </w:trPr>
        <w:tc>
          <w:tcPr>
            <w:tcW w:w="1985" w:type="dxa"/>
          </w:tcPr>
          <w:p w14:paraId="4871E348" w14:textId="77777777" w:rsidR="009D1A60" w:rsidRDefault="00000000">
            <w:pPr>
              <w:rPr>
                <w:b/>
              </w:rPr>
            </w:pPr>
            <w:bookmarkStart w:id="1" w:name="_heading=h.30j0zll" w:colFirst="0" w:colLast="0"/>
            <w:bookmarkEnd w:id="1"/>
            <w:r>
              <w:rPr>
                <w:b/>
              </w:rPr>
              <w:t>Fish farming</w:t>
            </w:r>
          </w:p>
        </w:tc>
        <w:tc>
          <w:tcPr>
            <w:tcW w:w="1407" w:type="dxa"/>
          </w:tcPr>
          <w:p w14:paraId="5429209D" w14:textId="77777777" w:rsidR="009D1A60" w:rsidRDefault="00000000">
            <w:r>
              <w:t>Sweden</w:t>
            </w:r>
            <w:r>
              <w:br/>
              <w:t>Estonia</w:t>
            </w:r>
          </w:p>
        </w:tc>
      </w:tr>
      <w:tr w:rsidR="009D1A60" w14:paraId="183F0A8F" w14:textId="77777777">
        <w:trPr>
          <w:trHeight w:val="937"/>
        </w:trPr>
        <w:tc>
          <w:tcPr>
            <w:tcW w:w="1985" w:type="dxa"/>
          </w:tcPr>
          <w:p w14:paraId="30EB07E4" w14:textId="77777777" w:rsidR="009D1A60" w:rsidRDefault="00000000">
            <w:pPr>
              <w:rPr>
                <w:b/>
              </w:rPr>
            </w:pPr>
            <w:r>
              <w:rPr>
                <w:b/>
              </w:rPr>
              <w:t>Purchase of raw fish</w:t>
            </w:r>
          </w:p>
        </w:tc>
        <w:tc>
          <w:tcPr>
            <w:tcW w:w="1407" w:type="dxa"/>
          </w:tcPr>
          <w:p w14:paraId="439A79CA" w14:textId="77777777" w:rsidR="009D1A60" w:rsidRDefault="00000000">
            <w:r>
              <w:t>Sweden</w:t>
            </w:r>
            <w:r>
              <w:br/>
              <w:t>Norway</w:t>
            </w:r>
            <w:r>
              <w:br/>
              <w:t>Denmark</w:t>
            </w:r>
          </w:p>
        </w:tc>
      </w:tr>
      <w:tr w:rsidR="009D1A60" w14:paraId="44BBBE8E" w14:textId="77777777">
        <w:trPr>
          <w:trHeight w:val="911"/>
        </w:trPr>
        <w:tc>
          <w:tcPr>
            <w:tcW w:w="1985" w:type="dxa"/>
          </w:tcPr>
          <w:p w14:paraId="4584D110" w14:textId="77777777" w:rsidR="009D1A60" w:rsidRDefault="00000000">
            <w:pPr>
              <w:rPr>
                <w:b/>
              </w:rPr>
            </w:pPr>
            <w:r>
              <w:rPr>
                <w:b/>
              </w:rPr>
              <w:t>Production</w:t>
            </w:r>
          </w:p>
        </w:tc>
        <w:tc>
          <w:tcPr>
            <w:tcW w:w="1407" w:type="dxa"/>
          </w:tcPr>
          <w:p w14:paraId="135526BC" w14:textId="77777777" w:rsidR="009D1A60" w:rsidRDefault="00000000">
            <w:r>
              <w:t>Estonia</w:t>
            </w:r>
            <w:r>
              <w:br/>
              <w:t>Great Britain</w:t>
            </w:r>
          </w:p>
        </w:tc>
      </w:tr>
      <w:tr w:rsidR="009D1A60" w14:paraId="32927DF7" w14:textId="77777777">
        <w:trPr>
          <w:trHeight w:val="911"/>
        </w:trPr>
        <w:tc>
          <w:tcPr>
            <w:tcW w:w="1985" w:type="dxa"/>
          </w:tcPr>
          <w:p w14:paraId="718A39A1" w14:textId="77777777" w:rsidR="009D1A60" w:rsidRDefault="00000000">
            <w:pPr>
              <w:rPr>
                <w:b/>
              </w:rPr>
            </w:pPr>
            <w:r>
              <w:rPr>
                <w:b/>
              </w:rPr>
              <w:t>Sales</w:t>
            </w:r>
          </w:p>
        </w:tc>
        <w:tc>
          <w:tcPr>
            <w:tcW w:w="1407" w:type="dxa"/>
          </w:tcPr>
          <w:p w14:paraId="5ED1D2D7" w14:textId="77777777" w:rsidR="009D1A60" w:rsidRDefault="00000000">
            <w:pPr>
              <w:jc w:val="left"/>
            </w:pPr>
            <w:r>
              <w:t>Great Britain Estonia</w:t>
            </w:r>
          </w:p>
        </w:tc>
      </w:tr>
    </w:tbl>
    <w:p w14:paraId="38F729DF" w14:textId="77777777" w:rsidR="009D1A60" w:rsidRDefault="00000000">
      <w:pPr>
        <w:spacing w:line="259" w:lineRule="auto"/>
        <w:jc w:val="left"/>
      </w:pPr>
      <w:r>
        <w:rPr>
          <w:noProof/>
        </w:rPr>
        <w:drawing>
          <wp:anchor distT="0" distB="0" distL="114300" distR="114300" simplePos="0" relativeHeight="251664384" behindDoc="0" locked="0" layoutInCell="1" hidden="0" allowOverlap="1" wp14:anchorId="0A9FFC04" wp14:editId="3693C992">
            <wp:simplePos x="0" y="0"/>
            <wp:positionH relativeFrom="column">
              <wp:posOffset>2369185</wp:posOffset>
            </wp:positionH>
            <wp:positionV relativeFrom="paragraph">
              <wp:posOffset>127635</wp:posOffset>
            </wp:positionV>
            <wp:extent cx="288337" cy="254635"/>
            <wp:effectExtent l="0" t="0" r="0" b="0"/>
            <wp:wrapNone/>
            <wp:docPr id="5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88337" cy="254635"/>
                    </a:xfrm>
                    <a:prstGeom prst="rect">
                      <a:avLst/>
                    </a:prstGeom>
                    <a:ln/>
                  </pic:spPr>
                </pic:pic>
              </a:graphicData>
            </a:graphic>
          </wp:anchor>
        </w:drawing>
      </w:r>
    </w:p>
    <w:p w14:paraId="7D0E323D" w14:textId="77777777" w:rsidR="009D1A60" w:rsidRDefault="00000000">
      <w:pPr>
        <w:spacing w:line="259" w:lineRule="auto"/>
        <w:jc w:val="left"/>
      </w:pPr>
      <w:r>
        <w:br w:type="page"/>
      </w:r>
    </w:p>
    <w:p w14:paraId="24AA5362" w14:textId="77777777" w:rsidR="009D1A60" w:rsidRDefault="00000000" w:rsidP="0028653E">
      <w:pPr>
        <w:pStyle w:val="ENGNormalcapslilla"/>
      </w:pPr>
      <w:r>
        <w:lastRenderedPageBreak/>
        <w:t>Group Structure as at 30.06.2022</w:t>
      </w:r>
      <w:r>
        <w:tab/>
      </w:r>
    </w:p>
    <w:p w14:paraId="354DAEF1" w14:textId="77777777" w:rsidR="009D1A60" w:rsidRDefault="00000000">
      <w:r>
        <w:rPr>
          <w:noProof/>
        </w:rPr>
        <w:drawing>
          <wp:inline distT="0" distB="0" distL="0" distR="0" wp14:anchorId="5EA8AEA5" wp14:editId="0840CA29">
            <wp:extent cx="6106312" cy="2754112"/>
            <wp:effectExtent l="0" t="0" r="0" b="0"/>
            <wp:docPr id="548"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22"/>
                    <a:srcRect/>
                    <a:stretch>
                      <a:fillRect/>
                    </a:stretch>
                  </pic:blipFill>
                  <pic:spPr>
                    <a:xfrm>
                      <a:off x="0" y="0"/>
                      <a:ext cx="6106312" cy="2754112"/>
                    </a:xfrm>
                    <a:prstGeom prst="rect">
                      <a:avLst/>
                    </a:prstGeom>
                    <a:ln/>
                  </pic:spPr>
                </pic:pic>
              </a:graphicData>
            </a:graphic>
          </wp:inline>
        </w:drawing>
      </w:r>
      <w:r>
        <w:rPr>
          <w:noProof/>
        </w:rPr>
        <mc:AlternateContent>
          <mc:Choice Requires="wpg">
            <w:drawing>
              <wp:anchor distT="0" distB="0" distL="114300" distR="114300" simplePos="0" relativeHeight="251665408" behindDoc="0" locked="0" layoutInCell="1" hidden="0" allowOverlap="1" wp14:anchorId="38982EAF" wp14:editId="4143B45C">
                <wp:simplePos x="0" y="0"/>
                <wp:positionH relativeFrom="column">
                  <wp:posOffset>1</wp:posOffset>
                </wp:positionH>
                <wp:positionV relativeFrom="paragraph">
                  <wp:posOffset>2806700</wp:posOffset>
                </wp:positionV>
                <wp:extent cx="6130290" cy="1085850"/>
                <wp:effectExtent l="0" t="0" r="0" b="0"/>
                <wp:wrapNone/>
                <wp:docPr id="535" name="Rectangle 535"/>
                <wp:cNvGraphicFramePr/>
                <a:graphic xmlns:a="http://schemas.openxmlformats.org/drawingml/2006/main">
                  <a:graphicData uri="http://schemas.microsoft.com/office/word/2010/wordprocessingShape">
                    <wps:wsp>
                      <wps:cNvSpPr/>
                      <wps:spPr>
                        <a:xfrm>
                          <a:off x="2285618" y="3241838"/>
                          <a:ext cx="6120765" cy="1076325"/>
                        </a:xfrm>
                        <a:prstGeom prst="rect">
                          <a:avLst/>
                        </a:prstGeom>
                        <a:noFill/>
                        <a:ln>
                          <a:noFill/>
                        </a:ln>
                      </wps:spPr>
                      <wps:txbx>
                        <w:txbxContent>
                          <w:p w14:paraId="45BE9407" w14:textId="77777777" w:rsidR="009D1A60" w:rsidRDefault="00000000">
                            <w:pPr>
                              <w:spacing w:line="240" w:lineRule="auto"/>
                              <w:jc w:val="left"/>
                              <w:textDirection w:val="btLr"/>
                            </w:pPr>
                            <w:r>
                              <w:rPr>
                                <w:rFonts w:eastAsia="Arial" w:cs="Arial"/>
                                <w:color w:val="000000"/>
                                <w:sz w:val="14"/>
                              </w:rPr>
                              <w:t xml:space="preserve">1)The Group does not consolidate </w:t>
                            </w:r>
                            <w:proofErr w:type="spellStart"/>
                            <w:r>
                              <w:rPr>
                                <w:rFonts w:eastAsia="Arial" w:cs="Arial"/>
                                <w:color w:val="000000"/>
                                <w:sz w:val="14"/>
                              </w:rPr>
                              <w:t>Avamere</w:t>
                            </w:r>
                            <w:proofErr w:type="spellEnd"/>
                            <w:r>
                              <w:rPr>
                                <w:rFonts w:eastAsia="Arial" w:cs="Arial"/>
                                <w:color w:val="000000"/>
                                <w:sz w:val="14"/>
                              </w:rPr>
                              <w:t xml:space="preserve"> </w:t>
                            </w:r>
                            <w:proofErr w:type="spellStart"/>
                            <w:r>
                              <w:rPr>
                                <w:rFonts w:eastAsia="Arial" w:cs="Arial"/>
                                <w:color w:val="000000"/>
                                <w:sz w:val="14"/>
                              </w:rPr>
                              <w:t>Kalakasvatus</w:t>
                            </w:r>
                            <w:proofErr w:type="spellEnd"/>
                            <w:r>
                              <w:rPr>
                                <w:rFonts w:eastAsia="Arial" w:cs="Arial"/>
                                <w:color w:val="000000"/>
                                <w:sz w:val="14"/>
                              </w:rPr>
                              <w:t xml:space="preserve"> OÜ as it holds neither dominant nor significant control over the company </w:t>
                            </w:r>
                          </w:p>
                          <w:p w14:paraId="3B41B7B8" w14:textId="77777777" w:rsidR="009D1A60" w:rsidRDefault="00000000">
                            <w:pPr>
                              <w:spacing w:line="240" w:lineRule="auto"/>
                              <w:jc w:val="left"/>
                              <w:textDirection w:val="btLr"/>
                            </w:pPr>
                            <w:r>
                              <w:rPr>
                                <w:rFonts w:eastAsia="Arial" w:cs="Arial"/>
                                <w:color w:val="000000"/>
                                <w:sz w:val="14"/>
                              </w:rPr>
                              <w:t xml:space="preserve">2) 64% of </w:t>
                            </w:r>
                            <w:proofErr w:type="spellStart"/>
                            <w:r>
                              <w:rPr>
                                <w:rFonts w:eastAsia="Arial" w:cs="Arial"/>
                                <w:color w:val="000000"/>
                                <w:sz w:val="14"/>
                              </w:rPr>
                              <w:t>Coln</w:t>
                            </w:r>
                            <w:proofErr w:type="spellEnd"/>
                            <w:r>
                              <w:rPr>
                                <w:rFonts w:eastAsia="Arial" w:cs="Arial"/>
                                <w:color w:val="000000"/>
                                <w:sz w:val="14"/>
                              </w:rPr>
                              <w:t xml:space="preserve"> Valley Smokery Ltd shares owned by JRJ &amp; PRF Ltd and 36% by John Ross Jr (Aberdeen) Ltd</w:t>
                            </w:r>
                          </w:p>
                          <w:p w14:paraId="6331EC40" w14:textId="77777777" w:rsidR="009D1A60" w:rsidRDefault="00000000">
                            <w:pPr>
                              <w:spacing w:line="240" w:lineRule="auto"/>
                              <w:jc w:val="left"/>
                              <w:textDirection w:val="btLr"/>
                            </w:pPr>
                            <w:r>
                              <w:rPr>
                                <w:rFonts w:eastAsia="Arial" w:cs="Arial"/>
                                <w:color w:val="000000"/>
                                <w:sz w:val="14"/>
                              </w:rPr>
                              <w:t xml:space="preserve">3) From 01.04.2022 </w:t>
                            </w:r>
                            <w:proofErr w:type="spellStart"/>
                            <w:r>
                              <w:rPr>
                                <w:rFonts w:eastAsia="Arial" w:cs="Arial"/>
                                <w:color w:val="000000"/>
                                <w:sz w:val="14"/>
                              </w:rPr>
                              <w:t>Heimon</w:t>
                            </w:r>
                            <w:proofErr w:type="spellEnd"/>
                            <w:r>
                              <w:rPr>
                                <w:rFonts w:eastAsia="Arial" w:cs="Arial"/>
                                <w:color w:val="000000"/>
                                <w:sz w:val="14"/>
                              </w:rPr>
                              <w:t xml:space="preserve"> Kala OÜ continued its activities under the business name </w:t>
                            </w:r>
                            <w:proofErr w:type="spellStart"/>
                            <w:r>
                              <w:rPr>
                                <w:rFonts w:eastAsia="Arial" w:cs="Arial"/>
                                <w:color w:val="000000"/>
                                <w:sz w:val="14"/>
                              </w:rPr>
                              <w:t>Saare</w:t>
                            </w:r>
                            <w:proofErr w:type="spellEnd"/>
                            <w:r>
                              <w:rPr>
                                <w:rFonts w:eastAsia="Arial" w:cs="Arial"/>
                                <w:color w:val="000000"/>
                                <w:sz w:val="14"/>
                              </w:rPr>
                              <w:t xml:space="preserve"> Kala </w:t>
                            </w:r>
                            <w:proofErr w:type="spellStart"/>
                            <w:r>
                              <w:rPr>
                                <w:rFonts w:eastAsia="Arial" w:cs="Arial"/>
                                <w:color w:val="000000"/>
                                <w:sz w:val="14"/>
                              </w:rPr>
                              <w:t>Tootmine</w:t>
                            </w:r>
                            <w:proofErr w:type="spellEnd"/>
                            <w:r>
                              <w:rPr>
                                <w:rFonts w:eastAsia="Arial" w:cs="Arial"/>
                                <w:color w:val="000000"/>
                                <w:sz w:val="14"/>
                              </w:rPr>
                              <w:t xml:space="preserve"> OÜ</w:t>
                            </w:r>
                          </w:p>
                          <w:p w14:paraId="0D414E5C" w14:textId="77777777" w:rsidR="009D1A60" w:rsidRDefault="00000000">
                            <w:pPr>
                              <w:spacing w:line="240" w:lineRule="auto"/>
                              <w:jc w:val="left"/>
                              <w:textDirection w:val="btLr"/>
                            </w:pPr>
                            <w:r>
                              <w:rPr>
                                <w:rFonts w:eastAsia="Arial" w:cs="Arial"/>
                                <w:color w:val="000000"/>
                                <w:sz w:val="14"/>
                              </w:rPr>
                              <w:t xml:space="preserve">4) </w:t>
                            </w:r>
                            <w:proofErr w:type="spellStart"/>
                            <w:r>
                              <w:rPr>
                                <w:rFonts w:eastAsia="Arial" w:cs="Arial"/>
                                <w:color w:val="000000"/>
                                <w:sz w:val="14"/>
                              </w:rPr>
                              <w:t>Saaremere</w:t>
                            </w:r>
                            <w:proofErr w:type="spellEnd"/>
                            <w:r>
                              <w:rPr>
                                <w:rFonts w:eastAsia="Arial" w:cs="Arial"/>
                                <w:color w:val="000000"/>
                                <w:sz w:val="14"/>
                              </w:rPr>
                              <w:t xml:space="preserve"> Kala AS will </w:t>
                            </w:r>
                            <w:proofErr w:type="spellStart"/>
                            <w:r>
                              <w:rPr>
                                <w:rFonts w:eastAsia="Arial" w:cs="Arial"/>
                                <w:color w:val="000000"/>
                                <w:sz w:val="14"/>
                              </w:rPr>
                              <w:t>acquireed</w:t>
                            </w:r>
                            <w:proofErr w:type="spellEnd"/>
                            <w:r>
                              <w:rPr>
                                <w:rFonts w:eastAsia="Arial" w:cs="Arial"/>
                                <w:color w:val="000000"/>
                                <w:sz w:val="14"/>
                              </w:rPr>
                              <w:t xml:space="preserve"> 15% of the shares of the holding company JRJ &amp; PRF Limited and holds 100% of JRJ &amp; PRF Limited shares</w:t>
                            </w:r>
                          </w:p>
                          <w:p w14:paraId="1D67E39C" w14:textId="77777777" w:rsidR="009D1A60" w:rsidRDefault="00000000">
                            <w:pPr>
                              <w:spacing w:line="240" w:lineRule="auto"/>
                              <w:jc w:val="left"/>
                              <w:textDirection w:val="btLr"/>
                            </w:pPr>
                            <w:r>
                              <w:rPr>
                                <w:rFonts w:eastAsia="Arial" w:cs="Arial"/>
                                <w:color w:val="000000"/>
                                <w:sz w:val="14"/>
                              </w:rPr>
                              <w:t xml:space="preserve">5) </w:t>
                            </w:r>
                            <w:proofErr w:type="spellStart"/>
                            <w:r>
                              <w:rPr>
                                <w:rFonts w:eastAsia="Arial" w:cs="Arial"/>
                                <w:color w:val="000000"/>
                                <w:sz w:val="14"/>
                              </w:rPr>
                              <w:t>Saaremere</w:t>
                            </w:r>
                            <w:proofErr w:type="spellEnd"/>
                            <w:r>
                              <w:rPr>
                                <w:rFonts w:eastAsia="Arial" w:cs="Arial"/>
                                <w:color w:val="000000"/>
                                <w:sz w:val="14"/>
                              </w:rPr>
                              <w:t xml:space="preserve"> Kala AS </w:t>
                            </w:r>
                            <w:proofErr w:type="spellStart"/>
                            <w:r>
                              <w:rPr>
                                <w:rFonts w:eastAsia="Arial" w:cs="Arial"/>
                                <w:color w:val="000000"/>
                                <w:sz w:val="14"/>
                              </w:rPr>
                              <w:t>acquireed</w:t>
                            </w:r>
                            <w:proofErr w:type="spellEnd"/>
                            <w:r>
                              <w:rPr>
                                <w:rFonts w:eastAsia="Arial" w:cs="Arial"/>
                                <w:color w:val="000000"/>
                                <w:sz w:val="14"/>
                              </w:rPr>
                              <w:t xml:space="preserve"> 100% of the shares of the </w:t>
                            </w:r>
                            <w:proofErr w:type="spellStart"/>
                            <w:r>
                              <w:rPr>
                                <w:rFonts w:eastAsia="Arial" w:cs="Arial"/>
                                <w:color w:val="000000"/>
                                <w:sz w:val="14"/>
                              </w:rPr>
                              <w:t>Överumans</w:t>
                            </w:r>
                            <w:proofErr w:type="spellEnd"/>
                            <w:r>
                              <w:rPr>
                                <w:rFonts w:eastAsia="Arial" w:cs="Arial"/>
                                <w:color w:val="000000"/>
                                <w:sz w:val="14"/>
                              </w:rPr>
                              <w:t xml:space="preserve"> Fisk AS</w:t>
                            </w:r>
                          </w:p>
                          <w:p w14:paraId="35939663" w14:textId="77777777" w:rsidR="009D1A60" w:rsidRDefault="009D1A60">
                            <w:pPr>
                              <w:spacing w:after="0" w:line="240" w:lineRule="auto"/>
                              <w:ind w:left="357"/>
                              <w:jc w:val="left"/>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2806700</wp:posOffset>
                </wp:positionV>
                <wp:extent cx="6130290" cy="1085850"/>
                <wp:effectExtent b="0" l="0" r="0" t="0"/>
                <wp:wrapNone/>
                <wp:docPr id="535"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6130290" cy="1085850"/>
                        </a:xfrm>
                        <a:prstGeom prst="rect"/>
                        <a:ln/>
                      </pic:spPr>
                    </pic:pic>
                  </a:graphicData>
                </a:graphic>
              </wp:anchor>
            </w:drawing>
          </mc:Fallback>
        </mc:AlternateContent>
      </w:r>
    </w:p>
    <w:p w14:paraId="003D3350" w14:textId="77777777" w:rsidR="009D1A60" w:rsidRDefault="009D1A60"/>
    <w:p w14:paraId="46E63CC8" w14:textId="77777777" w:rsidR="009D1A60" w:rsidRDefault="009D1A60"/>
    <w:p w14:paraId="09B6B1C2" w14:textId="77777777" w:rsidR="009D1A60" w:rsidRDefault="009D1A60"/>
    <w:p w14:paraId="40CE0CF5" w14:textId="77777777" w:rsidR="009D1A60" w:rsidRDefault="009D1A60">
      <w:pPr>
        <w:spacing w:line="259" w:lineRule="auto"/>
        <w:jc w:val="left"/>
      </w:pPr>
    </w:p>
    <w:p w14:paraId="3BD3F6A9" w14:textId="77777777" w:rsidR="009D1A60" w:rsidRDefault="009D1A60">
      <w:pPr>
        <w:spacing w:line="259" w:lineRule="auto"/>
      </w:pPr>
    </w:p>
    <w:p w14:paraId="4DAA7B33" w14:textId="77777777" w:rsidR="009D1A60" w:rsidRDefault="00000000">
      <w:pPr>
        <w:spacing w:line="259" w:lineRule="auto"/>
      </w:pPr>
      <w:r>
        <w:t xml:space="preserve">In addition, AS </w:t>
      </w:r>
      <w:proofErr w:type="spellStart"/>
      <w:r>
        <w:t>PRFoods</w:t>
      </w:r>
      <w:proofErr w:type="spellEnd"/>
      <w:r>
        <w:t xml:space="preserve"> holds a 20%-share of AS </w:t>
      </w:r>
      <w:proofErr w:type="spellStart"/>
      <w:r>
        <w:t>Toidu</w:t>
      </w:r>
      <w:proofErr w:type="spellEnd"/>
      <w:r>
        <w:t xml:space="preserve">- </w:t>
      </w:r>
      <w:proofErr w:type="spellStart"/>
      <w:r>
        <w:t>ja</w:t>
      </w:r>
      <w:proofErr w:type="spellEnd"/>
      <w:r>
        <w:t xml:space="preserve"> </w:t>
      </w:r>
      <w:proofErr w:type="spellStart"/>
      <w:r>
        <w:t>Fermentatsioonitehnoloogia</w:t>
      </w:r>
      <w:proofErr w:type="spellEnd"/>
      <w:r>
        <w:t xml:space="preserve"> </w:t>
      </w:r>
      <w:proofErr w:type="spellStart"/>
      <w:r>
        <w:t>Arenduskeskus</w:t>
      </w:r>
      <w:proofErr w:type="spellEnd"/>
      <w:r>
        <w:t xml:space="preserve"> (Competence </w:t>
      </w:r>
      <w:proofErr w:type="spellStart"/>
      <w:r>
        <w:t>Center</w:t>
      </w:r>
      <w:proofErr w:type="spellEnd"/>
      <w:r>
        <w:t xml:space="preserve"> of Food and Fermentation Technology).</w:t>
      </w:r>
    </w:p>
    <w:p w14:paraId="20452A26" w14:textId="77777777" w:rsidR="009D1A60" w:rsidRDefault="00000000">
      <w:pPr>
        <w:spacing w:line="259" w:lineRule="auto"/>
      </w:pPr>
      <w:r>
        <w:t xml:space="preserve">Agreement on the transfer of 100% of the shares of </w:t>
      </w:r>
      <w:proofErr w:type="spellStart"/>
      <w:r>
        <w:t>Heimon</w:t>
      </w:r>
      <w:proofErr w:type="spellEnd"/>
      <w:r>
        <w:t xml:space="preserve"> Kala Oy </w:t>
      </w:r>
      <w:proofErr w:type="gramStart"/>
      <w:r>
        <w:t>entered into</w:t>
      </w:r>
      <w:proofErr w:type="gramEnd"/>
      <w:r>
        <w:t xml:space="preserve"> between AS </w:t>
      </w:r>
      <w:proofErr w:type="spellStart"/>
      <w:r>
        <w:t>PRFoods</w:t>
      </w:r>
      <w:proofErr w:type="spellEnd"/>
      <w:r>
        <w:t xml:space="preserve"> subsidiary </w:t>
      </w:r>
      <w:proofErr w:type="spellStart"/>
      <w:r>
        <w:t>Saaremere</w:t>
      </w:r>
      <w:proofErr w:type="spellEnd"/>
      <w:r>
        <w:t xml:space="preserve"> Kala AS and Nordic Fish Oy on 09.02.2022 have been fulfilled by </w:t>
      </w:r>
      <w:proofErr w:type="spellStart"/>
      <w:r>
        <w:t>Saaremere</w:t>
      </w:r>
      <w:proofErr w:type="spellEnd"/>
      <w:r>
        <w:t xml:space="preserve"> Kala AS and the sale of shares transaction has been therefore completed.</w:t>
      </w:r>
    </w:p>
    <w:p w14:paraId="186EA662" w14:textId="77777777" w:rsidR="009D1A60" w:rsidRDefault="00000000">
      <w:pPr>
        <w:spacing w:after="0"/>
      </w:pPr>
      <w:r>
        <w:t>The most significant trademarks of the Group are “</w:t>
      </w:r>
      <w:proofErr w:type="spellStart"/>
      <w:r>
        <w:t>PRFoods</w:t>
      </w:r>
      <w:proofErr w:type="spellEnd"/>
      <w:r>
        <w:t xml:space="preserve">” and “John Ross </w:t>
      </w:r>
      <w:proofErr w:type="gramStart"/>
      <w:r>
        <w:t>Aberdeen“</w:t>
      </w:r>
      <w:proofErr w:type="gramEnd"/>
      <w:r>
        <w:t xml:space="preserve">. </w:t>
      </w:r>
    </w:p>
    <w:p w14:paraId="67F1C861" w14:textId="77777777" w:rsidR="009D1A60" w:rsidRDefault="009D1A60">
      <w:pPr>
        <w:rPr>
          <w:b/>
        </w:rPr>
      </w:pPr>
    </w:p>
    <w:p w14:paraId="41A115B8" w14:textId="77777777" w:rsidR="009D1A60" w:rsidRDefault="00000000">
      <w:pPr>
        <w:rPr>
          <w:b/>
          <w:color w:val="363270"/>
        </w:rPr>
      </w:pPr>
      <w:bookmarkStart w:id="2" w:name="_heading=h.1fob9te" w:colFirst="0" w:colLast="0"/>
      <w:bookmarkEnd w:id="2"/>
      <w:r>
        <w:rPr>
          <w:noProof/>
        </w:rPr>
        <w:drawing>
          <wp:inline distT="0" distB="0" distL="0" distR="0" wp14:anchorId="5D6AFD85" wp14:editId="6C8CB7D2">
            <wp:extent cx="6123020" cy="3079521"/>
            <wp:effectExtent l="0" t="0" r="0" b="0"/>
            <wp:docPr id="5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t="31208" b="16517"/>
                    <a:stretch>
                      <a:fillRect/>
                    </a:stretch>
                  </pic:blipFill>
                  <pic:spPr>
                    <a:xfrm>
                      <a:off x="0" y="0"/>
                      <a:ext cx="6123020" cy="3079521"/>
                    </a:xfrm>
                    <a:prstGeom prst="rect">
                      <a:avLst/>
                    </a:prstGeom>
                    <a:ln/>
                  </pic:spPr>
                </pic:pic>
              </a:graphicData>
            </a:graphic>
          </wp:inline>
        </w:drawing>
      </w:r>
      <w:r>
        <w:br w:type="page"/>
      </w:r>
    </w:p>
    <w:p w14:paraId="5BCAFD92" w14:textId="77777777" w:rsidR="009D1A60" w:rsidRDefault="00000000">
      <w:pPr>
        <w:pageBreakBefore/>
        <w:pBdr>
          <w:top w:val="nil"/>
          <w:left w:val="nil"/>
          <w:bottom w:val="single" w:sz="24" w:space="30" w:color="363270"/>
          <w:right w:val="nil"/>
          <w:between w:val="nil"/>
        </w:pBdr>
        <w:spacing w:before="960" w:line="264" w:lineRule="auto"/>
        <w:rPr>
          <w:rFonts w:eastAsia="Arial" w:cs="Arial"/>
          <w:smallCaps/>
          <w:color w:val="363270"/>
          <w:sz w:val="56"/>
          <w:szCs w:val="56"/>
        </w:rPr>
      </w:pPr>
      <w:bookmarkStart w:id="3" w:name="_heading=h.3znysh7" w:colFirst="0" w:colLast="0"/>
      <w:bookmarkEnd w:id="3"/>
      <w:r>
        <w:rPr>
          <w:rFonts w:eastAsia="Arial" w:cs="Arial"/>
          <w:smallCaps/>
          <w:color w:val="363270"/>
          <w:sz w:val="56"/>
          <w:szCs w:val="56"/>
        </w:rPr>
        <w:lastRenderedPageBreak/>
        <w:t>Management report</w:t>
      </w:r>
    </w:p>
    <w:p w14:paraId="156EC00E" w14:textId="77777777" w:rsidR="009D1A60" w:rsidRDefault="00000000">
      <w:pPr>
        <w:pStyle w:val="Heading1"/>
      </w:pPr>
      <w:bookmarkStart w:id="4" w:name="_Toc112873375"/>
      <w:r>
        <w:lastRenderedPageBreak/>
        <w:t>Management Report</w:t>
      </w:r>
      <w:bookmarkEnd w:id="4"/>
    </w:p>
    <w:p w14:paraId="04D0662A" w14:textId="7536FE85" w:rsidR="009D1A60" w:rsidRPr="0028653E" w:rsidRDefault="00000000" w:rsidP="0028653E">
      <w:pPr>
        <w:pStyle w:val="Heading2"/>
      </w:pPr>
      <w:bookmarkStart w:id="5" w:name="_Toc112873376"/>
      <w:r>
        <w:t>Overview of Economic Activities</w:t>
      </w:r>
      <w:bookmarkStart w:id="6" w:name="_heading=h.3dy6vkm" w:colFirst="0" w:colLast="0"/>
      <w:bookmarkEnd w:id="5"/>
      <w:bookmarkEnd w:id="6"/>
    </w:p>
    <w:p w14:paraId="49EC03F7" w14:textId="77777777" w:rsidR="009D1A60" w:rsidRDefault="00000000" w:rsidP="0028653E">
      <w:pPr>
        <w:pStyle w:val="ENGNormalcapslilla"/>
      </w:pPr>
      <w:bookmarkStart w:id="7" w:name="_heading=h.1t3h5sf" w:colFirst="0" w:colLast="0"/>
      <w:bookmarkEnd w:id="7"/>
      <w:r>
        <w:t>Unaudited Financial Results of AS PRFoods, the 4</w:t>
      </w:r>
      <w:r>
        <w:rPr>
          <w:vertAlign w:val="superscript"/>
        </w:rPr>
        <w:t>th</w:t>
      </w:r>
      <w:r>
        <w:t xml:space="preserve"> Quarter of the Financial Year 2021/2022 Compared to the 4</w:t>
      </w:r>
      <w:r>
        <w:rPr>
          <w:vertAlign w:val="superscript"/>
        </w:rPr>
        <w:t>th</w:t>
      </w:r>
      <w:r>
        <w:t xml:space="preserve"> Quarter of Financial Year 2020/2021 </w:t>
      </w:r>
    </w:p>
    <w:p w14:paraId="7E610919" w14:textId="77777777" w:rsidR="009D1A60" w:rsidRDefault="00000000" w:rsidP="0028653E">
      <w:pPr>
        <w:pStyle w:val="ENGNormalcapslilla"/>
      </w:pPr>
      <w:r>
        <w:t>Balance Sheet</w:t>
      </w:r>
    </w:p>
    <w:p w14:paraId="6BA6F346" w14:textId="77777777" w:rsidR="009D1A60" w:rsidRDefault="00000000">
      <w:r>
        <w:t xml:space="preserve">As at 30.06.2022 consolidated total assets of </w:t>
      </w:r>
      <w:proofErr w:type="spellStart"/>
      <w:r>
        <w:t>PRFoods</w:t>
      </w:r>
      <w:proofErr w:type="spellEnd"/>
      <w:r>
        <w:t xml:space="preserve"> stood at 38.2 million euros. The year before </w:t>
      </w:r>
      <w:proofErr w:type="gramStart"/>
      <w:r>
        <w:t>i.e.</w:t>
      </w:r>
      <w:proofErr w:type="gramEnd"/>
      <w:r>
        <w:t xml:space="preserve"> as at 30.06.2021 the balance sheet totalled 55.6 million euros. </w:t>
      </w:r>
    </w:p>
    <w:p w14:paraId="7ECFB38B" w14:textId="77777777" w:rsidR="009D1A60" w:rsidRDefault="00000000">
      <w:r>
        <w:t>The Group`s current assets stood at 8.6 million euros as at 30.06.2022 (30.06.2021: 16.5 million euros). Non-current assets totalled 29.7 million euros (30.06.2021: 39.1 million euros).</w:t>
      </w:r>
    </w:p>
    <w:p w14:paraId="0127EA17" w14:textId="77777777" w:rsidR="009D1A60" w:rsidRDefault="00000000">
      <w:r>
        <w:t xml:space="preserve">Current liabilities totalled 12.3 million euros as at 30.06.2022 (30.06.2021: 19.7 million euros). Non-current liabilities totalled 17.0 million euros (30.06.2021: 20.2 million euros). Equity of </w:t>
      </w:r>
      <w:proofErr w:type="spellStart"/>
      <w:r>
        <w:t>PRFoods</w:t>
      </w:r>
      <w:proofErr w:type="spellEnd"/>
      <w:r>
        <w:t xml:space="preserve"> was 8.9 million euros (30.06.2021: 15.8 million euros). </w:t>
      </w:r>
    </w:p>
    <w:p w14:paraId="734C1AF1" w14:textId="77777777" w:rsidR="009D1A60" w:rsidRDefault="00000000">
      <w:r>
        <w:tab/>
      </w:r>
      <w:r>
        <w:tab/>
      </w:r>
    </w:p>
    <w:p w14:paraId="49B27E4C" w14:textId="77777777" w:rsidR="009D1A60" w:rsidRDefault="00000000" w:rsidP="0028653E">
      <w:pPr>
        <w:pStyle w:val="ENGNormalcapslilla"/>
      </w:pPr>
      <w:r>
        <w:t>Revenue</w:t>
      </w:r>
    </w:p>
    <w:p w14:paraId="5FA3FA75" w14:textId="77777777" w:rsidR="009D1A60" w:rsidRDefault="00000000">
      <w:r>
        <w:t>The main products of the Group are salmon and rainbow trout goods. The Group is mainly known as a seller of smoked fish products in the UK and a seller of raw fish in Estonia as well as the biggest supplier of caviar to Estonian stores.</w:t>
      </w:r>
    </w:p>
    <w:p w14:paraId="30CC33F8" w14:textId="77777777" w:rsidR="009D1A60" w:rsidRDefault="00000000">
      <w:r>
        <w:t>The Group’s revenue during the twelve months of the financial year 2021/2022 was 47.18 million euros, down by 11.51 million euros compared to the same period of the previous financial year, when the sales amounted to 58.69 million euros.</w:t>
      </w:r>
    </w:p>
    <w:p w14:paraId="24F2864A" w14:textId="77777777" w:rsidR="009D1A60" w:rsidRDefault="009D1A60">
      <w:pPr>
        <w:spacing w:line="259" w:lineRule="auto"/>
        <w:jc w:val="left"/>
        <w:rPr>
          <w:rFonts w:eastAsia="Arial" w:cs="Arial"/>
          <w:smallCaps/>
          <w:color w:val="363270"/>
          <w:sz w:val="20"/>
          <w:szCs w:val="20"/>
        </w:rPr>
      </w:pPr>
    </w:p>
    <w:p w14:paraId="07168C85" w14:textId="77777777" w:rsidR="009D1A60" w:rsidRPr="0028653E" w:rsidRDefault="00000000" w:rsidP="0028653E">
      <w:pPr>
        <w:pStyle w:val="ENGNormalcapslilla"/>
      </w:pPr>
      <w:r w:rsidRPr="0028653E">
        <w:t xml:space="preserve">Fish Farming </w:t>
      </w:r>
    </w:p>
    <w:p w14:paraId="0719704F" w14:textId="77777777" w:rsidR="009D1A60" w:rsidRDefault="00000000">
      <w:r>
        <w:t xml:space="preserve">The competitive advantage of the Group is its vertical integration – fish farming, </w:t>
      </w:r>
      <w:proofErr w:type="gramStart"/>
      <w:r>
        <w:t>production</w:t>
      </w:r>
      <w:proofErr w:type="gramEnd"/>
      <w:r>
        <w:t xml:space="preserve"> and sales. About two thirds of the raw trout used in the Group’s production is harvested from the Group’s own fish farms in the lakes in Sweden, in the archipelago in Turku area in Finland and in coastal area of Saaremaa, Estonia, ensuring that customers receive fast and high-quality deliveries.</w:t>
      </w:r>
    </w:p>
    <w:p w14:paraId="75F63DB2" w14:textId="77777777" w:rsidR="009D1A60" w:rsidRDefault="00000000">
      <w:r>
        <w:t>Vertical integration enables the Group to reduce costs in certain phases of fish farming and to also enhance control foremost over fish processing and marketing. In the fish business, as fish are livestock, the quality assurance in the technological process has keenly to be maintained throughout the entire product lifecycle. In addition to improved cost control, the vertical integration enables to reduce risks in fish farming, for instance due to poor quality of feed or base materials, and to secure the volume required for processing as well as price stability of raw material.</w:t>
      </w:r>
    </w:p>
    <w:p w14:paraId="02A9BBF2" w14:textId="77777777" w:rsidR="009D1A60" w:rsidRDefault="00000000">
      <w:r>
        <w:rPr>
          <w:b/>
          <w:noProof/>
          <w:color w:val="6C5AB1"/>
        </w:rPr>
        <w:lastRenderedPageBreak/>
        <w:drawing>
          <wp:inline distT="0" distB="0" distL="0" distR="0" wp14:anchorId="5C0553CD" wp14:editId="536CCA78">
            <wp:extent cx="6170337" cy="3384000"/>
            <wp:effectExtent l="0" t="0" r="0" b="0"/>
            <wp:docPr id="5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l="10072" t="12896" b="30583"/>
                    <a:stretch>
                      <a:fillRect/>
                    </a:stretch>
                  </pic:blipFill>
                  <pic:spPr>
                    <a:xfrm>
                      <a:off x="0" y="0"/>
                      <a:ext cx="6170337" cy="3384000"/>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14:anchorId="0FA0461F" wp14:editId="12AED5A7">
                <wp:simplePos x="0" y="0"/>
                <wp:positionH relativeFrom="column">
                  <wp:posOffset>3975100</wp:posOffset>
                </wp:positionH>
                <wp:positionV relativeFrom="paragraph">
                  <wp:posOffset>3505200</wp:posOffset>
                </wp:positionV>
                <wp:extent cx="2110419" cy="206198"/>
                <wp:effectExtent l="0" t="0" r="0" b="0"/>
                <wp:wrapNone/>
                <wp:docPr id="536" name="Rectangle 536"/>
                <wp:cNvGraphicFramePr/>
                <a:graphic xmlns:a="http://schemas.openxmlformats.org/drawingml/2006/main">
                  <a:graphicData uri="http://schemas.microsoft.com/office/word/2010/wordprocessingShape">
                    <wps:wsp>
                      <wps:cNvSpPr/>
                      <wps:spPr>
                        <a:xfrm>
                          <a:off x="4295553" y="3681664"/>
                          <a:ext cx="2100894" cy="196673"/>
                        </a:xfrm>
                        <a:prstGeom prst="rect">
                          <a:avLst/>
                        </a:prstGeom>
                        <a:noFill/>
                        <a:ln>
                          <a:noFill/>
                        </a:ln>
                      </wps:spPr>
                      <wps:txbx>
                        <w:txbxContent>
                          <w:p w14:paraId="0103E750" w14:textId="77777777" w:rsidR="009D1A60" w:rsidRDefault="00000000">
                            <w:pPr>
                              <w:spacing w:after="0"/>
                              <w:jc w:val="right"/>
                              <w:textDirection w:val="btLr"/>
                            </w:pPr>
                            <w:proofErr w:type="spellStart"/>
                            <w:r>
                              <w:rPr>
                                <w:rFonts w:eastAsia="Arial" w:cs="Arial"/>
                                <w:color w:val="FFFFFF"/>
                                <w:sz w:val="14"/>
                              </w:rPr>
                              <w:t>Överumans</w:t>
                            </w:r>
                            <w:proofErr w:type="spellEnd"/>
                            <w:r>
                              <w:rPr>
                                <w:rFonts w:eastAsia="Arial" w:cs="Arial"/>
                                <w:color w:val="FFFFFF"/>
                                <w:sz w:val="14"/>
                              </w:rPr>
                              <w:t xml:space="preserve"> Fisk AB fish farm in Sweden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3975100</wp:posOffset>
                </wp:positionH>
                <wp:positionV relativeFrom="paragraph">
                  <wp:posOffset>3505200</wp:posOffset>
                </wp:positionV>
                <wp:extent cx="2110419" cy="206198"/>
                <wp:effectExtent b="0" l="0" r="0" t="0"/>
                <wp:wrapNone/>
                <wp:docPr id="536"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2110419" cy="206198"/>
                        </a:xfrm>
                        <a:prstGeom prst="rect"/>
                        <a:ln/>
                      </pic:spPr>
                    </pic:pic>
                  </a:graphicData>
                </a:graphic>
              </wp:anchor>
            </w:drawing>
          </mc:Fallback>
        </mc:AlternateContent>
      </w:r>
    </w:p>
    <w:p w14:paraId="449BE424" w14:textId="77777777" w:rsidR="009D1A60" w:rsidRDefault="00000000" w:rsidP="0028653E">
      <w:pPr>
        <w:pStyle w:val="ENGNormalcapslilla"/>
      </w:pPr>
      <w:r>
        <w:t>Price of Fish</w:t>
      </w:r>
    </w:p>
    <w:p w14:paraId="2B8C1FE2" w14:textId="77777777" w:rsidR="009D1A60" w:rsidRDefault="00000000">
      <w:bookmarkStart w:id="8" w:name="_heading=h.4d34og8" w:colFirst="0" w:colLast="0"/>
      <w:bookmarkEnd w:id="8"/>
      <w:r>
        <w:t>The fish industry is extremely dependent on availability and the price of raw fish. Large producers make their production plans for three years in advance as it is difficult and expensive in shorter perspective to adapt a fish farm’s production cycle to market needs. Therefore, the world market fish supply is relatively rigid in the short-term, while demand is somewhat shifting depending on the season. This imbalance in fish supply and demand results in constantly fluctuating price of raw fish. Moreover, the far-reaching change in supply chains related to the spread of the virus has increased the amplitude and unpredictability of prices. The Group counters the impact of external environment and volatility of fish price through the changes of the Group’s production and sales strategy.</w:t>
      </w:r>
    </w:p>
    <w:p w14:paraId="39AFF3AC" w14:textId="77777777" w:rsidR="009D1A60" w:rsidRDefault="00000000">
      <w:pPr>
        <w:keepNext/>
        <w:pBdr>
          <w:top w:val="nil"/>
          <w:left w:val="nil"/>
          <w:bottom w:val="nil"/>
          <w:right w:val="nil"/>
          <w:between w:val="nil"/>
        </w:pBdr>
        <w:spacing w:before="320"/>
        <w:rPr>
          <w:rFonts w:eastAsia="Arial" w:cs="Arial"/>
          <w:smallCaps/>
          <w:color w:val="363270"/>
        </w:rPr>
      </w:pPr>
      <w:r>
        <w:rPr>
          <w:rFonts w:eastAsia="Arial" w:cs="Arial"/>
          <w:smallCaps/>
          <w:color w:val="363270"/>
        </w:rPr>
        <w:t xml:space="preserve">MARKET PRICE OF </w:t>
      </w:r>
      <w:proofErr w:type="spellStart"/>
      <w:r>
        <w:rPr>
          <w:rFonts w:eastAsia="Arial" w:cs="Arial"/>
          <w:smallCaps/>
          <w:color w:val="363270"/>
        </w:rPr>
        <w:t>fISH</w:t>
      </w:r>
      <w:proofErr w:type="spellEnd"/>
    </w:p>
    <w:tbl>
      <w:tblPr>
        <w:tblStyle w:val="a0"/>
        <w:tblW w:w="9638" w:type="dxa"/>
        <w:tblLayout w:type="fixed"/>
        <w:tblLook w:val="0400" w:firstRow="0" w:lastRow="0" w:firstColumn="0" w:lastColumn="0" w:noHBand="0" w:noVBand="1"/>
      </w:tblPr>
      <w:tblGrid>
        <w:gridCol w:w="2267"/>
        <w:gridCol w:w="1053"/>
        <w:gridCol w:w="1053"/>
        <w:gridCol w:w="1053"/>
        <w:gridCol w:w="1053"/>
        <w:gridCol w:w="1053"/>
        <w:gridCol w:w="1053"/>
        <w:gridCol w:w="1053"/>
      </w:tblGrid>
      <w:tr w:rsidR="009D1A60" w14:paraId="6929CA70" w14:textId="77777777">
        <w:trPr>
          <w:trHeight w:val="674"/>
        </w:trPr>
        <w:tc>
          <w:tcPr>
            <w:tcW w:w="2268" w:type="dxa"/>
            <w:tcBorders>
              <w:top w:val="nil"/>
              <w:left w:val="nil"/>
              <w:bottom w:val="single" w:sz="8" w:space="0" w:color="FFFFFF"/>
              <w:right w:val="single" w:sz="8" w:space="0" w:color="FFFFFF"/>
            </w:tcBorders>
            <w:shd w:val="clear" w:color="auto" w:fill="363270"/>
            <w:vAlign w:val="center"/>
          </w:tcPr>
          <w:p w14:paraId="2E23EDC5"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FFFFFF"/>
                <w:sz w:val="17"/>
                <w:szCs w:val="17"/>
              </w:rPr>
              <w:t>EUR/kg</w:t>
            </w:r>
          </w:p>
        </w:tc>
        <w:tc>
          <w:tcPr>
            <w:tcW w:w="1053" w:type="dxa"/>
            <w:tcBorders>
              <w:top w:val="nil"/>
              <w:left w:val="nil"/>
              <w:bottom w:val="single" w:sz="8" w:space="0" w:color="FFFFFF"/>
              <w:right w:val="single" w:sz="4" w:space="0" w:color="FFFFFF"/>
            </w:tcBorders>
            <w:shd w:val="clear" w:color="auto" w:fill="363270"/>
            <w:vAlign w:val="center"/>
          </w:tcPr>
          <w:p w14:paraId="336561B4"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darkYellow"/>
              </w:rPr>
            </w:pPr>
            <w:r>
              <w:rPr>
                <w:rFonts w:eastAsia="Arial" w:cs="Arial"/>
                <w:color w:val="FFFFFF"/>
                <w:sz w:val="16"/>
                <w:szCs w:val="16"/>
              </w:rPr>
              <w:t>30.06.2022</w:t>
            </w:r>
          </w:p>
        </w:tc>
        <w:tc>
          <w:tcPr>
            <w:tcW w:w="1053" w:type="dxa"/>
            <w:tcBorders>
              <w:top w:val="nil"/>
              <w:left w:val="single" w:sz="4" w:space="0" w:color="FFFFFF"/>
              <w:bottom w:val="single" w:sz="8" w:space="0" w:color="FFFFFF"/>
              <w:right w:val="single" w:sz="8" w:space="0" w:color="FFFFFF"/>
            </w:tcBorders>
            <w:shd w:val="clear" w:color="auto" w:fill="363270"/>
            <w:vAlign w:val="center"/>
          </w:tcPr>
          <w:p w14:paraId="536206A3"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darkYellow"/>
              </w:rPr>
            </w:pPr>
            <w:r>
              <w:rPr>
                <w:rFonts w:eastAsia="Arial" w:cs="Arial"/>
                <w:color w:val="FFFFFF"/>
                <w:sz w:val="16"/>
                <w:szCs w:val="16"/>
              </w:rPr>
              <w:t>30.06.2021</w:t>
            </w:r>
          </w:p>
        </w:tc>
        <w:tc>
          <w:tcPr>
            <w:tcW w:w="1053" w:type="dxa"/>
            <w:tcBorders>
              <w:top w:val="nil"/>
              <w:left w:val="nil"/>
              <w:bottom w:val="single" w:sz="8" w:space="0" w:color="FFFFFF"/>
              <w:right w:val="single" w:sz="8" w:space="0" w:color="FFFFFF"/>
            </w:tcBorders>
            <w:shd w:val="clear" w:color="auto" w:fill="363270"/>
            <w:vAlign w:val="center"/>
          </w:tcPr>
          <w:p w14:paraId="72A589A8"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green"/>
              </w:rPr>
            </w:pPr>
            <w:r>
              <w:rPr>
                <w:rFonts w:eastAsia="Arial" w:cs="Arial"/>
                <w:color w:val="FFFFFF"/>
                <w:sz w:val="16"/>
                <w:szCs w:val="16"/>
              </w:rPr>
              <w:t>30.06.22 vs 30.06.21</w:t>
            </w:r>
          </w:p>
        </w:tc>
        <w:tc>
          <w:tcPr>
            <w:tcW w:w="1053" w:type="dxa"/>
            <w:tcBorders>
              <w:top w:val="nil"/>
              <w:left w:val="single" w:sz="4" w:space="0" w:color="FFFFFF"/>
              <w:bottom w:val="single" w:sz="8" w:space="0" w:color="FFFFFF"/>
              <w:right w:val="single" w:sz="4" w:space="0" w:color="FFFFFF"/>
            </w:tcBorders>
            <w:shd w:val="clear" w:color="auto" w:fill="363270"/>
            <w:vAlign w:val="center"/>
          </w:tcPr>
          <w:p w14:paraId="539EE831"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green"/>
              </w:rPr>
            </w:pPr>
            <w:r>
              <w:rPr>
                <w:rFonts w:eastAsia="Arial" w:cs="Arial"/>
                <w:color w:val="FFFFFF"/>
                <w:sz w:val="16"/>
                <w:szCs w:val="16"/>
              </w:rPr>
              <w:t>30.06.2020</w:t>
            </w:r>
          </w:p>
        </w:tc>
        <w:tc>
          <w:tcPr>
            <w:tcW w:w="1053" w:type="dxa"/>
            <w:tcBorders>
              <w:top w:val="nil"/>
              <w:left w:val="single" w:sz="4" w:space="0" w:color="FFFFFF"/>
              <w:bottom w:val="single" w:sz="8" w:space="0" w:color="FFFFFF"/>
              <w:right w:val="single" w:sz="4" w:space="0" w:color="FFFFFF"/>
            </w:tcBorders>
            <w:shd w:val="clear" w:color="auto" w:fill="363270"/>
            <w:vAlign w:val="center"/>
          </w:tcPr>
          <w:p w14:paraId="123E8AE0"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green"/>
              </w:rPr>
            </w:pPr>
            <w:r>
              <w:rPr>
                <w:rFonts w:eastAsia="Arial" w:cs="Arial"/>
                <w:color w:val="FFFFFF"/>
                <w:sz w:val="16"/>
                <w:szCs w:val="16"/>
              </w:rPr>
              <w:t>30.06.22 vs 30.06.20</w:t>
            </w:r>
          </w:p>
        </w:tc>
        <w:tc>
          <w:tcPr>
            <w:tcW w:w="1053" w:type="dxa"/>
            <w:tcBorders>
              <w:top w:val="nil"/>
              <w:left w:val="single" w:sz="4" w:space="0" w:color="FFFFFF"/>
              <w:bottom w:val="single" w:sz="8" w:space="0" w:color="FFFFFF"/>
              <w:right w:val="single" w:sz="4" w:space="0" w:color="FFFFFF"/>
            </w:tcBorders>
            <w:shd w:val="clear" w:color="auto" w:fill="363270"/>
            <w:vAlign w:val="center"/>
          </w:tcPr>
          <w:p w14:paraId="04627C82"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green"/>
              </w:rPr>
            </w:pPr>
            <w:r>
              <w:rPr>
                <w:rFonts w:eastAsia="Arial" w:cs="Arial"/>
                <w:color w:val="FFFFFF"/>
                <w:sz w:val="16"/>
                <w:szCs w:val="16"/>
              </w:rPr>
              <w:t>30.06.2019</w:t>
            </w:r>
          </w:p>
        </w:tc>
        <w:tc>
          <w:tcPr>
            <w:tcW w:w="1053" w:type="dxa"/>
            <w:tcBorders>
              <w:top w:val="nil"/>
              <w:left w:val="single" w:sz="4" w:space="0" w:color="FFFFFF"/>
              <w:bottom w:val="single" w:sz="8" w:space="0" w:color="FFFFFF"/>
              <w:right w:val="single" w:sz="8" w:space="0" w:color="FFFFFF"/>
            </w:tcBorders>
            <w:shd w:val="clear" w:color="auto" w:fill="363270"/>
            <w:vAlign w:val="center"/>
          </w:tcPr>
          <w:p w14:paraId="514F457E"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highlight w:val="green"/>
              </w:rPr>
            </w:pPr>
            <w:r>
              <w:rPr>
                <w:rFonts w:eastAsia="Arial" w:cs="Arial"/>
                <w:color w:val="FFFFFF"/>
                <w:sz w:val="16"/>
                <w:szCs w:val="16"/>
              </w:rPr>
              <w:t>30.06.22 vs 30.06.19</w:t>
            </w:r>
          </w:p>
        </w:tc>
      </w:tr>
      <w:tr w:rsidR="009D1A60" w14:paraId="513F87D3" w14:textId="77777777">
        <w:trPr>
          <w:trHeight w:val="340"/>
        </w:trPr>
        <w:tc>
          <w:tcPr>
            <w:tcW w:w="2268" w:type="dxa"/>
            <w:tcBorders>
              <w:top w:val="single" w:sz="4" w:space="0" w:color="FFFFFF"/>
              <w:left w:val="nil"/>
              <w:bottom w:val="single" w:sz="4" w:space="0" w:color="FFFFFF"/>
              <w:right w:val="single" w:sz="4" w:space="0" w:color="FFFFFF"/>
            </w:tcBorders>
            <w:shd w:val="clear" w:color="auto" w:fill="FFFFFF"/>
            <w:vAlign w:val="center"/>
          </w:tcPr>
          <w:p w14:paraId="03481876"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Salmon </w:t>
            </w:r>
          </w:p>
        </w:tc>
        <w:tc>
          <w:tcPr>
            <w:tcW w:w="1053" w:type="dxa"/>
            <w:tcBorders>
              <w:top w:val="single" w:sz="4" w:space="0" w:color="FFFFFF"/>
              <w:left w:val="nil"/>
              <w:bottom w:val="single" w:sz="4" w:space="0" w:color="FFFFFF"/>
              <w:right w:val="single" w:sz="4" w:space="0" w:color="FFFFFF"/>
            </w:tcBorders>
            <w:shd w:val="clear" w:color="auto" w:fill="FFFFFF"/>
            <w:vAlign w:val="center"/>
          </w:tcPr>
          <w:p w14:paraId="7FDF1E50"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000000"/>
                <w:sz w:val="16"/>
                <w:szCs w:val="16"/>
              </w:rPr>
              <w:t>9,44</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2D9ACCCA"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000000"/>
                <w:sz w:val="16"/>
                <w:szCs w:val="16"/>
                <w:highlight w:val="yellow"/>
              </w:rPr>
            </w:pPr>
            <w:r>
              <w:rPr>
                <w:rFonts w:eastAsia="Arial" w:cs="Arial"/>
                <w:color w:val="000000"/>
                <w:sz w:val="16"/>
                <w:szCs w:val="16"/>
              </w:rPr>
              <w:t>5,63</w:t>
            </w:r>
          </w:p>
        </w:tc>
        <w:tc>
          <w:tcPr>
            <w:tcW w:w="1053" w:type="dxa"/>
            <w:tcBorders>
              <w:top w:val="single" w:sz="4" w:space="0" w:color="FFFFFF"/>
              <w:left w:val="nil"/>
              <w:bottom w:val="single" w:sz="4" w:space="0" w:color="FFFFFF"/>
              <w:right w:val="single" w:sz="4" w:space="0" w:color="FFFFFF"/>
            </w:tcBorders>
            <w:shd w:val="clear" w:color="auto" w:fill="FFFFFF"/>
            <w:vAlign w:val="center"/>
          </w:tcPr>
          <w:p w14:paraId="26AF372D"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5E6EC8"/>
                <w:sz w:val="17"/>
                <w:szCs w:val="17"/>
                <w:highlight w:val="yellow"/>
              </w:rPr>
            </w:pPr>
            <w:r>
              <w:rPr>
                <w:rFonts w:eastAsia="Arial" w:cs="Arial"/>
                <w:color w:val="5E6EC8"/>
                <w:sz w:val="16"/>
                <w:szCs w:val="16"/>
              </w:rPr>
              <w:t>67,7%</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2AE4925D"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000000"/>
                <w:sz w:val="16"/>
                <w:szCs w:val="16"/>
                <w:highlight w:val="yellow"/>
              </w:rPr>
            </w:pPr>
            <w:r>
              <w:rPr>
                <w:rFonts w:eastAsia="Arial" w:cs="Arial"/>
                <w:color w:val="000000"/>
                <w:sz w:val="16"/>
                <w:szCs w:val="16"/>
              </w:rPr>
              <w:t>5,31</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1DCFCB89"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5E6EC8"/>
                <w:sz w:val="17"/>
                <w:szCs w:val="17"/>
                <w:highlight w:val="yellow"/>
              </w:rPr>
            </w:pPr>
            <w:r>
              <w:rPr>
                <w:rFonts w:eastAsia="Arial" w:cs="Arial"/>
                <w:color w:val="5E6EC8"/>
                <w:sz w:val="16"/>
                <w:szCs w:val="16"/>
              </w:rPr>
              <w:t>77,8%</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47C000C4"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5,74</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2BEA294F"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5E6EC8"/>
                <w:sz w:val="17"/>
                <w:szCs w:val="17"/>
                <w:highlight w:val="yellow"/>
              </w:rPr>
            </w:pPr>
            <w:r>
              <w:rPr>
                <w:rFonts w:eastAsia="Arial" w:cs="Arial"/>
                <w:color w:val="5E6EC8"/>
                <w:sz w:val="16"/>
                <w:szCs w:val="16"/>
              </w:rPr>
              <w:t>64,5%</w:t>
            </w:r>
          </w:p>
        </w:tc>
      </w:tr>
      <w:tr w:rsidR="009D1A60" w14:paraId="40C91B95" w14:textId="77777777">
        <w:trPr>
          <w:trHeight w:val="340"/>
        </w:trPr>
        <w:tc>
          <w:tcPr>
            <w:tcW w:w="2268" w:type="dxa"/>
            <w:tcBorders>
              <w:top w:val="nil"/>
              <w:left w:val="nil"/>
              <w:bottom w:val="single" w:sz="4" w:space="0" w:color="FFFFFF"/>
              <w:right w:val="single" w:sz="4" w:space="0" w:color="FFFFFF"/>
            </w:tcBorders>
            <w:shd w:val="clear" w:color="auto" w:fill="FFFFFF"/>
            <w:vAlign w:val="center"/>
          </w:tcPr>
          <w:p w14:paraId="0D4A987A"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Rainbow trout </w:t>
            </w:r>
          </w:p>
        </w:tc>
        <w:tc>
          <w:tcPr>
            <w:tcW w:w="1053" w:type="dxa"/>
            <w:tcBorders>
              <w:top w:val="nil"/>
              <w:left w:val="nil"/>
              <w:bottom w:val="single" w:sz="4" w:space="0" w:color="FFFFFF"/>
              <w:right w:val="single" w:sz="4" w:space="0" w:color="FFFFFF"/>
            </w:tcBorders>
            <w:shd w:val="clear" w:color="auto" w:fill="FFFFFF"/>
            <w:vAlign w:val="center"/>
          </w:tcPr>
          <w:p w14:paraId="01C8263D"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000000"/>
                <w:sz w:val="16"/>
                <w:szCs w:val="16"/>
              </w:rPr>
              <w:t>9,71</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766FA230"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000000"/>
                <w:sz w:val="16"/>
                <w:szCs w:val="16"/>
                <w:highlight w:val="yellow"/>
              </w:rPr>
            </w:pPr>
            <w:r>
              <w:rPr>
                <w:rFonts w:eastAsia="Arial" w:cs="Arial"/>
                <w:color w:val="000000"/>
                <w:sz w:val="16"/>
                <w:szCs w:val="16"/>
              </w:rPr>
              <w:t>5,52</w:t>
            </w:r>
          </w:p>
        </w:tc>
        <w:tc>
          <w:tcPr>
            <w:tcW w:w="1053" w:type="dxa"/>
            <w:tcBorders>
              <w:top w:val="nil"/>
              <w:left w:val="nil"/>
              <w:bottom w:val="single" w:sz="4" w:space="0" w:color="FFFFFF"/>
              <w:right w:val="single" w:sz="4" w:space="0" w:color="FFFFFF"/>
            </w:tcBorders>
            <w:shd w:val="clear" w:color="auto" w:fill="FFFFFF"/>
            <w:vAlign w:val="center"/>
          </w:tcPr>
          <w:p w14:paraId="33ADF5D7"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5E6EC8"/>
                <w:sz w:val="17"/>
                <w:szCs w:val="17"/>
                <w:highlight w:val="yellow"/>
              </w:rPr>
            </w:pPr>
            <w:r>
              <w:rPr>
                <w:rFonts w:eastAsia="Arial" w:cs="Arial"/>
                <w:color w:val="5E6EC8"/>
                <w:sz w:val="16"/>
                <w:szCs w:val="16"/>
              </w:rPr>
              <w:t>75,9%</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33BD00F6"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000000"/>
                <w:sz w:val="16"/>
                <w:szCs w:val="16"/>
                <w:highlight w:val="yellow"/>
              </w:rPr>
            </w:pPr>
            <w:r>
              <w:rPr>
                <w:rFonts w:eastAsia="Arial" w:cs="Arial"/>
                <w:color w:val="000000"/>
                <w:sz w:val="16"/>
                <w:szCs w:val="16"/>
              </w:rPr>
              <w:t>4,36</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74DABE9F"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5E6EC8"/>
                <w:sz w:val="17"/>
                <w:szCs w:val="17"/>
                <w:highlight w:val="yellow"/>
              </w:rPr>
            </w:pPr>
            <w:r>
              <w:rPr>
                <w:rFonts w:eastAsia="Arial" w:cs="Arial"/>
                <w:color w:val="5E6EC8"/>
                <w:sz w:val="16"/>
                <w:szCs w:val="16"/>
              </w:rPr>
              <w:t>122,7%</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06CFD120"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5,76</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6D9679BC" w14:textId="77777777" w:rsidR="009D1A60" w:rsidRDefault="00000000">
            <w:pPr>
              <w:pBdr>
                <w:top w:val="nil"/>
                <w:left w:val="nil"/>
                <w:bottom w:val="nil"/>
                <w:right w:val="nil"/>
                <w:between w:val="nil"/>
              </w:pBdr>
              <w:spacing w:after="0" w:line="240" w:lineRule="auto"/>
              <w:jc w:val="right"/>
              <w:rPr>
                <w:rFonts w:ascii="Proxima Nova" w:eastAsia="Proxima Nova" w:hAnsi="Proxima Nova" w:cs="Proxima Nova"/>
                <w:color w:val="5E6EC8"/>
                <w:sz w:val="17"/>
                <w:szCs w:val="17"/>
                <w:highlight w:val="yellow"/>
              </w:rPr>
            </w:pPr>
            <w:r>
              <w:rPr>
                <w:rFonts w:eastAsia="Arial" w:cs="Arial"/>
                <w:color w:val="5E6EC8"/>
                <w:sz w:val="16"/>
                <w:szCs w:val="16"/>
              </w:rPr>
              <w:t>68,6%</w:t>
            </w:r>
          </w:p>
        </w:tc>
      </w:tr>
    </w:tbl>
    <w:p w14:paraId="7E33E763" w14:textId="77777777" w:rsidR="009D1A60" w:rsidRDefault="009D1A60">
      <w:pPr>
        <w:spacing w:after="120"/>
        <w:rPr>
          <w:highlight w:val="yellow"/>
        </w:rPr>
      </w:pPr>
    </w:p>
    <w:p w14:paraId="2840AD03" w14:textId="77777777" w:rsidR="009D1A60" w:rsidRDefault="00000000">
      <w:r>
        <w:t>As at the end of the reporting period the price of salmon has increased by 67.7% and the price of rainbow trout has increased by 75.9% compared to the prices a year ago. Over the two-year period, the price of salmon has increased by 77.8% and the trout by 122.7%. The price of salmon has increased by 64.5% and of rainbow trout by 68.6% compared to the prices three years ago.</w:t>
      </w:r>
    </w:p>
    <w:p w14:paraId="543A233B" w14:textId="77777777" w:rsidR="009D1A60" w:rsidRDefault="00000000">
      <w:pPr>
        <w:spacing w:line="259" w:lineRule="auto"/>
        <w:jc w:val="left"/>
      </w:pPr>
      <w:r>
        <w:br w:type="page"/>
      </w:r>
    </w:p>
    <w:p w14:paraId="556671CA" w14:textId="77777777" w:rsidR="009D1A60" w:rsidRDefault="009D1A60"/>
    <w:p w14:paraId="562826AD" w14:textId="77777777" w:rsidR="009D1A60" w:rsidRDefault="00000000">
      <w:r>
        <w:t>The graphs below illustrate weekly average prices of salmon and rainbow trout since the financial year 2016/2017.</w:t>
      </w:r>
      <w:r>
        <w:rPr>
          <w:noProof/>
        </w:rPr>
        <w:drawing>
          <wp:anchor distT="0" distB="0" distL="114300" distR="114300" simplePos="0" relativeHeight="251669504" behindDoc="0" locked="0" layoutInCell="1" hidden="0" allowOverlap="1" wp14:anchorId="58471898" wp14:editId="3A877083">
            <wp:simplePos x="0" y="0"/>
            <wp:positionH relativeFrom="column">
              <wp:posOffset>4177030</wp:posOffset>
            </wp:positionH>
            <wp:positionV relativeFrom="paragraph">
              <wp:posOffset>206675</wp:posOffset>
            </wp:positionV>
            <wp:extent cx="1943100" cy="622300"/>
            <wp:effectExtent l="0" t="0" r="0" b="0"/>
            <wp:wrapNone/>
            <wp:docPr id="5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1193" t="28902" r="-1" b="25678"/>
                    <a:stretch>
                      <a:fillRect/>
                    </a:stretch>
                  </pic:blipFill>
                  <pic:spPr>
                    <a:xfrm>
                      <a:off x="0" y="0"/>
                      <a:ext cx="1943100" cy="622300"/>
                    </a:xfrm>
                    <a:prstGeom prst="rect">
                      <a:avLst/>
                    </a:prstGeom>
                    <a:ln/>
                  </pic:spPr>
                </pic:pic>
              </a:graphicData>
            </a:graphic>
          </wp:anchor>
        </w:drawing>
      </w:r>
    </w:p>
    <w:p w14:paraId="5D60A1F3" w14:textId="77777777" w:rsidR="009D1A60" w:rsidRDefault="009D1A60"/>
    <w:p w14:paraId="5F31BEB8" w14:textId="77777777" w:rsidR="009D1A60" w:rsidRDefault="00000000" w:rsidP="0028653E">
      <w:pPr>
        <w:pStyle w:val="ENGNormalcapslilla"/>
      </w:pPr>
      <w:r>
        <w:t>Export Price of Norwegian Salmon</w:t>
      </w:r>
    </w:p>
    <w:p w14:paraId="126E71B6" w14:textId="77777777" w:rsidR="009D1A60" w:rsidRDefault="00000000">
      <w:r>
        <w:rPr>
          <w:noProof/>
        </w:rPr>
        <w:drawing>
          <wp:inline distT="0" distB="0" distL="0" distR="0" wp14:anchorId="78F41DA4" wp14:editId="4822046E">
            <wp:extent cx="6108700" cy="2609850"/>
            <wp:effectExtent l="0" t="0" r="0" b="0"/>
            <wp:docPr id="522"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0D16EE" w14:textId="77777777" w:rsidR="009D1A60" w:rsidRDefault="00000000">
      <w:r>
        <w:rPr>
          <w:noProof/>
        </w:rPr>
        <w:drawing>
          <wp:anchor distT="0" distB="0" distL="114300" distR="114300" simplePos="0" relativeHeight="251670528" behindDoc="0" locked="0" layoutInCell="1" hidden="0" allowOverlap="1" wp14:anchorId="5C10C082" wp14:editId="09B61F2F">
            <wp:simplePos x="0" y="0"/>
            <wp:positionH relativeFrom="column">
              <wp:posOffset>4144009</wp:posOffset>
            </wp:positionH>
            <wp:positionV relativeFrom="paragraph">
              <wp:posOffset>6350</wp:posOffset>
            </wp:positionV>
            <wp:extent cx="1892300" cy="611505"/>
            <wp:effectExtent l="0" t="0" r="0" b="0"/>
            <wp:wrapNone/>
            <wp:docPr id="5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l="4496" t="11346" r="6555" b="10322"/>
                    <a:stretch>
                      <a:fillRect/>
                    </a:stretch>
                  </pic:blipFill>
                  <pic:spPr>
                    <a:xfrm>
                      <a:off x="0" y="0"/>
                      <a:ext cx="1892300" cy="611505"/>
                    </a:xfrm>
                    <a:prstGeom prst="rect">
                      <a:avLst/>
                    </a:prstGeom>
                    <a:ln/>
                  </pic:spPr>
                </pic:pic>
              </a:graphicData>
            </a:graphic>
          </wp:anchor>
        </w:drawing>
      </w:r>
    </w:p>
    <w:p w14:paraId="3B356AB3" w14:textId="77777777" w:rsidR="009D1A60" w:rsidRDefault="00000000" w:rsidP="0028653E">
      <w:pPr>
        <w:pStyle w:val="ENGNormalcapslilla"/>
      </w:pPr>
      <w:r>
        <w:t>Export Price of Norwegian Rainbow Trout</w:t>
      </w:r>
    </w:p>
    <w:p w14:paraId="0B4B1E63" w14:textId="77777777" w:rsidR="009D1A60" w:rsidRDefault="00000000">
      <w:r>
        <w:rPr>
          <w:noProof/>
        </w:rPr>
        <w:drawing>
          <wp:inline distT="0" distB="0" distL="0" distR="0" wp14:anchorId="2AD70D64" wp14:editId="17297B77">
            <wp:extent cx="6032500" cy="2419350"/>
            <wp:effectExtent l="0" t="0" r="0" b="0"/>
            <wp:docPr id="523" name="Chart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D968C5" w14:textId="77777777" w:rsidR="009D1A60" w:rsidRDefault="00000000" w:rsidP="0028653E">
      <w:pPr>
        <w:pStyle w:val="ENGNormalcapslilla"/>
      </w:pPr>
      <w:r>
        <w:t xml:space="preserve">AVERAGE </w:t>
      </w:r>
      <w:proofErr w:type="spellStart"/>
      <w:r>
        <w:t>mARKET</w:t>
      </w:r>
      <w:proofErr w:type="spellEnd"/>
      <w:r>
        <w:t xml:space="preserve"> PRICE OF </w:t>
      </w:r>
      <w:proofErr w:type="spellStart"/>
      <w:r>
        <w:t>fiSH</w:t>
      </w:r>
      <w:proofErr w:type="spellEnd"/>
    </w:p>
    <w:tbl>
      <w:tblPr>
        <w:tblStyle w:val="a1"/>
        <w:tblW w:w="9639" w:type="dxa"/>
        <w:tblLayout w:type="fixed"/>
        <w:tblLook w:val="0400" w:firstRow="0" w:lastRow="0" w:firstColumn="0" w:lastColumn="0" w:noHBand="0" w:noVBand="1"/>
      </w:tblPr>
      <w:tblGrid>
        <w:gridCol w:w="1701"/>
        <w:gridCol w:w="1134"/>
        <w:gridCol w:w="1053"/>
        <w:gridCol w:w="1215"/>
        <w:gridCol w:w="116"/>
        <w:gridCol w:w="937"/>
        <w:gridCol w:w="14"/>
        <w:gridCol w:w="1201"/>
        <w:gridCol w:w="1053"/>
        <w:gridCol w:w="1215"/>
      </w:tblGrid>
      <w:tr w:rsidR="0028653E" w14:paraId="6B714F84" w14:textId="77777777" w:rsidTr="0027022E">
        <w:trPr>
          <w:trHeight w:val="454"/>
        </w:trPr>
        <w:tc>
          <w:tcPr>
            <w:tcW w:w="1701" w:type="dxa"/>
            <w:tcBorders>
              <w:top w:val="nil"/>
              <w:left w:val="nil"/>
              <w:bottom w:val="single" w:sz="8" w:space="0" w:color="FFFFFF"/>
              <w:right w:val="single" w:sz="8" w:space="0" w:color="FFFFFF"/>
            </w:tcBorders>
            <w:shd w:val="clear" w:color="auto" w:fill="363270"/>
            <w:vAlign w:val="center"/>
          </w:tcPr>
          <w:p w14:paraId="3E953F3C"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FFFFFF"/>
                <w:sz w:val="17"/>
                <w:szCs w:val="17"/>
              </w:rPr>
              <w:t>EUR/</w:t>
            </w:r>
            <w:r>
              <w:rPr>
                <w:rFonts w:eastAsia="Arial" w:cs="Arial"/>
                <w:color w:val="FFFFFF"/>
                <w:sz w:val="16"/>
                <w:szCs w:val="16"/>
              </w:rPr>
              <w:t>kg</w:t>
            </w:r>
          </w:p>
        </w:tc>
        <w:tc>
          <w:tcPr>
            <w:tcW w:w="1134" w:type="dxa"/>
            <w:tcBorders>
              <w:top w:val="nil"/>
              <w:left w:val="nil"/>
              <w:bottom w:val="single" w:sz="8" w:space="0" w:color="FFFFFF"/>
              <w:right w:val="single" w:sz="4" w:space="0" w:color="FFFFFF"/>
            </w:tcBorders>
            <w:shd w:val="clear" w:color="auto" w:fill="363270"/>
          </w:tcPr>
          <w:p w14:paraId="7EA7A953" w14:textId="791F3A43"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2021/2022</w:t>
            </w:r>
          </w:p>
        </w:tc>
        <w:tc>
          <w:tcPr>
            <w:tcW w:w="1053" w:type="dxa"/>
            <w:tcBorders>
              <w:top w:val="nil"/>
              <w:left w:val="single" w:sz="4" w:space="0" w:color="FFFFFF"/>
              <w:bottom w:val="single" w:sz="8" w:space="0" w:color="FFFFFF"/>
              <w:right w:val="single" w:sz="8" w:space="0" w:color="FFFFFF"/>
            </w:tcBorders>
            <w:shd w:val="clear" w:color="auto" w:fill="363270"/>
          </w:tcPr>
          <w:p w14:paraId="0117CEC4" w14:textId="43F0B003"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2020/2021</w:t>
            </w:r>
          </w:p>
        </w:tc>
        <w:tc>
          <w:tcPr>
            <w:tcW w:w="1331" w:type="dxa"/>
            <w:gridSpan w:val="2"/>
            <w:tcBorders>
              <w:top w:val="nil"/>
              <w:left w:val="nil"/>
              <w:bottom w:val="single" w:sz="8" w:space="0" w:color="FFFFFF"/>
              <w:right w:val="single" w:sz="8" w:space="0" w:color="FFFFFF"/>
            </w:tcBorders>
            <w:shd w:val="clear" w:color="auto" w:fill="363270"/>
          </w:tcPr>
          <w:p w14:paraId="0963E131" w14:textId="3F79E7B0"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2021/2022 vs 2020/2021</w:t>
            </w:r>
          </w:p>
        </w:tc>
        <w:tc>
          <w:tcPr>
            <w:tcW w:w="951" w:type="dxa"/>
            <w:gridSpan w:val="2"/>
            <w:tcBorders>
              <w:top w:val="nil"/>
              <w:left w:val="single" w:sz="4" w:space="0" w:color="FFFFFF"/>
              <w:bottom w:val="single" w:sz="8" w:space="0" w:color="FFFFFF"/>
              <w:right w:val="single" w:sz="4" w:space="0" w:color="FFFFFF"/>
            </w:tcBorders>
            <w:shd w:val="clear" w:color="auto" w:fill="363270"/>
          </w:tcPr>
          <w:p w14:paraId="57C2B9D1" w14:textId="7B46EAC5"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2019/2020</w:t>
            </w:r>
          </w:p>
        </w:tc>
        <w:tc>
          <w:tcPr>
            <w:tcW w:w="1201" w:type="dxa"/>
            <w:tcBorders>
              <w:top w:val="nil"/>
              <w:left w:val="single" w:sz="4" w:space="0" w:color="FFFFFF"/>
              <w:bottom w:val="single" w:sz="8" w:space="0" w:color="FFFFFF"/>
              <w:right w:val="single" w:sz="4" w:space="0" w:color="FFFFFF"/>
            </w:tcBorders>
            <w:shd w:val="clear" w:color="auto" w:fill="363270"/>
          </w:tcPr>
          <w:p w14:paraId="645F61ED" w14:textId="04F8603F"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2021/2022 vs 2019/2020</w:t>
            </w:r>
          </w:p>
        </w:tc>
        <w:tc>
          <w:tcPr>
            <w:tcW w:w="1053" w:type="dxa"/>
            <w:tcBorders>
              <w:top w:val="nil"/>
              <w:left w:val="single" w:sz="4" w:space="0" w:color="FFFFFF"/>
              <w:bottom w:val="single" w:sz="8" w:space="0" w:color="FFFFFF"/>
              <w:right w:val="single" w:sz="4" w:space="0" w:color="FFFFFF"/>
            </w:tcBorders>
            <w:shd w:val="clear" w:color="auto" w:fill="363270"/>
          </w:tcPr>
          <w:p w14:paraId="3A3C9EE9" w14:textId="23F93796"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2018/2019</w:t>
            </w:r>
          </w:p>
        </w:tc>
        <w:tc>
          <w:tcPr>
            <w:tcW w:w="1215" w:type="dxa"/>
            <w:tcBorders>
              <w:top w:val="nil"/>
              <w:left w:val="single" w:sz="4" w:space="0" w:color="FFFFFF"/>
              <w:bottom w:val="single" w:sz="8" w:space="0" w:color="FFFFFF"/>
              <w:right w:val="single" w:sz="8" w:space="0" w:color="FFFFFF"/>
            </w:tcBorders>
            <w:shd w:val="clear" w:color="auto" w:fill="363270"/>
          </w:tcPr>
          <w:p w14:paraId="42A91401" w14:textId="75EE5841" w:rsidR="0028653E" w:rsidRDefault="0028653E" w:rsidP="0028653E">
            <w:pPr>
              <w:pBdr>
                <w:top w:val="nil"/>
                <w:left w:val="nil"/>
                <w:bottom w:val="nil"/>
                <w:right w:val="nil"/>
                <w:between w:val="nil"/>
              </w:pBdr>
              <w:spacing w:after="0" w:line="240" w:lineRule="auto"/>
              <w:jc w:val="right"/>
              <w:rPr>
                <w:rFonts w:eastAsia="Arial" w:cs="Arial"/>
                <w:color w:val="FFFFFF"/>
                <w:sz w:val="17"/>
                <w:szCs w:val="17"/>
                <w:highlight w:val="green"/>
              </w:rPr>
            </w:pPr>
            <w:r>
              <w:rPr>
                <w:color w:val="FFFFFF"/>
                <w:sz w:val="16"/>
                <w:szCs w:val="16"/>
              </w:rPr>
              <w:t>2021/2022 vs 2018/2019</w:t>
            </w:r>
          </w:p>
        </w:tc>
      </w:tr>
      <w:tr w:rsidR="009D1A60" w14:paraId="7AF18AED" w14:textId="77777777">
        <w:trPr>
          <w:trHeight w:val="340"/>
        </w:trPr>
        <w:tc>
          <w:tcPr>
            <w:tcW w:w="1701" w:type="dxa"/>
            <w:tcBorders>
              <w:top w:val="single" w:sz="4" w:space="0" w:color="FFFFFF"/>
              <w:left w:val="nil"/>
              <w:bottom w:val="single" w:sz="4" w:space="0" w:color="FFFFFF"/>
              <w:right w:val="single" w:sz="4" w:space="0" w:color="FFFFFF"/>
            </w:tcBorders>
            <w:shd w:val="clear" w:color="auto" w:fill="FFFFFF"/>
            <w:vAlign w:val="center"/>
          </w:tcPr>
          <w:p w14:paraId="75045D08"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Salmon </w:t>
            </w:r>
          </w:p>
        </w:tc>
        <w:tc>
          <w:tcPr>
            <w:tcW w:w="1134" w:type="dxa"/>
            <w:tcBorders>
              <w:top w:val="single" w:sz="4" w:space="0" w:color="FFFFFF"/>
              <w:left w:val="nil"/>
              <w:bottom w:val="single" w:sz="4" w:space="0" w:color="FFFFFF"/>
              <w:right w:val="single" w:sz="4" w:space="0" w:color="FFFFFF"/>
            </w:tcBorders>
            <w:shd w:val="clear" w:color="auto" w:fill="FFFFFF"/>
            <w:vAlign w:val="center"/>
          </w:tcPr>
          <w:p w14:paraId="4371F344"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6,95</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058E5F2F"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4,79</w:t>
            </w:r>
          </w:p>
        </w:tc>
        <w:tc>
          <w:tcPr>
            <w:tcW w:w="1215" w:type="dxa"/>
            <w:tcBorders>
              <w:top w:val="single" w:sz="4" w:space="0" w:color="FFFFFF"/>
              <w:left w:val="nil"/>
              <w:bottom w:val="single" w:sz="4" w:space="0" w:color="FFFFFF"/>
              <w:right w:val="single" w:sz="4" w:space="0" w:color="FFFFFF"/>
            </w:tcBorders>
            <w:shd w:val="clear" w:color="auto" w:fill="FFFFFF"/>
            <w:vAlign w:val="center"/>
          </w:tcPr>
          <w:p w14:paraId="41E63BA1"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45,1%</w:t>
            </w:r>
          </w:p>
        </w:tc>
        <w:tc>
          <w:tcPr>
            <w:tcW w:w="1053" w:type="dxa"/>
            <w:gridSpan w:val="2"/>
            <w:tcBorders>
              <w:top w:val="single" w:sz="4" w:space="0" w:color="FFFFFF"/>
              <w:left w:val="single" w:sz="4" w:space="0" w:color="FFFFFF"/>
              <w:bottom w:val="single" w:sz="4" w:space="0" w:color="FFFFFF"/>
              <w:right w:val="single" w:sz="4" w:space="0" w:color="FFFFFF"/>
            </w:tcBorders>
            <w:shd w:val="clear" w:color="auto" w:fill="FFFFFF"/>
            <w:vAlign w:val="center"/>
          </w:tcPr>
          <w:p w14:paraId="388A7A1D"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5,57</w:t>
            </w:r>
          </w:p>
        </w:tc>
        <w:tc>
          <w:tcPr>
            <w:tcW w:w="1215" w:type="dxa"/>
            <w:gridSpan w:val="2"/>
            <w:tcBorders>
              <w:top w:val="single" w:sz="4" w:space="0" w:color="FFFFFF"/>
              <w:left w:val="single" w:sz="4" w:space="0" w:color="FFFFFF"/>
              <w:bottom w:val="single" w:sz="4" w:space="0" w:color="FFFFFF"/>
              <w:right w:val="single" w:sz="4" w:space="0" w:color="FFFFFF"/>
            </w:tcBorders>
            <w:shd w:val="clear" w:color="auto" w:fill="FFFFFF"/>
            <w:vAlign w:val="center"/>
          </w:tcPr>
          <w:p w14:paraId="337B7038"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24,8%</w:t>
            </w:r>
          </w:p>
        </w:tc>
        <w:tc>
          <w:tcPr>
            <w:tcW w:w="1053"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218CEB56"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6,03</w:t>
            </w:r>
          </w:p>
        </w:tc>
        <w:tc>
          <w:tcPr>
            <w:tcW w:w="1215" w:type="dxa"/>
            <w:tcBorders>
              <w:top w:val="single" w:sz="4" w:space="0" w:color="FFFFFF"/>
              <w:left w:val="single" w:sz="4" w:space="0" w:color="FFFFFF"/>
              <w:bottom w:val="single" w:sz="4" w:space="0" w:color="FFFFFF"/>
              <w:right w:val="single" w:sz="4" w:space="0" w:color="FFFFFF"/>
            </w:tcBorders>
            <w:shd w:val="clear" w:color="auto" w:fill="FFFFFF"/>
            <w:vAlign w:val="center"/>
          </w:tcPr>
          <w:p w14:paraId="362D17A9"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15,3%</w:t>
            </w:r>
          </w:p>
        </w:tc>
      </w:tr>
      <w:tr w:rsidR="009D1A60" w14:paraId="166FDB38" w14:textId="77777777">
        <w:trPr>
          <w:trHeight w:val="340"/>
        </w:trPr>
        <w:tc>
          <w:tcPr>
            <w:tcW w:w="1701" w:type="dxa"/>
            <w:tcBorders>
              <w:top w:val="nil"/>
              <w:left w:val="nil"/>
              <w:bottom w:val="single" w:sz="4" w:space="0" w:color="FFFFFF"/>
              <w:right w:val="single" w:sz="4" w:space="0" w:color="FFFFFF"/>
            </w:tcBorders>
            <w:shd w:val="clear" w:color="auto" w:fill="FFFFFF"/>
            <w:vAlign w:val="center"/>
          </w:tcPr>
          <w:p w14:paraId="1F6BB2D1"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Rainbow trout </w:t>
            </w:r>
          </w:p>
        </w:tc>
        <w:tc>
          <w:tcPr>
            <w:tcW w:w="1134" w:type="dxa"/>
            <w:tcBorders>
              <w:top w:val="nil"/>
              <w:left w:val="nil"/>
              <w:bottom w:val="single" w:sz="4" w:space="0" w:color="FFFFFF"/>
              <w:right w:val="single" w:sz="4" w:space="0" w:color="FFFFFF"/>
            </w:tcBorders>
            <w:shd w:val="clear" w:color="auto" w:fill="FFFFFF"/>
            <w:vAlign w:val="center"/>
          </w:tcPr>
          <w:p w14:paraId="01B7B433"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6,75</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7F88CBCF"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4,72</w:t>
            </w:r>
          </w:p>
        </w:tc>
        <w:tc>
          <w:tcPr>
            <w:tcW w:w="1215" w:type="dxa"/>
            <w:tcBorders>
              <w:top w:val="nil"/>
              <w:left w:val="nil"/>
              <w:bottom w:val="single" w:sz="4" w:space="0" w:color="FFFFFF"/>
              <w:right w:val="single" w:sz="4" w:space="0" w:color="FFFFFF"/>
            </w:tcBorders>
            <w:shd w:val="clear" w:color="auto" w:fill="FFFFFF"/>
            <w:vAlign w:val="center"/>
          </w:tcPr>
          <w:p w14:paraId="3DFFC8C0"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43,0%</w:t>
            </w:r>
          </w:p>
        </w:tc>
        <w:tc>
          <w:tcPr>
            <w:tcW w:w="1053" w:type="dxa"/>
            <w:gridSpan w:val="2"/>
            <w:tcBorders>
              <w:top w:val="nil"/>
              <w:left w:val="single" w:sz="4" w:space="0" w:color="FFFFFF"/>
              <w:bottom w:val="single" w:sz="4" w:space="0" w:color="FFFFFF"/>
              <w:right w:val="single" w:sz="4" w:space="0" w:color="FFFFFF"/>
            </w:tcBorders>
            <w:shd w:val="clear" w:color="auto" w:fill="FFFFFF"/>
            <w:vAlign w:val="center"/>
          </w:tcPr>
          <w:p w14:paraId="18C54498"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5,14</w:t>
            </w:r>
          </w:p>
        </w:tc>
        <w:tc>
          <w:tcPr>
            <w:tcW w:w="1215" w:type="dxa"/>
            <w:gridSpan w:val="2"/>
            <w:tcBorders>
              <w:top w:val="nil"/>
              <w:left w:val="single" w:sz="4" w:space="0" w:color="FFFFFF"/>
              <w:bottom w:val="single" w:sz="4" w:space="0" w:color="FFFFFF"/>
              <w:right w:val="single" w:sz="4" w:space="0" w:color="FFFFFF"/>
            </w:tcBorders>
            <w:shd w:val="clear" w:color="auto" w:fill="FFFFFF"/>
            <w:vAlign w:val="center"/>
          </w:tcPr>
          <w:p w14:paraId="62E542B3"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31,3%</w:t>
            </w:r>
          </w:p>
        </w:tc>
        <w:tc>
          <w:tcPr>
            <w:tcW w:w="1053" w:type="dxa"/>
            <w:tcBorders>
              <w:top w:val="nil"/>
              <w:left w:val="single" w:sz="4" w:space="0" w:color="FFFFFF"/>
              <w:bottom w:val="single" w:sz="4" w:space="0" w:color="FFFFFF"/>
              <w:right w:val="single" w:sz="4" w:space="0" w:color="FFFFFF"/>
            </w:tcBorders>
            <w:shd w:val="clear" w:color="auto" w:fill="FFFFFF"/>
            <w:vAlign w:val="center"/>
          </w:tcPr>
          <w:p w14:paraId="103CB1CF"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highlight w:val="yellow"/>
              </w:rPr>
            </w:pPr>
            <w:r>
              <w:rPr>
                <w:rFonts w:eastAsia="Arial" w:cs="Arial"/>
                <w:color w:val="000000"/>
                <w:sz w:val="16"/>
                <w:szCs w:val="16"/>
              </w:rPr>
              <w:t>5.92</w:t>
            </w:r>
          </w:p>
        </w:tc>
        <w:tc>
          <w:tcPr>
            <w:tcW w:w="1215" w:type="dxa"/>
            <w:tcBorders>
              <w:top w:val="nil"/>
              <w:left w:val="single" w:sz="4" w:space="0" w:color="FFFFFF"/>
              <w:bottom w:val="single" w:sz="4" w:space="0" w:color="FFFFFF"/>
              <w:right w:val="single" w:sz="4" w:space="0" w:color="FFFFFF"/>
            </w:tcBorders>
            <w:shd w:val="clear" w:color="auto" w:fill="FFFFFF"/>
            <w:vAlign w:val="center"/>
          </w:tcPr>
          <w:p w14:paraId="037E1171" w14:textId="77777777" w:rsidR="009D1A60" w:rsidRDefault="00000000">
            <w:pPr>
              <w:pBdr>
                <w:top w:val="nil"/>
                <w:left w:val="nil"/>
                <w:bottom w:val="nil"/>
                <w:right w:val="nil"/>
                <w:between w:val="nil"/>
              </w:pBdr>
              <w:spacing w:after="0" w:line="240" w:lineRule="auto"/>
              <w:jc w:val="right"/>
              <w:rPr>
                <w:rFonts w:eastAsia="Arial" w:cs="Arial"/>
                <w:color w:val="5E6EC8"/>
                <w:sz w:val="17"/>
                <w:szCs w:val="17"/>
                <w:highlight w:val="yellow"/>
              </w:rPr>
            </w:pPr>
            <w:r>
              <w:rPr>
                <w:rFonts w:eastAsia="Arial" w:cs="Arial"/>
                <w:color w:val="5E6EC8"/>
                <w:sz w:val="16"/>
                <w:szCs w:val="16"/>
              </w:rPr>
              <w:t>14,0%</w:t>
            </w:r>
          </w:p>
        </w:tc>
      </w:tr>
    </w:tbl>
    <w:p w14:paraId="5C39AB8A" w14:textId="77777777" w:rsidR="009D1A60" w:rsidRDefault="009D1A60">
      <w:pPr>
        <w:rPr>
          <w:highlight w:val="yellow"/>
        </w:rPr>
      </w:pPr>
    </w:p>
    <w:p w14:paraId="2B76AFD1" w14:textId="77777777" w:rsidR="009D1A60" w:rsidRDefault="00000000">
      <w:r>
        <w:t xml:space="preserve">As at the end of the reporting period the average market prices of salmon and rainbow trout have increased by 45.1% and 43.0%, respectively, compared to the prices of the same period in the previous financial year. </w:t>
      </w:r>
    </w:p>
    <w:p w14:paraId="0343A0DF" w14:textId="77777777" w:rsidR="009D1A60" w:rsidRDefault="00000000" w:rsidP="0028653E">
      <w:pPr>
        <w:pStyle w:val="ENGNormalcapslilla"/>
      </w:pPr>
      <w:r>
        <w:lastRenderedPageBreak/>
        <w:t>Biological Assets</w:t>
      </w:r>
      <w:r w:rsidR="00D65459">
        <w:rPr>
          <w:noProof/>
        </w:rPr>
        <w:pict w14:anchorId="78AC7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left:0;text-align:left;margin-left:248.25pt;margin-top:-119.5pt;width:1.45pt;height:1.55pt;z-index:251658244;visibility:visible;mso-wrap-style:square;mso-width-percent:0;mso-height-percent:0;mso-wrap-distance-left:6.21375mm;mso-wrap-distance-top:3.05117mm;mso-wrap-distance-right:6.13856mm;mso-wrap-distance-bottom:2.9744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">
            <v:imagedata r:id="rId33" o:title=""/>
            <o:lock v:ext="edit" rotation="t" verticies="t" shapetype="t"/>
            <w10:wrap anchorx="margin"/>
          </v:shape>
        </w:pict>
      </w:r>
    </w:p>
    <w:p w14:paraId="547F4A7A" w14:textId="77777777" w:rsidR="009D1A60" w:rsidRDefault="00000000">
      <w:bookmarkStart w:id="9" w:name="_heading=h.2s8eyo1" w:colFirst="0" w:colLast="0"/>
      <w:bookmarkEnd w:id="9"/>
      <w:r>
        <w:t xml:space="preserve">Biological assets are fish stock accounted for in </w:t>
      </w:r>
      <w:proofErr w:type="spellStart"/>
      <w:r>
        <w:t>PRFoods</w:t>
      </w:r>
      <w:proofErr w:type="spellEnd"/>
      <w:r>
        <w:t>’ fish farms in live weight, including rainbow trout (</w:t>
      </w:r>
      <w:r>
        <w:rPr>
          <w:i/>
        </w:rPr>
        <w:t>Oncorhynchus mykiss</w:t>
      </w:r>
      <w:r>
        <w:t>) and European whitefish (</w:t>
      </w:r>
      <w:r>
        <w:rPr>
          <w:i/>
        </w:rPr>
        <w:t xml:space="preserve">Coregonus </w:t>
      </w:r>
      <w:proofErr w:type="spellStart"/>
      <w:r>
        <w:rPr>
          <w:i/>
        </w:rPr>
        <w:t>lavaretus</w:t>
      </w:r>
      <w:proofErr w:type="spellEnd"/>
      <w:r>
        <w:t>).</w:t>
      </w:r>
    </w:p>
    <w:p w14:paraId="3258FE65" w14:textId="77777777" w:rsidR="009D1A60" w:rsidRDefault="00000000">
      <w:r>
        <w:t xml:space="preserve">The Group uses the Norwegian export statistics (source: akvafakta.no) to assess the value of rainbow trout’s stock. For assessing the value of whitefish stock, the monthly market price survey of the Finnish Fish Farmers’ Association is used. When the price of raw fish increases or decreases, so does the value of fish harvested in fish farms of </w:t>
      </w:r>
      <w:proofErr w:type="spellStart"/>
      <w:r>
        <w:t>PRFoods</w:t>
      </w:r>
      <w:proofErr w:type="spellEnd"/>
      <w:r>
        <w:t>, having either a positive or a negative impact on the Group’s financial results.</w:t>
      </w:r>
    </w:p>
    <w:p w14:paraId="1B242B88" w14:textId="77777777" w:rsidR="009D1A60" w:rsidRDefault="00000000">
      <w:pPr>
        <w:keepNext/>
        <w:pBdr>
          <w:top w:val="nil"/>
          <w:left w:val="nil"/>
          <w:bottom w:val="nil"/>
          <w:right w:val="nil"/>
          <w:between w:val="nil"/>
        </w:pBdr>
        <w:spacing w:before="320"/>
        <w:rPr>
          <w:rFonts w:eastAsia="Arial" w:cs="Arial"/>
          <w:smallCaps/>
          <w:color w:val="363270"/>
        </w:rPr>
      </w:pPr>
      <w:r>
        <w:rPr>
          <w:rFonts w:eastAsia="Arial" w:cs="Arial"/>
          <w:smallCaps/>
          <w:color w:val="363270"/>
        </w:rPr>
        <w:t>CHANGE in BIOLOGICAL ASSETS, TONNES </w:t>
      </w:r>
    </w:p>
    <w:tbl>
      <w:tblPr>
        <w:tblStyle w:val="a2"/>
        <w:tblW w:w="9638" w:type="dxa"/>
        <w:tblInd w:w="-5" w:type="dxa"/>
        <w:tblLayout w:type="fixed"/>
        <w:tblLook w:val="0400" w:firstRow="0" w:lastRow="0" w:firstColumn="0" w:lastColumn="0" w:noHBand="0" w:noVBand="1"/>
      </w:tblPr>
      <w:tblGrid>
        <w:gridCol w:w="3826"/>
        <w:gridCol w:w="1453"/>
        <w:gridCol w:w="1453"/>
        <w:gridCol w:w="1453"/>
        <w:gridCol w:w="1453"/>
      </w:tblGrid>
      <w:tr w:rsidR="0028653E" w14:paraId="0D7AE1E0" w14:textId="77777777" w:rsidTr="0028653E">
        <w:trPr>
          <w:trHeight w:val="678"/>
        </w:trPr>
        <w:tc>
          <w:tcPr>
            <w:tcW w:w="3826"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55A6B4C8" w14:textId="77777777" w:rsidR="0028653E" w:rsidRDefault="0028653E" w:rsidP="0028653E">
            <w:pPr>
              <w:spacing w:after="0" w:line="240" w:lineRule="auto"/>
              <w:jc w:val="left"/>
              <w:rPr>
                <w:color w:val="FFFFFF"/>
              </w:rPr>
            </w:pPr>
            <w:bookmarkStart w:id="10" w:name="_heading=h.17dp8vu" w:colFirst="0" w:colLast="0"/>
            <w:bookmarkEnd w:id="10"/>
          </w:p>
        </w:tc>
        <w:tc>
          <w:tcPr>
            <w:tcW w:w="1453" w:type="dxa"/>
            <w:tcBorders>
              <w:top w:val="nil"/>
              <w:left w:val="single" w:sz="8" w:space="0" w:color="FFFFFF"/>
              <w:bottom w:val="nil"/>
              <w:right w:val="single" w:sz="8" w:space="0" w:color="FFFFFF"/>
            </w:tcBorders>
            <w:shd w:val="clear" w:color="auto" w:fill="363270"/>
          </w:tcPr>
          <w:p w14:paraId="77723538" w14:textId="489BBCAE"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2021/2022</w:t>
            </w:r>
          </w:p>
        </w:tc>
        <w:tc>
          <w:tcPr>
            <w:tcW w:w="1453" w:type="dxa"/>
            <w:tcBorders>
              <w:top w:val="nil"/>
              <w:left w:val="nil"/>
              <w:bottom w:val="nil"/>
              <w:right w:val="single" w:sz="8" w:space="0" w:color="FFFFFF"/>
            </w:tcBorders>
            <w:shd w:val="clear" w:color="auto" w:fill="363270"/>
          </w:tcPr>
          <w:p w14:paraId="73709A01" w14:textId="4C2E1937"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2020/2021</w:t>
            </w:r>
          </w:p>
        </w:tc>
        <w:tc>
          <w:tcPr>
            <w:tcW w:w="1453" w:type="dxa"/>
            <w:tcBorders>
              <w:top w:val="nil"/>
              <w:left w:val="nil"/>
              <w:bottom w:val="single" w:sz="8" w:space="0" w:color="FFFFFF"/>
              <w:right w:val="single" w:sz="8" w:space="0" w:color="FFFFFF"/>
            </w:tcBorders>
            <w:shd w:val="clear" w:color="auto" w:fill="363270"/>
          </w:tcPr>
          <w:p w14:paraId="41D11186" w14:textId="53D3868F"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Change</w:t>
            </w:r>
            <w:r>
              <w:rPr>
                <w:color w:val="FFFFFF"/>
                <w:sz w:val="16"/>
                <w:szCs w:val="16"/>
              </w:rPr>
              <w:t>, ton</w:t>
            </w:r>
            <w:r>
              <w:rPr>
                <w:color w:val="FFFFFF"/>
                <w:sz w:val="16"/>
                <w:szCs w:val="16"/>
              </w:rPr>
              <w:t>s</w:t>
            </w:r>
            <w:r>
              <w:rPr>
                <w:color w:val="FFFFFF"/>
                <w:sz w:val="16"/>
                <w:szCs w:val="16"/>
              </w:rPr>
              <w:t xml:space="preserve"> 2021/2022 vs 2020/2021</w:t>
            </w:r>
          </w:p>
        </w:tc>
        <w:tc>
          <w:tcPr>
            <w:tcW w:w="1453" w:type="dxa"/>
            <w:tcBorders>
              <w:top w:val="nil"/>
              <w:left w:val="nil"/>
              <w:bottom w:val="single" w:sz="8" w:space="0" w:color="FFFFFF"/>
              <w:right w:val="single" w:sz="8" w:space="0" w:color="FFFFFF"/>
            </w:tcBorders>
            <w:shd w:val="clear" w:color="auto" w:fill="363270"/>
          </w:tcPr>
          <w:p w14:paraId="0C9A1095" w14:textId="5FD4E588"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Change</w:t>
            </w:r>
            <w:r>
              <w:rPr>
                <w:color w:val="FFFFFF"/>
                <w:sz w:val="16"/>
                <w:szCs w:val="16"/>
              </w:rPr>
              <w:t>, % 2021/2022 vs 2020/2021</w:t>
            </w:r>
          </w:p>
        </w:tc>
      </w:tr>
      <w:tr w:rsidR="0028653E" w14:paraId="31A1DB8B" w14:textId="77777777" w:rsidTr="006C2B36">
        <w:trPr>
          <w:trHeight w:val="340"/>
        </w:trPr>
        <w:tc>
          <w:tcPr>
            <w:tcW w:w="3826" w:type="dxa"/>
            <w:tcBorders>
              <w:top w:val="nil"/>
              <w:left w:val="single" w:sz="4" w:space="0" w:color="FFFFFF"/>
              <w:bottom w:val="single" w:sz="4" w:space="0" w:color="FFFFFF"/>
              <w:right w:val="single" w:sz="4" w:space="0" w:color="FFFFFF"/>
            </w:tcBorders>
            <w:shd w:val="clear" w:color="auto" w:fill="FAFAFA"/>
            <w:vAlign w:val="center"/>
          </w:tcPr>
          <w:p w14:paraId="3E37F543"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Biomass at the beginning of the period</w:t>
            </w:r>
          </w:p>
        </w:tc>
        <w:tc>
          <w:tcPr>
            <w:tcW w:w="1453" w:type="dxa"/>
            <w:tcBorders>
              <w:top w:val="single" w:sz="8" w:space="0" w:color="FFFFFF"/>
              <w:left w:val="single" w:sz="8" w:space="0" w:color="FFFFFF"/>
              <w:bottom w:val="single" w:sz="8" w:space="0" w:color="FFFFFF"/>
              <w:right w:val="single" w:sz="8" w:space="0" w:color="FFFFFF"/>
            </w:tcBorders>
            <w:shd w:val="clear" w:color="auto" w:fill="FAFAFA"/>
          </w:tcPr>
          <w:p w14:paraId="03C8EF99" w14:textId="23D2EA61"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i/>
                <w:color w:val="5E6EC8"/>
                <w:sz w:val="16"/>
                <w:szCs w:val="16"/>
              </w:rPr>
              <w:t>846</w:t>
            </w:r>
          </w:p>
        </w:tc>
        <w:tc>
          <w:tcPr>
            <w:tcW w:w="1453" w:type="dxa"/>
            <w:tcBorders>
              <w:top w:val="single" w:sz="8" w:space="0" w:color="FFFFFF"/>
              <w:left w:val="nil"/>
              <w:bottom w:val="single" w:sz="8" w:space="0" w:color="FFFFFF"/>
              <w:right w:val="single" w:sz="8" w:space="0" w:color="FFFFFF"/>
            </w:tcBorders>
            <w:shd w:val="clear" w:color="auto" w:fill="FAFAFA"/>
          </w:tcPr>
          <w:p w14:paraId="4E9C7568" w14:textId="3E10A233" w:rsidR="0028653E" w:rsidRDefault="0028653E" w:rsidP="0028653E">
            <w:pPr>
              <w:pBdr>
                <w:top w:val="nil"/>
                <w:left w:val="nil"/>
                <w:bottom w:val="nil"/>
                <w:right w:val="nil"/>
                <w:between w:val="nil"/>
              </w:pBdr>
              <w:spacing w:after="0" w:line="240" w:lineRule="auto"/>
              <w:jc w:val="right"/>
              <w:rPr>
                <w:rFonts w:eastAsia="Arial" w:cs="Arial"/>
                <w:color w:val="000000"/>
                <w:sz w:val="16"/>
                <w:szCs w:val="16"/>
              </w:rPr>
            </w:pPr>
            <w:r>
              <w:rPr>
                <w:i/>
                <w:sz w:val="16"/>
                <w:szCs w:val="16"/>
              </w:rPr>
              <w:t>945</w:t>
            </w:r>
          </w:p>
        </w:tc>
        <w:tc>
          <w:tcPr>
            <w:tcW w:w="1453" w:type="dxa"/>
            <w:tcBorders>
              <w:top w:val="nil"/>
              <w:left w:val="nil"/>
              <w:bottom w:val="single" w:sz="8" w:space="0" w:color="FFFFFF"/>
              <w:right w:val="single" w:sz="8" w:space="0" w:color="FFFFFF"/>
            </w:tcBorders>
            <w:shd w:val="clear" w:color="auto" w:fill="FAFAFA"/>
          </w:tcPr>
          <w:p w14:paraId="6350F2CB" w14:textId="5DF253EC"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-99</w:t>
            </w:r>
          </w:p>
        </w:tc>
        <w:tc>
          <w:tcPr>
            <w:tcW w:w="1453" w:type="dxa"/>
            <w:tcBorders>
              <w:top w:val="nil"/>
              <w:left w:val="nil"/>
              <w:bottom w:val="single" w:sz="8" w:space="0" w:color="FFFFFF"/>
              <w:right w:val="single" w:sz="8" w:space="0" w:color="FFFFFF"/>
            </w:tcBorders>
            <w:shd w:val="clear" w:color="auto" w:fill="FAFAFA"/>
          </w:tcPr>
          <w:p w14:paraId="337F31AF" w14:textId="3BF63817"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-10,5%</w:t>
            </w:r>
          </w:p>
        </w:tc>
      </w:tr>
      <w:tr w:rsidR="0028653E" w14:paraId="59C5488E" w14:textId="77777777" w:rsidTr="006C2B36">
        <w:trPr>
          <w:trHeight w:val="340"/>
        </w:trPr>
        <w:tc>
          <w:tcPr>
            <w:tcW w:w="3826" w:type="dxa"/>
            <w:tcBorders>
              <w:top w:val="nil"/>
              <w:left w:val="single" w:sz="4" w:space="0" w:color="FFFFFF"/>
              <w:bottom w:val="single" w:sz="4" w:space="0" w:color="FFFFFF"/>
              <w:right w:val="single" w:sz="4" w:space="0" w:color="FFFFFF"/>
            </w:tcBorders>
            <w:shd w:val="clear" w:color="auto" w:fill="FAFAFA"/>
            <w:vAlign w:val="center"/>
          </w:tcPr>
          <w:p w14:paraId="29703C96"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Biomass at the end of the period</w:t>
            </w:r>
          </w:p>
        </w:tc>
        <w:tc>
          <w:tcPr>
            <w:tcW w:w="1453" w:type="dxa"/>
            <w:tcBorders>
              <w:top w:val="nil"/>
              <w:left w:val="single" w:sz="8" w:space="0" w:color="FFFFFF"/>
              <w:bottom w:val="single" w:sz="8" w:space="0" w:color="FFFFFF"/>
              <w:right w:val="single" w:sz="8" w:space="0" w:color="FFFFFF"/>
            </w:tcBorders>
            <w:shd w:val="clear" w:color="auto" w:fill="FAFAFA"/>
          </w:tcPr>
          <w:p w14:paraId="51D11F35" w14:textId="0005D76D"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441</w:t>
            </w:r>
          </w:p>
        </w:tc>
        <w:tc>
          <w:tcPr>
            <w:tcW w:w="1453" w:type="dxa"/>
            <w:tcBorders>
              <w:top w:val="nil"/>
              <w:left w:val="nil"/>
              <w:bottom w:val="single" w:sz="8" w:space="0" w:color="FFFFFF"/>
              <w:right w:val="single" w:sz="8" w:space="0" w:color="FFFFFF"/>
            </w:tcBorders>
            <w:shd w:val="clear" w:color="auto" w:fill="FAFAFA"/>
          </w:tcPr>
          <w:p w14:paraId="5EA7107D" w14:textId="7F6B53C8" w:rsidR="0028653E" w:rsidRDefault="0028653E" w:rsidP="0028653E">
            <w:pPr>
              <w:pBdr>
                <w:top w:val="nil"/>
                <w:left w:val="nil"/>
                <w:bottom w:val="nil"/>
                <w:right w:val="nil"/>
                <w:between w:val="nil"/>
              </w:pBdr>
              <w:spacing w:after="0" w:line="240" w:lineRule="auto"/>
              <w:jc w:val="right"/>
              <w:rPr>
                <w:rFonts w:eastAsia="Arial" w:cs="Arial"/>
                <w:color w:val="000000"/>
                <w:sz w:val="16"/>
                <w:szCs w:val="16"/>
              </w:rPr>
            </w:pPr>
            <w:r>
              <w:rPr>
                <w:sz w:val="16"/>
                <w:szCs w:val="16"/>
              </w:rPr>
              <w:t>846</w:t>
            </w:r>
          </w:p>
        </w:tc>
        <w:tc>
          <w:tcPr>
            <w:tcW w:w="1453" w:type="dxa"/>
            <w:tcBorders>
              <w:top w:val="nil"/>
              <w:left w:val="nil"/>
              <w:bottom w:val="single" w:sz="8" w:space="0" w:color="FFFFFF"/>
              <w:right w:val="single" w:sz="8" w:space="0" w:color="FFFFFF"/>
            </w:tcBorders>
            <w:shd w:val="clear" w:color="auto" w:fill="FAFAFA"/>
          </w:tcPr>
          <w:p w14:paraId="4A307C40" w14:textId="0EF70EBE"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-405</w:t>
            </w:r>
          </w:p>
        </w:tc>
        <w:tc>
          <w:tcPr>
            <w:tcW w:w="1453" w:type="dxa"/>
            <w:tcBorders>
              <w:top w:val="nil"/>
              <w:left w:val="nil"/>
              <w:bottom w:val="single" w:sz="8" w:space="0" w:color="FFFFFF"/>
              <w:right w:val="single" w:sz="8" w:space="0" w:color="FFFFFF"/>
            </w:tcBorders>
            <w:shd w:val="clear" w:color="auto" w:fill="FAFAFA"/>
          </w:tcPr>
          <w:p w14:paraId="411B9238" w14:textId="2C49218C"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-47,9%</w:t>
            </w:r>
          </w:p>
        </w:tc>
      </w:tr>
      <w:tr w:rsidR="0028653E" w14:paraId="7EA82ED2" w14:textId="77777777" w:rsidTr="006C2B36">
        <w:trPr>
          <w:trHeight w:val="340"/>
        </w:trPr>
        <w:tc>
          <w:tcPr>
            <w:tcW w:w="3826" w:type="dxa"/>
            <w:tcBorders>
              <w:top w:val="nil"/>
              <w:left w:val="single" w:sz="4" w:space="0" w:color="FFFFFF"/>
              <w:bottom w:val="single" w:sz="4" w:space="0" w:color="FFFFFF"/>
              <w:right w:val="single" w:sz="4" w:space="0" w:color="FFFFFF"/>
            </w:tcBorders>
            <w:shd w:val="clear" w:color="auto" w:fill="FAFAFA"/>
            <w:vAlign w:val="center"/>
          </w:tcPr>
          <w:p w14:paraId="007D641B"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Harvested fish (in live weight)</w:t>
            </w:r>
          </w:p>
        </w:tc>
        <w:tc>
          <w:tcPr>
            <w:tcW w:w="1453" w:type="dxa"/>
            <w:tcBorders>
              <w:top w:val="nil"/>
              <w:left w:val="single" w:sz="8" w:space="0" w:color="FFFFFF"/>
              <w:bottom w:val="single" w:sz="8" w:space="0" w:color="FFFFFF"/>
              <w:right w:val="single" w:sz="8" w:space="0" w:color="FFFFFF"/>
            </w:tcBorders>
            <w:shd w:val="clear" w:color="auto" w:fill="FAFAFA"/>
          </w:tcPr>
          <w:p w14:paraId="6575FE3A" w14:textId="5895AC8B"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1 427</w:t>
            </w:r>
          </w:p>
        </w:tc>
        <w:tc>
          <w:tcPr>
            <w:tcW w:w="1453" w:type="dxa"/>
            <w:tcBorders>
              <w:top w:val="nil"/>
              <w:left w:val="nil"/>
              <w:bottom w:val="single" w:sz="8" w:space="0" w:color="FFFFFF"/>
              <w:right w:val="single" w:sz="8" w:space="0" w:color="FFFFFF"/>
            </w:tcBorders>
            <w:shd w:val="clear" w:color="auto" w:fill="FAFAFA"/>
          </w:tcPr>
          <w:p w14:paraId="7AA6ED88" w14:textId="56E39FD6" w:rsidR="0028653E" w:rsidRDefault="0028653E" w:rsidP="0028653E">
            <w:pPr>
              <w:pBdr>
                <w:top w:val="nil"/>
                <w:left w:val="nil"/>
                <w:bottom w:val="nil"/>
                <w:right w:val="nil"/>
                <w:between w:val="nil"/>
              </w:pBdr>
              <w:spacing w:after="0" w:line="240" w:lineRule="auto"/>
              <w:jc w:val="right"/>
              <w:rPr>
                <w:rFonts w:eastAsia="Arial" w:cs="Arial"/>
                <w:color w:val="000000"/>
                <w:sz w:val="16"/>
                <w:szCs w:val="16"/>
              </w:rPr>
            </w:pPr>
            <w:r>
              <w:rPr>
                <w:sz w:val="16"/>
                <w:szCs w:val="16"/>
              </w:rPr>
              <w:t>1 973</w:t>
            </w:r>
          </w:p>
        </w:tc>
        <w:tc>
          <w:tcPr>
            <w:tcW w:w="1453" w:type="dxa"/>
            <w:tcBorders>
              <w:top w:val="nil"/>
              <w:left w:val="nil"/>
              <w:bottom w:val="single" w:sz="8" w:space="0" w:color="FFFFFF"/>
              <w:right w:val="single" w:sz="8" w:space="0" w:color="FFFFFF"/>
            </w:tcBorders>
            <w:shd w:val="clear" w:color="auto" w:fill="FAFAFA"/>
          </w:tcPr>
          <w:p w14:paraId="70F36660" w14:textId="0DBEACC2"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-546</w:t>
            </w:r>
          </w:p>
        </w:tc>
        <w:tc>
          <w:tcPr>
            <w:tcW w:w="1453" w:type="dxa"/>
            <w:tcBorders>
              <w:top w:val="nil"/>
              <w:left w:val="nil"/>
              <w:bottom w:val="single" w:sz="8" w:space="0" w:color="FFFFFF"/>
              <w:right w:val="single" w:sz="8" w:space="0" w:color="FFFFFF"/>
            </w:tcBorders>
            <w:shd w:val="clear" w:color="auto" w:fill="FAFAFA"/>
          </w:tcPr>
          <w:p w14:paraId="44AB6756" w14:textId="0EE88F5A"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-27,7%</w:t>
            </w:r>
          </w:p>
        </w:tc>
      </w:tr>
    </w:tbl>
    <w:p w14:paraId="151933AA" w14:textId="77777777" w:rsidR="009D1A60" w:rsidRDefault="009D1A60"/>
    <w:p w14:paraId="02DFC087" w14:textId="34813663" w:rsidR="009D1A60" w:rsidRDefault="00000000">
      <w:r>
        <w:t xml:space="preserve">Biological assets totalled </w:t>
      </w:r>
      <w:r w:rsidR="0028653E">
        <w:t>441</w:t>
      </w:r>
      <w:r>
        <w:t xml:space="preserve"> tonnes as at 30.06.2022, a decrease by </w:t>
      </w:r>
      <w:r w:rsidR="0028653E">
        <w:t>405</w:t>
      </w:r>
      <w:r>
        <w:t xml:space="preserve"> tonnes, </w:t>
      </w:r>
      <w:proofErr w:type="gramStart"/>
      <w:r>
        <w:t>i.e.</w:t>
      </w:r>
      <w:proofErr w:type="gramEnd"/>
      <w:r>
        <w:t xml:space="preserve"> </w:t>
      </w:r>
      <w:r w:rsidR="0028653E">
        <w:t>47,9</w:t>
      </w:r>
      <w:r>
        <w:t xml:space="preserve">% compared to the same period last year. </w:t>
      </w:r>
    </w:p>
    <w:p w14:paraId="5CE99E42" w14:textId="77777777" w:rsidR="009D1A60" w:rsidRDefault="00000000" w:rsidP="0028653E">
      <w:pPr>
        <w:pStyle w:val="ENGNormalcapslilla"/>
      </w:pPr>
      <w:r>
        <w:t>BIOMASS VOLUME AND AVERAGE PRICE, EUR/KG</w:t>
      </w:r>
    </w:p>
    <w:tbl>
      <w:tblPr>
        <w:tblStyle w:val="a3"/>
        <w:tblW w:w="9634" w:type="dxa"/>
        <w:tblLayout w:type="fixed"/>
        <w:tblLook w:val="0400" w:firstRow="0" w:lastRow="0" w:firstColumn="0" w:lastColumn="0" w:noHBand="0" w:noVBand="1"/>
      </w:tblPr>
      <w:tblGrid>
        <w:gridCol w:w="4248"/>
        <w:gridCol w:w="992"/>
        <w:gridCol w:w="1276"/>
        <w:gridCol w:w="1559"/>
        <w:gridCol w:w="1559"/>
      </w:tblGrid>
      <w:tr w:rsidR="0028653E" w14:paraId="61D59F00" w14:textId="77777777" w:rsidTr="00C23D11">
        <w:trPr>
          <w:trHeight w:val="689"/>
        </w:trPr>
        <w:tc>
          <w:tcPr>
            <w:tcW w:w="4248"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0969320F" w14:textId="77777777" w:rsidR="0028653E" w:rsidRDefault="0028653E" w:rsidP="0028653E">
            <w:pPr>
              <w:spacing w:after="0" w:line="240" w:lineRule="auto"/>
              <w:jc w:val="left"/>
              <w:rPr>
                <w:color w:val="FFFFFF"/>
              </w:rPr>
            </w:pPr>
            <w:bookmarkStart w:id="11" w:name="_heading=h.3rdcrjn" w:colFirst="0" w:colLast="0"/>
            <w:bookmarkEnd w:id="11"/>
          </w:p>
        </w:tc>
        <w:tc>
          <w:tcPr>
            <w:tcW w:w="992" w:type="dxa"/>
            <w:tcBorders>
              <w:top w:val="nil"/>
              <w:left w:val="single" w:sz="8" w:space="0" w:color="FFFFFF"/>
              <w:bottom w:val="nil"/>
              <w:right w:val="single" w:sz="8" w:space="0" w:color="FFFFFF"/>
            </w:tcBorders>
            <w:shd w:val="clear" w:color="auto" w:fill="363270"/>
          </w:tcPr>
          <w:p w14:paraId="23B21908" w14:textId="0313C447"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2021/2022</w:t>
            </w:r>
          </w:p>
        </w:tc>
        <w:tc>
          <w:tcPr>
            <w:tcW w:w="1276" w:type="dxa"/>
            <w:tcBorders>
              <w:top w:val="nil"/>
              <w:left w:val="nil"/>
              <w:bottom w:val="nil"/>
              <w:right w:val="single" w:sz="8" w:space="0" w:color="FFFFFF"/>
            </w:tcBorders>
            <w:shd w:val="clear" w:color="auto" w:fill="363270"/>
          </w:tcPr>
          <w:p w14:paraId="02770880" w14:textId="35651F30"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2020/2021</w:t>
            </w:r>
          </w:p>
        </w:tc>
        <w:tc>
          <w:tcPr>
            <w:tcW w:w="1559" w:type="dxa"/>
            <w:tcBorders>
              <w:top w:val="nil"/>
              <w:left w:val="nil"/>
              <w:bottom w:val="single" w:sz="8" w:space="0" w:color="FFFFFF"/>
              <w:right w:val="single" w:sz="8" w:space="0" w:color="FFFFFF"/>
            </w:tcBorders>
            <w:shd w:val="clear" w:color="auto" w:fill="363270"/>
          </w:tcPr>
          <w:p w14:paraId="2B8DB9A5" w14:textId="72F0F540"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Change</w:t>
            </w:r>
            <w:r>
              <w:rPr>
                <w:color w:val="FFFFFF"/>
                <w:sz w:val="16"/>
                <w:szCs w:val="16"/>
              </w:rPr>
              <w:t>, ml EUR 2021/2022 vs 2020/2021</w:t>
            </w:r>
          </w:p>
        </w:tc>
        <w:tc>
          <w:tcPr>
            <w:tcW w:w="1559" w:type="dxa"/>
            <w:tcBorders>
              <w:top w:val="nil"/>
              <w:left w:val="nil"/>
              <w:bottom w:val="single" w:sz="8" w:space="0" w:color="FFFFFF"/>
              <w:right w:val="single" w:sz="8" w:space="0" w:color="FFFFFF"/>
            </w:tcBorders>
            <w:shd w:val="clear" w:color="auto" w:fill="363270"/>
          </w:tcPr>
          <w:p w14:paraId="7717A9AF" w14:textId="4A5DAE2D" w:rsidR="0028653E" w:rsidRDefault="0028653E" w:rsidP="0028653E">
            <w:pPr>
              <w:pBdr>
                <w:top w:val="nil"/>
                <w:left w:val="nil"/>
                <w:bottom w:val="nil"/>
                <w:right w:val="nil"/>
                <w:between w:val="nil"/>
              </w:pBdr>
              <w:spacing w:after="0" w:line="240" w:lineRule="auto"/>
              <w:jc w:val="right"/>
              <w:rPr>
                <w:rFonts w:eastAsia="Arial" w:cs="Arial"/>
                <w:color w:val="FFFFFF"/>
                <w:sz w:val="17"/>
                <w:szCs w:val="17"/>
              </w:rPr>
            </w:pPr>
            <w:r>
              <w:rPr>
                <w:color w:val="FFFFFF"/>
                <w:sz w:val="16"/>
                <w:szCs w:val="16"/>
              </w:rPr>
              <w:t>Change</w:t>
            </w:r>
            <w:r>
              <w:rPr>
                <w:color w:val="FFFFFF"/>
                <w:sz w:val="16"/>
                <w:szCs w:val="16"/>
              </w:rPr>
              <w:t>, % 2021/2022 vs 2020/2021</w:t>
            </w:r>
          </w:p>
        </w:tc>
      </w:tr>
      <w:tr w:rsidR="0028653E" w14:paraId="5FD6CC2B" w14:textId="77777777" w:rsidTr="00C23D11">
        <w:trPr>
          <w:trHeight w:val="340"/>
        </w:trPr>
        <w:tc>
          <w:tcPr>
            <w:tcW w:w="4248" w:type="dxa"/>
            <w:tcBorders>
              <w:top w:val="single" w:sz="4" w:space="0" w:color="FFFFFF"/>
              <w:left w:val="single" w:sz="4" w:space="0" w:color="FFFFFF"/>
              <w:bottom w:val="single" w:sz="4" w:space="0" w:color="FFFFFF"/>
              <w:right w:val="single" w:sz="4" w:space="0" w:color="FFFFFF"/>
            </w:tcBorders>
            <w:shd w:val="clear" w:color="auto" w:fill="FAFAFA"/>
            <w:vAlign w:val="center"/>
          </w:tcPr>
          <w:p w14:paraId="5B41A9BA"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Biological assets at the end of period, </w:t>
            </w:r>
            <w:proofErr w:type="spellStart"/>
            <w:r>
              <w:rPr>
                <w:rFonts w:eastAsia="Arial" w:cs="Arial"/>
                <w:color w:val="000000"/>
                <w:sz w:val="17"/>
                <w:szCs w:val="17"/>
              </w:rPr>
              <w:t>mln</w:t>
            </w:r>
            <w:proofErr w:type="spellEnd"/>
            <w:r>
              <w:rPr>
                <w:rFonts w:eastAsia="Arial" w:cs="Arial"/>
                <w:color w:val="000000"/>
                <w:sz w:val="17"/>
                <w:szCs w:val="17"/>
              </w:rPr>
              <w:t xml:space="preserve"> EUR</w:t>
            </w:r>
          </w:p>
        </w:tc>
        <w:tc>
          <w:tcPr>
            <w:tcW w:w="992" w:type="dxa"/>
            <w:tcBorders>
              <w:top w:val="single" w:sz="8" w:space="0" w:color="FFFFFF"/>
              <w:left w:val="single" w:sz="8" w:space="0" w:color="FFFFFF"/>
              <w:bottom w:val="single" w:sz="8" w:space="0" w:color="FFFFFF"/>
              <w:right w:val="single" w:sz="8" w:space="0" w:color="FFFFFF"/>
            </w:tcBorders>
            <w:shd w:val="clear" w:color="auto" w:fill="FAFAFA"/>
          </w:tcPr>
          <w:p w14:paraId="01191F8A" w14:textId="3403C87C"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3,00</w:t>
            </w:r>
          </w:p>
        </w:tc>
        <w:tc>
          <w:tcPr>
            <w:tcW w:w="1276" w:type="dxa"/>
            <w:tcBorders>
              <w:top w:val="single" w:sz="8" w:space="0" w:color="FFFFFF"/>
              <w:left w:val="nil"/>
              <w:bottom w:val="single" w:sz="8" w:space="0" w:color="FFFFFF"/>
              <w:right w:val="single" w:sz="8" w:space="0" w:color="FFFFFF"/>
            </w:tcBorders>
            <w:shd w:val="clear" w:color="auto" w:fill="FAFAFA"/>
          </w:tcPr>
          <w:p w14:paraId="3BDB91E1" w14:textId="765A98FE" w:rsidR="0028653E" w:rsidRDefault="0028653E" w:rsidP="0028653E">
            <w:pPr>
              <w:pBdr>
                <w:top w:val="nil"/>
                <w:left w:val="nil"/>
                <w:bottom w:val="nil"/>
                <w:right w:val="nil"/>
                <w:between w:val="nil"/>
              </w:pBdr>
              <w:spacing w:after="0" w:line="240" w:lineRule="auto"/>
              <w:jc w:val="right"/>
              <w:rPr>
                <w:rFonts w:eastAsia="Arial" w:cs="Arial"/>
                <w:color w:val="000000"/>
                <w:sz w:val="16"/>
                <w:szCs w:val="16"/>
              </w:rPr>
            </w:pPr>
            <w:r>
              <w:rPr>
                <w:sz w:val="16"/>
                <w:szCs w:val="16"/>
              </w:rPr>
              <w:t>4,80</w:t>
            </w:r>
          </w:p>
        </w:tc>
        <w:tc>
          <w:tcPr>
            <w:tcW w:w="1559" w:type="dxa"/>
            <w:tcBorders>
              <w:top w:val="nil"/>
              <w:left w:val="nil"/>
              <w:bottom w:val="single" w:sz="8" w:space="0" w:color="FFFFFF"/>
              <w:right w:val="single" w:sz="8" w:space="0" w:color="FFFFFF"/>
            </w:tcBorders>
            <w:shd w:val="clear" w:color="auto" w:fill="FAFAFA"/>
          </w:tcPr>
          <w:p w14:paraId="717826AC" w14:textId="461DBC3F"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rPr>
            </w:pPr>
            <w:r>
              <w:rPr>
                <w:color w:val="5E6EC8"/>
                <w:sz w:val="16"/>
                <w:szCs w:val="16"/>
              </w:rPr>
              <w:t>-1,79</w:t>
            </w:r>
          </w:p>
        </w:tc>
        <w:tc>
          <w:tcPr>
            <w:tcW w:w="1559" w:type="dxa"/>
            <w:tcBorders>
              <w:top w:val="nil"/>
              <w:left w:val="nil"/>
              <w:bottom w:val="single" w:sz="8" w:space="0" w:color="FFFFFF"/>
              <w:right w:val="single" w:sz="8" w:space="0" w:color="FFFFFF"/>
            </w:tcBorders>
            <w:shd w:val="clear" w:color="auto" w:fill="FAFAFA"/>
          </w:tcPr>
          <w:p w14:paraId="29709A28" w14:textId="05345CD3"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rPr>
            </w:pPr>
            <w:r>
              <w:rPr>
                <w:color w:val="5E6EC8"/>
                <w:sz w:val="16"/>
                <w:szCs w:val="16"/>
              </w:rPr>
              <w:t>-37,4%</w:t>
            </w:r>
          </w:p>
        </w:tc>
      </w:tr>
      <w:tr w:rsidR="0028653E" w14:paraId="6D86FF3A" w14:textId="77777777" w:rsidTr="00C23D11">
        <w:trPr>
          <w:trHeight w:val="340"/>
        </w:trPr>
        <w:tc>
          <w:tcPr>
            <w:tcW w:w="4248" w:type="dxa"/>
            <w:tcBorders>
              <w:top w:val="nil"/>
              <w:left w:val="single" w:sz="4" w:space="0" w:color="FFFFFF"/>
              <w:bottom w:val="single" w:sz="4" w:space="0" w:color="FFFFFF"/>
              <w:right w:val="single" w:sz="4" w:space="0" w:color="FFFFFF"/>
            </w:tcBorders>
            <w:shd w:val="clear" w:color="auto" w:fill="FAFAFA"/>
            <w:vAlign w:val="center"/>
          </w:tcPr>
          <w:p w14:paraId="4E636D14"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highlight w:val="yellow"/>
              </w:rPr>
            </w:pPr>
            <w:r>
              <w:rPr>
                <w:rFonts w:eastAsia="Arial" w:cs="Arial"/>
                <w:color w:val="000000"/>
                <w:sz w:val="17"/>
                <w:szCs w:val="17"/>
              </w:rPr>
              <w:t xml:space="preserve">Biomass volume at the end of period, tonnes </w:t>
            </w:r>
          </w:p>
        </w:tc>
        <w:tc>
          <w:tcPr>
            <w:tcW w:w="992" w:type="dxa"/>
            <w:tcBorders>
              <w:top w:val="nil"/>
              <w:left w:val="single" w:sz="8" w:space="0" w:color="FFFFFF"/>
              <w:bottom w:val="single" w:sz="8" w:space="0" w:color="FFFFFF"/>
              <w:right w:val="single" w:sz="8" w:space="0" w:color="FFFFFF"/>
            </w:tcBorders>
            <w:shd w:val="clear" w:color="auto" w:fill="FAFAFA"/>
          </w:tcPr>
          <w:p w14:paraId="575C81D7" w14:textId="71EC77CF" w:rsidR="0028653E" w:rsidRDefault="0028653E" w:rsidP="0028653E">
            <w:pPr>
              <w:pBdr>
                <w:top w:val="nil"/>
                <w:left w:val="nil"/>
                <w:bottom w:val="nil"/>
                <w:right w:val="nil"/>
                <w:between w:val="nil"/>
              </w:pBdr>
              <w:spacing w:after="0" w:line="240" w:lineRule="auto"/>
              <w:jc w:val="right"/>
              <w:rPr>
                <w:rFonts w:eastAsia="Arial" w:cs="Arial"/>
                <w:color w:val="5E6EC8"/>
                <w:sz w:val="17"/>
                <w:szCs w:val="17"/>
                <w:highlight w:val="yellow"/>
              </w:rPr>
            </w:pPr>
            <w:r>
              <w:rPr>
                <w:color w:val="5E6EC8"/>
                <w:sz w:val="16"/>
                <w:szCs w:val="16"/>
              </w:rPr>
              <w:t>441</w:t>
            </w:r>
          </w:p>
        </w:tc>
        <w:tc>
          <w:tcPr>
            <w:tcW w:w="1276" w:type="dxa"/>
            <w:tcBorders>
              <w:top w:val="nil"/>
              <w:left w:val="nil"/>
              <w:bottom w:val="single" w:sz="8" w:space="0" w:color="FFFFFF"/>
              <w:right w:val="single" w:sz="8" w:space="0" w:color="FFFFFF"/>
            </w:tcBorders>
            <w:shd w:val="clear" w:color="auto" w:fill="FAFAFA"/>
          </w:tcPr>
          <w:p w14:paraId="12EDEC53" w14:textId="534DF64D" w:rsidR="0028653E" w:rsidRDefault="0028653E" w:rsidP="0028653E">
            <w:pPr>
              <w:pBdr>
                <w:top w:val="nil"/>
                <w:left w:val="nil"/>
                <w:bottom w:val="nil"/>
                <w:right w:val="nil"/>
                <w:between w:val="nil"/>
              </w:pBdr>
              <w:spacing w:after="0" w:line="240" w:lineRule="auto"/>
              <w:jc w:val="right"/>
              <w:rPr>
                <w:rFonts w:eastAsia="Arial" w:cs="Arial"/>
                <w:color w:val="000000"/>
                <w:sz w:val="16"/>
                <w:szCs w:val="16"/>
                <w:highlight w:val="yellow"/>
              </w:rPr>
            </w:pPr>
            <w:r>
              <w:rPr>
                <w:sz w:val="16"/>
                <w:szCs w:val="16"/>
              </w:rPr>
              <w:t>846</w:t>
            </w:r>
          </w:p>
        </w:tc>
        <w:tc>
          <w:tcPr>
            <w:tcW w:w="1559" w:type="dxa"/>
            <w:tcBorders>
              <w:top w:val="nil"/>
              <w:left w:val="nil"/>
              <w:bottom w:val="single" w:sz="8" w:space="0" w:color="FFFFFF"/>
              <w:right w:val="single" w:sz="8" w:space="0" w:color="FFFFFF"/>
            </w:tcBorders>
            <w:shd w:val="clear" w:color="auto" w:fill="FAFAFA"/>
          </w:tcPr>
          <w:p w14:paraId="4C8FF01D" w14:textId="1365B08A"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highlight w:val="yellow"/>
              </w:rPr>
            </w:pPr>
            <w:r>
              <w:rPr>
                <w:color w:val="5E6EC8"/>
                <w:sz w:val="16"/>
                <w:szCs w:val="16"/>
              </w:rPr>
              <w:t>-405</w:t>
            </w:r>
          </w:p>
        </w:tc>
        <w:tc>
          <w:tcPr>
            <w:tcW w:w="1559" w:type="dxa"/>
            <w:tcBorders>
              <w:top w:val="nil"/>
              <w:left w:val="nil"/>
              <w:bottom w:val="single" w:sz="8" w:space="0" w:color="FFFFFF"/>
              <w:right w:val="single" w:sz="8" w:space="0" w:color="FFFFFF"/>
            </w:tcBorders>
            <w:shd w:val="clear" w:color="auto" w:fill="FAFAFA"/>
          </w:tcPr>
          <w:p w14:paraId="48FB58B5" w14:textId="080FE3BF"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highlight w:val="yellow"/>
              </w:rPr>
            </w:pPr>
            <w:r>
              <w:rPr>
                <w:color w:val="5E6EC8"/>
                <w:sz w:val="16"/>
                <w:szCs w:val="16"/>
              </w:rPr>
              <w:t>-47,9%</w:t>
            </w:r>
          </w:p>
        </w:tc>
      </w:tr>
      <w:tr w:rsidR="0028653E" w14:paraId="2A56CC25" w14:textId="77777777" w:rsidTr="00C23D11">
        <w:trPr>
          <w:trHeight w:val="340"/>
        </w:trPr>
        <w:tc>
          <w:tcPr>
            <w:tcW w:w="4248" w:type="dxa"/>
            <w:tcBorders>
              <w:top w:val="nil"/>
              <w:left w:val="single" w:sz="4" w:space="0" w:color="FFFFFF"/>
              <w:bottom w:val="single" w:sz="4" w:space="0" w:color="FFFFFF"/>
              <w:right w:val="single" w:sz="4" w:space="0" w:color="FFFFFF"/>
            </w:tcBorders>
            <w:shd w:val="clear" w:color="auto" w:fill="FAFAFA"/>
            <w:vAlign w:val="center"/>
          </w:tcPr>
          <w:p w14:paraId="6EFA4E5A"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Average price, EUR/kg </w:t>
            </w:r>
          </w:p>
        </w:tc>
        <w:tc>
          <w:tcPr>
            <w:tcW w:w="992" w:type="dxa"/>
            <w:tcBorders>
              <w:top w:val="nil"/>
              <w:left w:val="single" w:sz="8" w:space="0" w:color="FFFFFF"/>
              <w:bottom w:val="single" w:sz="8" w:space="0" w:color="FFFFFF"/>
              <w:right w:val="single" w:sz="8" w:space="0" w:color="FFFFFF"/>
            </w:tcBorders>
            <w:shd w:val="clear" w:color="auto" w:fill="FAFAFA"/>
          </w:tcPr>
          <w:p w14:paraId="139CBD52" w14:textId="055C0CC2"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6,81</w:t>
            </w:r>
          </w:p>
        </w:tc>
        <w:tc>
          <w:tcPr>
            <w:tcW w:w="1276" w:type="dxa"/>
            <w:tcBorders>
              <w:top w:val="nil"/>
              <w:left w:val="nil"/>
              <w:bottom w:val="single" w:sz="8" w:space="0" w:color="FFFFFF"/>
              <w:right w:val="single" w:sz="8" w:space="0" w:color="FFFFFF"/>
            </w:tcBorders>
            <w:shd w:val="clear" w:color="auto" w:fill="FAFAFA"/>
          </w:tcPr>
          <w:p w14:paraId="7F17B88B" w14:textId="49532F9B" w:rsidR="0028653E" w:rsidRDefault="0028653E" w:rsidP="0028653E">
            <w:pPr>
              <w:pBdr>
                <w:top w:val="nil"/>
                <w:left w:val="nil"/>
                <w:bottom w:val="nil"/>
                <w:right w:val="nil"/>
                <w:between w:val="nil"/>
              </w:pBdr>
              <w:spacing w:after="0" w:line="240" w:lineRule="auto"/>
              <w:jc w:val="right"/>
              <w:rPr>
                <w:rFonts w:eastAsia="Arial" w:cs="Arial"/>
                <w:color w:val="000000"/>
                <w:sz w:val="16"/>
                <w:szCs w:val="16"/>
              </w:rPr>
            </w:pPr>
            <w:r>
              <w:rPr>
                <w:sz w:val="16"/>
                <w:szCs w:val="16"/>
              </w:rPr>
              <w:t>5,67</w:t>
            </w:r>
          </w:p>
        </w:tc>
        <w:tc>
          <w:tcPr>
            <w:tcW w:w="1559" w:type="dxa"/>
            <w:tcBorders>
              <w:top w:val="nil"/>
              <w:left w:val="nil"/>
              <w:bottom w:val="single" w:sz="8" w:space="0" w:color="FFFFFF"/>
              <w:right w:val="single" w:sz="8" w:space="0" w:color="FFFFFF"/>
            </w:tcBorders>
            <w:shd w:val="clear" w:color="auto" w:fill="FAFAFA"/>
          </w:tcPr>
          <w:p w14:paraId="4C0FB0D2" w14:textId="622B0BD1"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rPr>
            </w:pPr>
            <w:r>
              <w:rPr>
                <w:color w:val="5E6EC8"/>
                <w:sz w:val="16"/>
                <w:szCs w:val="16"/>
              </w:rPr>
              <w:t>1,14</w:t>
            </w:r>
          </w:p>
        </w:tc>
        <w:tc>
          <w:tcPr>
            <w:tcW w:w="1559" w:type="dxa"/>
            <w:tcBorders>
              <w:top w:val="nil"/>
              <w:left w:val="nil"/>
              <w:bottom w:val="single" w:sz="8" w:space="0" w:color="FFFFFF"/>
              <w:right w:val="single" w:sz="8" w:space="0" w:color="FFFFFF"/>
            </w:tcBorders>
            <w:shd w:val="clear" w:color="auto" w:fill="FAFAFA"/>
          </w:tcPr>
          <w:p w14:paraId="10FF39BD" w14:textId="19A7A5B0"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rPr>
            </w:pPr>
            <w:r>
              <w:rPr>
                <w:color w:val="5E6EC8"/>
                <w:sz w:val="16"/>
                <w:szCs w:val="16"/>
              </w:rPr>
              <w:t>20,1%</w:t>
            </w:r>
          </w:p>
        </w:tc>
      </w:tr>
      <w:tr w:rsidR="0028653E" w14:paraId="06ED21BB" w14:textId="77777777" w:rsidTr="00C23D11">
        <w:trPr>
          <w:trHeight w:val="340"/>
        </w:trPr>
        <w:tc>
          <w:tcPr>
            <w:tcW w:w="4248" w:type="dxa"/>
            <w:tcBorders>
              <w:top w:val="nil"/>
              <w:left w:val="single" w:sz="4" w:space="0" w:color="FFFFFF"/>
              <w:bottom w:val="single" w:sz="4" w:space="0" w:color="FFFFFF"/>
              <w:right w:val="single" w:sz="4" w:space="0" w:color="FFFFFF"/>
            </w:tcBorders>
            <w:shd w:val="clear" w:color="auto" w:fill="FAFAFA"/>
            <w:vAlign w:val="center"/>
          </w:tcPr>
          <w:p w14:paraId="5EE28207" w14:textId="77777777" w:rsidR="0028653E" w:rsidRDefault="0028653E" w:rsidP="0028653E">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Fair value adjustment of biological assets, </w:t>
            </w:r>
            <w:proofErr w:type="spellStart"/>
            <w:r>
              <w:rPr>
                <w:rFonts w:eastAsia="Arial" w:cs="Arial"/>
                <w:color w:val="000000"/>
                <w:sz w:val="17"/>
                <w:szCs w:val="17"/>
              </w:rPr>
              <w:t>mln</w:t>
            </w:r>
            <w:proofErr w:type="spellEnd"/>
            <w:r>
              <w:rPr>
                <w:rFonts w:eastAsia="Arial" w:cs="Arial"/>
                <w:color w:val="000000"/>
                <w:sz w:val="17"/>
                <w:szCs w:val="17"/>
              </w:rPr>
              <w:t xml:space="preserve"> EUR</w:t>
            </w:r>
          </w:p>
        </w:tc>
        <w:tc>
          <w:tcPr>
            <w:tcW w:w="992" w:type="dxa"/>
            <w:tcBorders>
              <w:top w:val="nil"/>
              <w:left w:val="single" w:sz="8" w:space="0" w:color="FFFFFF"/>
              <w:bottom w:val="single" w:sz="8" w:space="0" w:color="FFFFFF"/>
              <w:right w:val="single" w:sz="8" w:space="0" w:color="FFFFFF"/>
            </w:tcBorders>
            <w:shd w:val="clear" w:color="auto" w:fill="FAFAFA"/>
          </w:tcPr>
          <w:p w14:paraId="32A33789" w14:textId="49C0261C" w:rsidR="0028653E" w:rsidRDefault="0028653E" w:rsidP="0028653E">
            <w:pPr>
              <w:pBdr>
                <w:top w:val="nil"/>
                <w:left w:val="nil"/>
                <w:bottom w:val="nil"/>
                <w:right w:val="nil"/>
                <w:between w:val="nil"/>
              </w:pBdr>
              <w:spacing w:after="0" w:line="240" w:lineRule="auto"/>
              <w:jc w:val="right"/>
              <w:rPr>
                <w:rFonts w:eastAsia="Arial" w:cs="Arial"/>
                <w:color w:val="5E6EC8"/>
                <w:sz w:val="17"/>
                <w:szCs w:val="17"/>
              </w:rPr>
            </w:pPr>
            <w:r>
              <w:rPr>
                <w:color w:val="5E6EC8"/>
                <w:sz w:val="16"/>
                <w:szCs w:val="16"/>
              </w:rPr>
              <w:t>-0,17</w:t>
            </w:r>
          </w:p>
        </w:tc>
        <w:tc>
          <w:tcPr>
            <w:tcW w:w="1276" w:type="dxa"/>
            <w:tcBorders>
              <w:top w:val="nil"/>
              <w:left w:val="nil"/>
              <w:bottom w:val="single" w:sz="8" w:space="0" w:color="FFFFFF"/>
              <w:right w:val="single" w:sz="8" w:space="0" w:color="FFFFFF"/>
            </w:tcBorders>
            <w:shd w:val="clear" w:color="auto" w:fill="FAFAFA"/>
          </w:tcPr>
          <w:p w14:paraId="3A965950" w14:textId="177F24EB" w:rsidR="0028653E" w:rsidRDefault="0028653E" w:rsidP="0028653E">
            <w:pPr>
              <w:pBdr>
                <w:top w:val="nil"/>
                <w:left w:val="nil"/>
                <w:bottom w:val="nil"/>
                <w:right w:val="nil"/>
                <w:between w:val="nil"/>
              </w:pBdr>
              <w:spacing w:after="0" w:line="240" w:lineRule="auto"/>
              <w:jc w:val="right"/>
              <w:rPr>
                <w:rFonts w:eastAsia="Arial" w:cs="Arial"/>
                <w:color w:val="000000"/>
                <w:sz w:val="16"/>
                <w:szCs w:val="16"/>
              </w:rPr>
            </w:pPr>
            <w:r>
              <w:rPr>
                <w:sz w:val="16"/>
                <w:szCs w:val="16"/>
              </w:rPr>
              <w:t>0,31</w:t>
            </w:r>
          </w:p>
        </w:tc>
        <w:tc>
          <w:tcPr>
            <w:tcW w:w="1559" w:type="dxa"/>
            <w:tcBorders>
              <w:top w:val="nil"/>
              <w:left w:val="nil"/>
              <w:bottom w:val="single" w:sz="8" w:space="0" w:color="FFFFFF"/>
              <w:right w:val="single" w:sz="8" w:space="0" w:color="FFFFFF"/>
            </w:tcBorders>
            <w:shd w:val="clear" w:color="auto" w:fill="FAFAFA"/>
          </w:tcPr>
          <w:p w14:paraId="34ED2409" w14:textId="45AA11A4"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rPr>
            </w:pPr>
            <w:r>
              <w:rPr>
                <w:color w:val="5E6EC8"/>
                <w:sz w:val="16"/>
                <w:szCs w:val="16"/>
              </w:rPr>
              <w:t>-0,48</w:t>
            </w:r>
          </w:p>
        </w:tc>
        <w:tc>
          <w:tcPr>
            <w:tcW w:w="1559" w:type="dxa"/>
            <w:tcBorders>
              <w:top w:val="nil"/>
              <w:left w:val="nil"/>
              <w:bottom w:val="single" w:sz="8" w:space="0" w:color="FFFFFF"/>
              <w:right w:val="single" w:sz="8" w:space="0" w:color="FFFFFF"/>
            </w:tcBorders>
            <w:shd w:val="clear" w:color="auto" w:fill="FAFAFA"/>
          </w:tcPr>
          <w:p w14:paraId="088C3C2C" w14:textId="75C40EDE" w:rsidR="0028653E" w:rsidRDefault="0028653E" w:rsidP="0028653E">
            <w:pPr>
              <w:pBdr>
                <w:top w:val="nil"/>
                <w:left w:val="nil"/>
                <w:bottom w:val="nil"/>
                <w:right w:val="nil"/>
                <w:between w:val="nil"/>
              </w:pBdr>
              <w:spacing w:after="0" w:line="240" w:lineRule="auto"/>
              <w:jc w:val="right"/>
              <w:rPr>
                <w:rFonts w:eastAsia="Arial" w:cs="Arial"/>
                <w:b/>
                <w:color w:val="5E6EC8"/>
                <w:sz w:val="17"/>
                <w:szCs w:val="17"/>
              </w:rPr>
            </w:pPr>
            <w:r>
              <w:rPr>
                <w:color w:val="5E6EC8"/>
                <w:sz w:val="16"/>
                <w:szCs w:val="16"/>
              </w:rPr>
              <w:t>-153,2%</w:t>
            </w:r>
          </w:p>
        </w:tc>
      </w:tr>
    </w:tbl>
    <w:p w14:paraId="5233A9D2" w14:textId="77777777" w:rsidR="009D1A60" w:rsidRDefault="009D1A60"/>
    <w:p w14:paraId="2306C18C" w14:textId="455D902C" w:rsidR="009D1A60" w:rsidRDefault="00000000">
      <w:r>
        <w:t xml:space="preserve">The fair value of biological assets was </w:t>
      </w:r>
      <w:r w:rsidR="00FE2B47">
        <w:t>3,0</w:t>
      </w:r>
      <w:r>
        <w:t xml:space="preserve"> million euros compared to </w:t>
      </w:r>
      <w:r w:rsidR="00FE2B47">
        <w:t>4,8</w:t>
      </w:r>
      <w:r>
        <w:t xml:space="preserve"> million euros a year ago. Average price of biomass was 6.</w:t>
      </w:r>
      <w:r w:rsidR="00FE2B47">
        <w:t>81</w:t>
      </w:r>
      <w:r>
        <w:t xml:space="preserve"> euros per kg compared to </w:t>
      </w:r>
      <w:r w:rsidR="00FE2B47">
        <w:t>5,67</w:t>
      </w:r>
      <w:r>
        <w:t xml:space="preserve"> euros per kg during the comparable period a year ago. </w:t>
      </w:r>
    </w:p>
    <w:tbl>
      <w:tblPr>
        <w:tblStyle w:val="a4"/>
        <w:tblW w:w="9638" w:type="dxa"/>
        <w:tblBorders>
          <w:top w:val="nil"/>
          <w:left w:val="nil"/>
          <w:bottom w:val="nil"/>
          <w:right w:val="nil"/>
          <w:insideH w:val="nil"/>
          <w:insideV w:val="nil"/>
        </w:tblBorders>
        <w:tblLayout w:type="fixed"/>
        <w:tblLook w:val="0400" w:firstRow="0" w:lastRow="0" w:firstColumn="0" w:lastColumn="0" w:noHBand="0" w:noVBand="1"/>
      </w:tblPr>
      <w:tblGrid>
        <w:gridCol w:w="4807"/>
        <w:gridCol w:w="4831"/>
      </w:tblGrid>
      <w:tr w:rsidR="009D1A60" w14:paraId="0B03236F" w14:textId="77777777">
        <w:tc>
          <w:tcPr>
            <w:tcW w:w="4807" w:type="dxa"/>
          </w:tcPr>
          <w:p w14:paraId="553BCCAF" w14:textId="562108DA" w:rsidR="009D1A60" w:rsidRDefault="00F353D7">
            <w:r>
              <w:rPr>
                <w:noProof/>
              </w:rPr>
              <w:drawing>
                <wp:inline distT="0" distB="0" distL="0" distR="0" wp14:anchorId="4C5D7102" wp14:editId="37C53417">
                  <wp:extent cx="3108749" cy="2062904"/>
                  <wp:effectExtent l="0" t="0" r="0" b="0"/>
                  <wp:docPr id="29" name="Chart 29">
                    <a:extLst xmlns:a="http://schemas.openxmlformats.org/drawingml/2006/main">
                      <a:ext uri="{FF2B5EF4-FFF2-40B4-BE49-F238E27FC236}">
                        <a16:creationId xmlns:a16="http://schemas.microsoft.com/office/drawing/2014/main" id="{BA6A599C-0B41-420F-8781-727CAB200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31" w:type="dxa"/>
          </w:tcPr>
          <w:p w14:paraId="72283195" w14:textId="103FF1E6" w:rsidR="009D1A60" w:rsidRDefault="00F353D7">
            <w:r>
              <w:rPr>
                <w:noProof/>
              </w:rPr>
              <w:drawing>
                <wp:inline distT="0" distB="0" distL="0" distR="0" wp14:anchorId="002FACA5" wp14:editId="3FFEF03C">
                  <wp:extent cx="3119544" cy="2002367"/>
                  <wp:effectExtent l="0" t="0" r="5080" b="0"/>
                  <wp:docPr id="30" name="Chart 30">
                    <a:extLst xmlns:a="http://schemas.openxmlformats.org/drawingml/2006/main">
                      <a:ext uri="{FF2B5EF4-FFF2-40B4-BE49-F238E27FC236}">
                        <a16:creationId xmlns:a16="http://schemas.microsoft.com/office/drawing/2014/main" id="{3C6CA1AA-6F66-48C3-98CC-C9748FCDB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2730802" w14:textId="77777777" w:rsidR="009D1A60" w:rsidRDefault="009D1A60"/>
    <w:p w14:paraId="6206EE6B" w14:textId="77777777" w:rsidR="009D1A60" w:rsidRDefault="009D1A60">
      <w:pPr>
        <w:rPr>
          <w:b/>
        </w:rPr>
      </w:pPr>
    </w:p>
    <w:p w14:paraId="3EF579D4" w14:textId="77777777" w:rsidR="009D1A60" w:rsidRDefault="00000000">
      <w:pPr>
        <w:pStyle w:val="Heading2"/>
      </w:pPr>
      <w:bookmarkStart w:id="12" w:name="_Toc112873377"/>
      <w:r>
        <w:lastRenderedPageBreak/>
        <w:t>Management and Supervisory Boards</w:t>
      </w:r>
      <w:bookmarkEnd w:id="12"/>
    </w:p>
    <w:p w14:paraId="6A4F96A0" w14:textId="77777777" w:rsidR="009D1A60" w:rsidRDefault="00000000">
      <w:r>
        <w:t xml:space="preserve">The Management Board of AS </w:t>
      </w:r>
      <w:proofErr w:type="spellStart"/>
      <w:r>
        <w:t>PRFoods</w:t>
      </w:r>
      <w:proofErr w:type="spellEnd"/>
      <w:r>
        <w:t xml:space="preserve"> is comprised of one member – </w:t>
      </w:r>
      <w:proofErr w:type="spellStart"/>
      <w:r>
        <w:t>Indrek</w:t>
      </w:r>
      <w:proofErr w:type="spellEnd"/>
      <w:r>
        <w:t xml:space="preserve"> </w:t>
      </w:r>
      <w:proofErr w:type="spellStart"/>
      <w:r>
        <w:t>Kasela</w:t>
      </w:r>
      <w:proofErr w:type="spellEnd"/>
      <w:r>
        <w:t xml:space="preserve"> – who as per the supervisory board's decision serves as the sole member of the management board since 2 February 2015. The management board is independent in its day-to-day management of the business, protects the best interests of all shareholders and thereby ensures the company’s sustainable development in accordance with the set objectives and strategy. It is also responsible for the internal control and risk management processes in the company. </w:t>
      </w:r>
    </w:p>
    <w:p w14:paraId="0A526573" w14:textId="77777777" w:rsidR="009D1A60" w:rsidRDefault="00000000">
      <w:r>
        <w:t xml:space="preserve">The Supervisory Board of AS </w:t>
      </w:r>
      <w:proofErr w:type="spellStart"/>
      <w:r>
        <w:t>PRFoods</w:t>
      </w:r>
      <w:proofErr w:type="spellEnd"/>
      <w:r>
        <w:t xml:space="preserve"> appoints management board members for a three-year term. The articles of association prescribe the management board to consist of one to four members. </w:t>
      </w:r>
      <w:proofErr w:type="spellStart"/>
      <w:r>
        <w:t>Indrek</w:t>
      </w:r>
      <w:proofErr w:type="spellEnd"/>
      <w:r>
        <w:t xml:space="preserve"> </w:t>
      </w:r>
      <w:proofErr w:type="spellStart"/>
      <w:r>
        <w:t>Kasela</w:t>
      </w:r>
      <w:proofErr w:type="spellEnd"/>
      <w:r>
        <w:t xml:space="preserve"> (born 1971), holds an LL.M (Master of Laws) degree from New York University (1996) and a BA degree in law from the University of Tartu (1994). </w:t>
      </w:r>
    </w:p>
    <w:p w14:paraId="160AA0C8" w14:textId="77777777" w:rsidR="009D1A60" w:rsidRDefault="00000000">
      <w:pPr>
        <w:rPr>
          <w:i/>
          <w:u w:val="single"/>
        </w:rPr>
      </w:pPr>
      <w:r>
        <w:t xml:space="preserve">In addition to the management position in </w:t>
      </w:r>
      <w:proofErr w:type="spellStart"/>
      <w:r>
        <w:t>PRFoods</w:t>
      </w:r>
      <w:proofErr w:type="spellEnd"/>
      <w:r>
        <w:t>, he is a member of management boards in almost all the Group entities and in several non-Group entities (</w:t>
      </w:r>
      <w:proofErr w:type="spellStart"/>
      <w:r>
        <w:t>Lindermann</w:t>
      </w:r>
      <w:proofErr w:type="spellEnd"/>
      <w:r>
        <w:t xml:space="preserve">, Birnbaum &amp; </w:t>
      </w:r>
      <w:proofErr w:type="spellStart"/>
      <w:r>
        <w:t>Kasela</w:t>
      </w:r>
      <w:proofErr w:type="spellEnd"/>
      <w:r>
        <w:t xml:space="preserve"> OÜ, </w:t>
      </w:r>
      <w:proofErr w:type="spellStart"/>
      <w:r>
        <w:t>ManageTrade</w:t>
      </w:r>
      <w:proofErr w:type="spellEnd"/>
      <w:r>
        <w:t xml:space="preserve"> OÜ, </w:t>
      </w:r>
      <w:proofErr w:type="spellStart"/>
      <w:r>
        <w:t>Noblessneri</w:t>
      </w:r>
      <w:proofErr w:type="spellEnd"/>
      <w:r>
        <w:t xml:space="preserve"> </w:t>
      </w:r>
      <w:proofErr w:type="spellStart"/>
      <w:r>
        <w:t>Jahtklubi</w:t>
      </w:r>
      <w:proofErr w:type="spellEnd"/>
      <w:r>
        <w:t xml:space="preserve"> OÜ, etc). He chairs or is a member of supervisory boards among others of the following companies: AS </w:t>
      </w:r>
      <w:proofErr w:type="spellStart"/>
      <w:r>
        <w:t>Toode</w:t>
      </w:r>
      <w:proofErr w:type="spellEnd"/>
      <w:r>
        <w:t xml:space="preserve">, ELKE </w:t>
      </w:r>
      <w:proofErr w:type="spellStart"/>
      <w:r>
        <w:t>Grupi</w:t>
      </w:r>
      <w:proofErr w:type="spellEnd"/>
      <w:r>
        <w:t xml:space="preserve"> AS, ELKO </w:t>
      </w:r>
      <w:proofErr w:type="spellStart"/>
      <w:r>
        <w:t>Grupa</w:t>
      </w:r>
      <w:proofErr w:type="spellEnd"/>
      <w:r>
        <w:t xml:space="preserve"> AS, </w:t>
      </w:r>
      <w:proofErr w:type="spellStart"/>
      <w:r>
        <w:t>EPhaG</w:t>
      </w:r>
      <w:proofErr w:type="spellEnd"/>
      <w:r>
        <w:t xml:space="preserve"> AS, Salva </w:t>
      </w:r>
      <w:proofErr w:type="spellStart"/>
      <w:r>
        <w:t>Kindlustuse</w:t>
      </w:r>
      <w:proofErr w:type="spellEnd"/>
      <w:r>
        <w:t xml:space="preserve"> AS, Ridge Capital AS, AS </w:t>
      </w:r>
      <w:proofErr w:type="spellStart"/>
      <w:r>
        <w:t>Ekspress</w:t>
      </w:r>
      <w:proofErr w:type="spellEnd"/>
      <w:r>
        <w:t xml:space="preserve"> </w:t>
      </w:r>
      <w:proofErr w:type="spellStart"/>
      <w:r>
        <w:t>Grupp</w:t>
      </w:r>
      <w:proofErr w:type="spellEnd"/>
      <w:r>
        <w:t xml:space="preserve">, </w:t>
      </w:r>
      <w:proofErr w:type="spellStart"/>
      <w:r>
        <w:t>Elering</w:t>
      </w:r>
      <w:proofErr w:type="spellEnd"/>
      <w:r>
        <w:t xml:space="preserve"> AS, SA </w:t>
      </w:r>
      <w:proofErr w:type="spellStart"/>
      <w:r>
        <w:t>Avatud</w:t>
      </w:r>
      <w:proofErr w:type="spellEnd"/>
      <w:r>
        <w:t xml:space="preserve"> </w:t>
      </w:r>
      <w:proofErr w:type="spellStart"/>
      <w:r>
        <w:t>Eesti</w:t>
      </w:r>
      <w:proofErr w:type="spellEnd"/>
      <w:r>
        <w:t xml:space="preserve"> Fond, </w:t>
      </w:r>
      <w:proofErr w:type="spellStart"/>
      <w:r>
        <w:t>Tulundusühistu</w:t>
      </w:r>
      <w:proofErr w:type="spellEnd"/>
      <w:r>
        <w:t xml:space="preserve"> </w:t>
      </w:r>
      <w:proofErr w:type="spellStart"/>
      <w:r>
        <w:t>Tuleva</w:t>
      </w:r>
      <w:proofErr w:type="spellEnd"/>
      <w:r>
        <w:t xml:space="preserve">, </w:t>
      </w:r>
      <w:proofErr w:type="spellStart"/>
      <w:r>
        <w:t>Eesti</w:t>
      </w:r>
      <w:proofErr w:type="spellEnd"/>
      <w:r>
        <w:t xml:space="preserve"> </w:t>
      </w:r>
      <w:proofErr w:type="spellStart"/>
      <w:r>
        <w:t>Avamere</w:t>
      </w:r>
      <w:proofErr w:type="spellEnd"/>
      <w:r>
        <w:t xml:space="preserve"> </w:t>
      </w:r>
      <w:proofErr w:type="spellStart"/>
      <w:r>
        <w:t>Vesiviljelejate</w:t>
      </w:r>
      <w:proofErr w:type="spellEnd"/>
      <w:r>
        <w:t xml:space="preserve"> </w:t>
      </w:r>
      <w:proofErr w:type="spellStart"/>
      <w:r>
        <w:t>Ühistu</w:t>
      </w:r>
      <w:proofErr w:type="spellEnd"/>
      <w:r>
        <w:t>. He serves also as a board member in several companies and NPOs domiciled abroad.</w:t>
      </w:r>
    </w:p>
    <w:p w14:paraId="30C6CE62" w14:textId="77777777" w:rsidR="009D1A60" w:rsidRDefault="00000000">
      <w:r>
        <w:t xml:space="preserve">The Supervisory Board of AS </w:t>
      </w:r>
      <w:proofErr w:type="spellStart"/>
      <w:r>
        <w:t>PRFoods</w:t>
      </w:r>
      <w:proofErr w:type="spellEnd"/>
      <w:r>
        <w:t xml:space="preserve"> is comprised of six members. The board is chaired by Lauri </w:t>
      </w:r>
      <w:proofErr w:type="spellStart"/>
      <w:r>
        <w:t>Kustaa</w:t>
      </w:r>
      <w:proofErr w:type="spellEnd"/>
      <w:r>
        <w:t xml:space="preserve"> </w:t>
      </w:r>
      <w:proofErr w:type="spellStart"/>
      <w:r>
        <w:t>Äimä</w:t>
      </w:r>
      <w:proofErr w:type="spellEnd"/>
      <w:r>
        <w:t xml:space="preserve">, members of the supervisory board are </w:t>
      </w:r>
      <w:proofErr w:type="spellStart"/>
      <w:r>
        <w:t>Aavo</w:t>
      </w:r>
      <w:proofErr w:type="spellEnd"/>
      <w:r>
        <w:t xml:space="preserve"> </w:t>
      </w:r>
      <w:proofErr w:type="spellStart"/>
      <w:r>
        <w:t>Kokk</w:t>
      </w:r>
      <w:proofErr w:type="spellEnd"/>
      <w:r>
        <w:t xml:space="preserve">, Harvey </w:t>
      </w:r>
      <w:proofErr w:type="spellStart"/>
      <w:r>
        <w:t>Sawikin</w:t>
      </w:r>
      <w:proofErr w:type="spellEnd"/>
      <w:r>
        <w:t xml:space="preserve">, </w:t>
      </w:r>
      <w:proofErr w:type="spellStart"/>
      <w:r>
        <w:t>Vesa</w:t>
      </w:r>
      <w:proofErr w:type="spellEnd"/>
      <w:r>
        <w:t xml:space="preserve"> Jaakko Karo, Arko </w:t>
      </w:r>
      <w:proofErr w:type="spellStart"/>
      <w:r>
        <w:t>Kadajane</w:t>
      </w:r>
      <w:proofErr w:type="spellEnd"/>
      <w:r>
        <w:t xml:space="preserve"> and </w:t>
      </w:r>
      <w:proofErr w:type="spellStart"/>
      <w:r>
        <w:t>Kuldar</w:t>
      </w:r>
      <w:proofErr w:type="spellEnd"/>
      <w:r>
        <w:t xml:space="preserve"> Leis.</w:t>
      </w:r>
    </w:p>
    <w:p w14:paraId="55E84225" w14:textId="77777777" w:rsidR="009D1A60" w:rsidRDefault="00000000">
      <w:r>
        <w:t xml:space="preserve">The highest governing body of a public limited company is a general meeting of shareholders. General meetings of shareholders are either ordinary or extraordinary. </w:t>
      </w:r>
    </w:p>
    <w:p w14:paraId="4A3E564A" w14:textId="77777777" w:rsidR="009D1A60" w:rsidRDefault="00000000">
      <w:r>
        <w:t xml:space="preserve">Pursuant to law, a supervisory board of a public limited company is a supervisory body responsible for planning the activities of a company, organising its </w:t>
      </w:r>
      <w:proofErr w:type="gramStart"/>
      <w:r>
        <w:t>management</w:t>
      </w:r>
      <w:proofErr w:type="gramEnd"/>
      <w:r>
        <w:t xml:space="preserve"> and supervising the activities of its management board. According to the Articles of Association of AS </w:t>
      </w:r>
      <w:proofErr w:type="spellStart"/>
      <w:r>
        <w:t>PRFoods</w:t>
      </w:r>
      <w:proofErr w:type="spellEnd"/>
      <w:r>
        <w:t xml:space="preserve">, the supervisory board has three to seven members elected by the general meeting of shareholders for the term of three years. </w:t>
      </w:r>
    </w:p>
    <w:p w14:paraId="54812E59" w14:textId="77777777" w:rsidR="009D1A60" w:rsidRDefault="00000000">
      <w:bookmarkStart w:id="13" w:name="_heading=h.lnxbz9" w:colFirst="0" w:colLast="0"/>
      <w:bookmarkEnd w:id="13"/>
      <w:r>
        <w:rPr>
          <w:color w:val="000000"/>
        </w:rPr>
        <w:t xml:space="preserve">Information on the education and careers of the members of the supervisory board as well as their management positions in other companies is available on </w:t>
      </w:r>
      <w:proofErr w:type="spellStart"/>
      <w:r>
        <w:rPr>
          <w:color w:val="000000"/>
        </w:rPr>
        <w:t>PRFoods</w:t>
      </w:r>
      <w:proofErr w:type="spellEnd"/>
      <w:r>
        <w:rPr>
          <w:color w:val="000000"/>
        </w:rPr>
        <w:t xml:space="preserve">’ </w:t>
      </w:r>
      <w:r>
        <w:t xml:space="preserve">website </w:t>
      </w:r>
      <w:hyperlink r:id="rId36">
        <w:r>
          <w:t>www.prfoods.ee</w:t>
        </w:r>
      </w:hyperlink>
      <w:r>
        <w:t>.</w:t>
      </w:r>
    </w:p>
    <w:p w14:paraId="7ADBE186" w14:textId="77777777" w:rsidR="009D1A60" w:rsidRDefault="00000000" w:rsidP="00FE2B47">
      <w:pPr>
        <w:pStyle w:val="ENGNormalcapslilla"/>
      </w:pPr>
      <w:proofErr w:type="spellStart"/>
      <w:r>
        <w:t>PRFoods</w:t>
      </w:r>
      <w:proofErr w:type="spellEnd"/>
      <w:r>
        <w:t>’ shares held by the members of the management and supervisory boards and the persons/companies related to them as at 30.06.2022:</w:t>
      </w:r>
    </w:p>
    <w:tbl>
      <w:tblPr>
        <w:tblStyle w:val="a5"/>
        <w:tblW w:w="96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798"/>
        <w:gridCol w:w="1592"/>
        <w:gridCol w:w="1248"/>
      </w:tblGrid>
      <w:tr w:rsidR="009D1A60" w14:paraId="4802C3BE" w14:textId="77777777">
        <w:trPr>
          <w:trHeight w:val="283"/>
        </w:trPr>
        <w:tc>
          <w:tcPr>
            <w:tcW w:w="6799" w:type="dxa"/>
            <w:shd w:val="clear" w:color="auto" w:fill="363270"/>
            <w:tcMar>
              <w:top w:w="15" w:type="dxa"/>
              <w:left w:w="15" w:type="dxa"/>
              <w:bottom w:w="0" w:type="dxa"/>
              <w:right w:w="15" w:type="dxa"/>
            </w:tcMar>
            <w:vAlign w:val="center"/>
          </w:tcPr>
          <w:p w14:paraId="6067BFAC"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Shareholder</w:t>
            </w:r>
          </w:p>
        </w:tc>
        <w:tc>
          <w:tcPr>
            <w:tcW w:w="1592" w:type="dxa"/>
            <w:shd w:val="clear" w:color="auto" w:fill="363270"/>
            <w:tcMar>
              <w:top w:w="15" w:type="dxa"/>
              <w:left w:w="57" w:type="dxa"/>
              <w:bottom w:w="0" w:type="dxa"/>
              <w:right w:w="57" w:type="dxa"/>
            </w:tcMar>
            <w:vAlign w:val="center"/>
          </w:tcPr>
          <w:p w14:paraId="07311C34"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rPr>
            </w:pPr>
            <w:r>
              <w:rPr>
                <w:rFonts w:eastAsia="Arial" w:cs="Arial"/>
                <w:color w:val="FFFFFF"/>
                <w:sz w:val="17"/>
                <w:szCs w:val="17"/>
              </w:rPr>
              <w:t>Number of shares</w:t>
            </w:r>
          </w:p>
        </w:tc>
        <w:tc>
          <w:tcPr>
            <w:tcW w:w="1248" w:type="dxa"/>
            <w:shd w:val="clear" w:color="auto" w:fill="363270"/>
            <w:tcMar>
              <w:top w:w="15" w:type="dxa"/>
              <w:left w:w="57" w:type="dxa"/>
              <w:bottom w:w="0" w:type="dxa"/>
              <w:right w:w="57" w:type="dxa"/>
            </w:tcMar>
            <w:vAlign w:val="center"/>
          </w:tcPr>
          <w:p w14:paraId="0213ADE4" w14:textId="77777777" w:rsidR="009D1A60" w:rsidRDefault="00000000">
            <w:pPr>
              <w:pBdr>
                <w:top w:val="nil"/>
                <w:left w:val="nil"/>
                <w:bottom w:val="nil"/>
                <w:right w:val="nil"/>
                <w:between w:val="nil"/>
              </w:pBdr>
              <w:spacing w:after="0" w:line="240" w:lineRule="auto"/>
              <w:jc w:val="right"/>
              <w:rPr>
                <w:rFonts w:eastAsia="Arial" w:cs="Arial"/>
                <w:color w:val="FFFFFF"/>
                <w:sz w:val="17"/>
                <w:szCs w:val="17"/>
              </w:rPr>
            </w:pPr>
            <w:r>
              <w:rPr>
                <w:rFonts w:eastAsia="Arial" w:cs="Arial"/>
                <w:color w:val="FFFFFF"/>
                <w:sz w:val="17"/>
                <w:szCs w:val="17"/>
              </w:rPr>
              <w:t xml:space="preserve">Ownership interest </w:t>
            </w:r>
          </w:p>
        </w:tc>
      </w:tr>
      <w:tr w:rsidR="009D1A60" w14:paraId="6DC8FB10" w14:textId="77777777">
        <w:trPr>
          <w:trHeight w:val="312"/>
        </w:trPr>
        <w:tc>
          <w:tcPr>
            <w:tcW w:w="6799" w:type="dxa"/>
            <w:shd w:val="clear" w:color="auto" w:fill="FAFAFA"/>
            <w:tcMar>
              <w:top w:w="15" w:type="dxa"/>
              <w:left w:w="15" w:type="dxa"/>
              <w:bottom w:w="0" w:type="dxa"/>
              <w:right w:w="15" w:type="dxa"/>
            </w:tcMar>
            <w:vAlign w:val="center"/>
          </w:tcPr>
          <w:p w14:paraId="2D1C278B"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management board – </w:t>
            </w:r>
            <w:proofErr w:type="spellStart"/>
            <w:r>
              <w:rPr>
                <w:rFonts w:eastAsia="Arial" w:cs="Arial"/>
                <w:color w:val="000000"/>
                <w:sz w:val="17"/>
                <w:szCs w:val="17"/>
              </w:rPr>
              <w:t>Indrek</w:t>
            </w:r>
            <w:proofErr w:type="spellEnd"/>
            <w:r>
              <w:rPr>
                <w:rFonts w:eastAsia="Arial" w:cs="Arial"/>
                <w:color w:val="000000"/>
                <w:sz w:val="17"/>
                <w:szCs w:val="17"/>
              </w:rPr>
              <w:t xml:space="preserve"> </w:t>
            </w:r>
            <w:proofErr w:type="spellStart"/>
            <w:r>
              <w:rPr>
                <w:rFonts w:eastAsia="Arial" w:cs="Arial"/>
                <w:color w:val="000000"/>
                <w:sz w:val="17"/>
                <w:szCs w:val="17"/>
              </w:rPr>
              <w:t>Kasela</w:t>
            </w:r>
            <w:proofErr w:type="spellEnd"/>
          </w:p>
        </w:tc>
        <w:tc>
          <w:tcPr>
            <w:tcW w:w="1592" w:type="dxa"/>
            <w:shd w:val="clear" w:color="auto" w:fill="FAFAFA"/>
            <w:tcMar>
              <w:top w:w="15" w:type="dxa"/>
              <w:left w:w="57" w:type="dxa"/>
              <w:bottom w:w="0" w:type="dxa"/>
              <w:right w:w="57" w:type="dxa"/>
            </w:tcMar>
            <w:vAlign w:val="center"/>
          </w:tcPr>
          <w:p w14:paraId="2C25CFF8"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1,613,617</w:t>
            </w:r>
          </w:p>
        </w:tc>
        <w:tc>
          <w:tcPr>
            <w:tcW w:w="1248" w:type="dxa"/>
            <w:shd w:val="clear" w:color="auto" w:fill="FAFAFA"/>
            <w:tcMar>
              <w:top w:w="15" w:type="dxa"/>
              <w:left w:w="57" w:type="dxa"/>
              <w:bottom w:w="0" w:type="dxa"/>
              <w:right w:w="57" w:type="dxa"/>
            </w:tcMar>
            <w:vAlign w:val="center"/>
          </w:tcPr>
          <w:p w14:paraId="41A83A14"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4.17%</w:t>
            </w:r>
          </w:p>
        </w:tc>
      </w:tr>
      <w:tr w:rsidR="009D1A60" w14:paraId="02EDB83B" w14:textId="77777777">
        <w:trPr>
          <w:trHeight w:val="312"/>
        </w:trPr>
        <w:tc>
          <w:tcPr>
            <w:tcW w:w="6799" w:type="dxa"/>
            <w:shd w:val="clear" w:color="auto" w:fill="FAFAFA"/>
            <w:tcMar>
              <w:top w:w="15" w:type="dxa"/>
              <w:left w:w="15" w:type="dxa"/>
              <w:bottom w:w="0" w:type="dxa"/>
              <w:right w:w="15" w:type="dxa"/>
            </w:tcMar>
            <w:vAlign w:val="center"/>
          </w:tcPr>
          <w:p w14:paraId="525480EF"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supervisory board – </w:t>
            </w:r>
            <w:proofErr w:type="spellStart"/>
            <w:r>
              <w:rPr>
                <w:rFonts w:eastAsia="Arial" w:cs="Arial"/>
                <w:color w:val="000000"/>
                <w:sz w:val="17"/>
                <w:szCs w:val="17"/>
              </w:rPr>
              <w:t>Kuldar</w:t>
            </w:r>
            <w:proofErr w:type="spellEnd"/>
            <w:r>
              <w:rPr>
                <w:rFonts w:eastAsia="Arial" w:cs="Arial"/>
                <w:color w:val="000000"/>
                <w:sz w:val="17"/>
                <w:szCs w:val="17"/>
              </w:rPr>
              <w:t xml:space="preserve"> Leis</w:t>
            </w:r>
          </w:p>
        </w:tc>
        <w:tc>
          <w:tcPr>
            <w:tcW w:w="1592" w:type="dxa"/>
            <w:shd w:val="clear" w:color="auto" w:fill="FAFAFA"/>
            <w:tcMar>
              <w:top w:w="15" w:type="dxa"/>
              <w:left w:w="57" w:type="dxa"/>
              <w:bottom w:w="0" w:type="dxa"/>
              <w:right w:w="57" w:type="dxa"/>
            </w:tcMar>
            <w:vAlign w:val="center"/>
          </w:tcPr>
          <w:p w14:paraId="0EE32EDD"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1,223,050</w:t>
            </w:r>
          </w:p>
        </w:tc>
        <w:tc>
          <w:tcPr>
            <w:tcW w:w="1248" w:type="dxa"/>
            <w:shd w:val="clear" w:color="auto" w:fill="FAFAFA"/>
            <w:tcMar>
              <w:top w:w="15" w:type="dxa"/>
              <w:left w:w="57" w:type="dxa"/>
              <w:bottom w:w="0" w:type="dxa"/>
              <w:right w:w="57" w:type="dxa"/>
            </w:tcMar>
            <w:vAlign w:val="center"/>
          </w:tcPr>
          <w:p w14:paraId="3C898630"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3.16%</w:t>
            </w:r>
          </w:p>
        </w:tc>
      </w:tr>
      <w:tr w:rsidR="009D1A60" w14:paraId="44FAD3CB" w14:textId="77777777">
        <w:trPr>
          <w:trHeight w:val="312"/>
        </w:trPr>
        <w:tc>
          <w:tcPr>
            <w:tcW w:w="6799" w:type="dxa"/>
            <w:shd w:val="clear" w:color="auto" w:fill="FAFAFA"/>
            <w:tcMar>
              <w:top w:w="15" w:type="dxa"/>
              <w:left w:w="15" w:type="dxa"/>
              <w:bottom w:w="0" w:type="dxa"/>
              <w:right w:w="15" w:type="dxa"/>
            </w:tcMar>
            <w:vAlign w:val="center"/>
          </w:tcPr>
          <w:p w14:paraId="74C16C46"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supervisory board – Lauri </w:t>
            </w:r>
            <w:proofErr w:type="spellStart"/>
            <w:r>
              <w:rPr>
                <w:rFonts w:eastAsia="Arial" w:cs="Arial"/>
                <w:color w:val="000000"/>
                <w:sz w:val="17"/>
                <w:szCs w:val="17"/>
              </w:rPr>
              <w:t>Kustaa</w:t>
            </w:r>
            <w:proofErr w:type="spellEnd"/>
            <w:r>
              <w:rPr>
                <w:rFonts w:eastAsia="Arial" w:cs="Arial"/>
                <w:color w:val="000000"/>
                <w:sz w:val="17"/>
                <w:szCs w:val="17"/>
              </w:rPr>
              <w:t xml:space="preserve"> </w:t>
            </w:r>
            <w:proofErr w:type="spellStart"/>
            <w:r>
              <w:rPr>
                <w:rFonts w:eastAsia="Arial" w:cs="Arial"/>
                <w:color w:val="000000"/>
                <w:sz w:val="17"/>
                <w:szCs w:val="17"/>
              </w:rPr>
              <w:t>Äimä</w:t>
            </w:r>
            <w:proofErr w:type="spellEnd"/>
          </w:p>
        </w:tc>
        <w:tc>
          <w:tcPr>
            <w:tcW w:w="1592" w:type="dxa"/>
            <w:shd w:val="clear" w:color="auto" w:fill="FAFAFA"/>
            <w:tcMar>
              <w:top w:w="15" w:type="dxa"/>
              <w:left w:w="57" w:type="dxa"/>
              <w:bottom w:w="0" w:type="dxa"/>
              <w:right w:w="57" w:type="dxa"/>
            </w:tcMar>
            <w:vAlign w:val="center"/>
          </w:tcPr>
          <w:p w14:paraId="3B63A627"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125,000</w:t>
            </w:r>
          </w:p>
        </w:tc>
        <w:tc>
          <w:tcPr>
            <w:tcW w:w="1248" w:type="dxa"/>
            <w:shd w:val="clear" w:color="auto" w:fill="FAFAFA"/>
            <w:tcMar>
              <w:top w:w="15" w:type="dxa"/>
              <w:left w:w="57" w:type="dxa"/>
              <w:bottom w:w="0" w:type="dxa"/>
              <w:right w:w="57" w:type="dxa"/>
            </w:tcMar>
            <w:vAlign w:val="center"/>
          </w:tcPr>
          <w:p w14:paraId="78EA0626"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0.32%</w:t>
            </w:r>
          </w:p>
        </w:tc>
      </w:tr>
      <w:tr w:rsidR="009D1A60" w14:paraId="5A1CDD2F" w14:textId="77777777">
        <w:trPr>
          <w:trHeight w:val="312"/>
        </w:trPr>
        <w:tc>
          <w:tcPr>
            <w:tcW w:w="6799" w:type="dxa"/>
            <w:shd w:val="clear" w:color="auto" w:fill="FAFAFA"/>
            <w:tcMar>
              <w:top w:w="15" w:type="dxa"/>
              <w:left w:w="15" w:type="dxa"/>
              <w:bottom w:w="0" w:type="dxa"/>
              <w:right w:w="15" w:type="dxa"/>
            </w:tcMar>
            <w:vAlign w:val="center"/>
          </w:tcPr>
          <w:p w14:paraId="659BF37A"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supervisory board – </w:t>
            </w:r>
            <w:proofErr w:type="spellStart"/>
            <w:r>
              <w:rPr>
                <w:rFonts w:eastAsia="Arial" w:cs="Arial"/>
                <w:color w:val="000000"/>
                <w:sz w:val="17"/>
                <w:szCs w:val="17"/>
              </w:rPr>
              <w:t>Vesa</w:t>
            </w:r>
            <w:proofErr w:type="spellEnd"/>
            <w:r>
              <w:rPr>
                <w:rFonts w:eastAsia="Arial" w:cs="Arial"/>
                <w:color w:val="000000"/>
                <w:sz w:val="17"/>
                <w:szCs w:val="17"/>
              </w:rPr>
              <w:t xml:space="preserve"> Jaakko Karo</w:t>
            </w:r>
          </w:p>
        </w:tc>
        <w:tc>
          <w:tcPr>
            <w:tcW w:w="1592" w:type="dxa"/>
            <w:shd w:val="clear" w:color="auto" w:fill="FAFAFA"/>
            <w:tcMar>
              <w:top w:w="15" w:type="dxa"/>
              <w:left w:w="57" w:type="dxa"/>
              <w:bottom w:w="0" w:type="dxa"/>
              <w:right w:w="57" w:type="dxa"/>
            </w:tcMar>
            <w:vAlign w:val="center"/>
          </w:tcPr>
          <w:p w14:paraId="2AD87C45"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90,000</w:t>
            </w:r>
          </w:p>
        </w:tc>
        <w:tc>
          <w:tcPr>
            <w:tcW w:w="1248" w:type="dxa"/>
            <w:shd w:val="clear" w:color="auto" w:fill="FAFAFA"/>
            <w:tcMar>
              <w:top w:w="15" w:type="dxa"/>
              <w:left w:w="57" w:type="dxa"/>
              <w:bottom w:w="0" w:type="dxa"/>
              <w:right w:w="57" w:type="dxa"/>
            </w:tcMar>
            <w:vAlign w:val="center"/>
          </w:tcPr>
          <w:p w14:paraId="4E241A96"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0.23%</w:t>
            </w:r>
          </w:p>
        </w:tc>
      </w:tr>
      <w:tr w:rsidR="009D1A60" w14:paraId="185F04A4" w14:textId="77777777">
        <w:trPr>
          <w:trHeight w:val="312"/>
        </w:trPr>
        <w:tc>
          <w:tcPr>
            <w:tcW w:w="6799" w:type="dxa"/>
            <w:shd w:val="clear" w:color="auto" w:fill="FAFAFA"/>
            <w:tcMar>
              <w:top w:w="15" w:type="dxa"/>
              <w:left w:w="15" w:type="dxa"/>
              <w:bottom w:w="0" w:type="dxa"/>
              <w:right w:w="15" w:type="dxa"/>
            </w:tcMar>
            <w:vAlign w:val="center"/>
          </w:tcPr>
          <w:p w14:paraId="205E351C"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supervisory board – Arko </w:t>
            </w:r>
            <w:proofErr w:type="spellStart"/>
            <w:r>
              <w:rPr>
                <w:rFonts w:eastAsia="Arial" w:cs="Arial"/>
                <w:color w:val="000000"/>
                <w:sz w:val="17"/>
                <w:szCs w:val="17"/>
              </w:rPr>
              <w:t>Kadajane</w:t>
            </w:r>
            <w:proofErr w:type="spellEnd"/>
          </w:p>
        </w:tc>
        <w:tc>
          <w:tcPr>
            <w:tcW w:w="1592" w:type="dxa"/>
            <w:shd w:val="clear" w:color="auto" w:fill="FAFAFA"/>
            <w:tcMar>
              <w:top w:w="15" w:type="dxa"/>
              <w:left w:w="57" w:type="dxa"/>
              <w:bottom w:w="0" w:type="dxa"/>
              <w:right w:w="57" w:type="dxa"/>
            </w:tcMar>
            <w:vAlign w:val="center"/>
          </w:tcPr>
          <w:p w14:paraId="59282F43"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8,928</w:t>
            </w:r>
          </w:p>
        </w:tc>
        <w:tc>
          <w:tcPr>
            <w:tcW w:w="1248" w:type="dxa"/>
            <w:shd w:val="clear" w:color="auto" w:fill="FAFAFA"/>
            <w:tcMar>
              <w:top w:w="15" w:type="dxa"/>
              <w:left w:w="57" w:type="dxa"/>
              <w:bottom w:w="0" w:type="dxa"/>
              <w:right w:w="57" w:type="dxa"/>
            </w:tcMar>
            <w:vAlign w:val="center"/>
          </w:tcPr>
          <w:p w14:paraId="75AA111A"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0.02%</w:t>
            </w:r>
          </w:p>
        </w:tc>
      </w:tr>
      <w:tr w:rsidR="009D1A60" w14:paraId="26B60039" w14:textId="77777777">
        <w:trPr>
          <w:trHeight w:val="312"/>
        </w:trPr>
        <w:tc>
          <w:tcPr>
            <w:tcW w:w="6799" w:type="dxa"/>
            <w:shd w:val="clear" w:color="auto" w:fill="FAFAFA"/>
            <w:tcMar>
              <w:top w:w="15" w:type="dxa"/>
              <w:left w:w="15" w:type="dxa"/>
              <w:bottom w:w="0" w:type="dxa"/>
              <w:right w:w="15" w:type="dxa"/>
            </w:tcMar>
            <w:vAlign w:val="center"/>
          </w:tcPr>
          <w:p w14:paraId="1041B42A"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supervisory board – Harvey </w:t>
            </w:r>
            <w:proofErr w:type="spellStart"/>
            <w:r>
              <w:rPr>
                <w:rFonts w:eastAsia="Arial" w:cs="Arial"/>
                <w:color w:val="000000"/>
                <w:sz w:val="17"/>
                <w:szCs w:val="17"/>
              </w:rPr>
              <w:t>Sawikin</w:t>
            </w:r>
            <w:proofErr w:type="spellEnd"/>
          </w:p>
        </w:tc>
        <w:tc>
          <w:tcPr>
            <w:tcW w:w="1592" w:type="dxa"/>
            <w:shd w:val="clear" w:color="auto" w:fill="FAFAFA"/>
            <w:tcMar>
              <w:top w:w="15" w:type="dxa"/>
              <w:left w:w="57" w:type="dxa"/>
              <w:bottom w:w="0" w:type="dxa"/>
              <w:right w:w="57" w:type="dxa"/>
            </w:tcMar>
            <w:vAlign w:val="center"/>
          </w:tcPr>
          <w:p w14:paraId="43A965A8"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0</w:t>
            </w:r>
          </w:p>
        </w:tc>
        <w:tc>
          <w:tcPr>
            <w:tcW w:w="1248" w:type="dxa"/>
            <w:shd w:val="clear" w:color="auto" w:fill="FAFAFA"/>
            <w:tcMar>
              <w:top w:w="15" w:type="dxa"/>
              <w:left w:w="57" w:type="dxa"/>
              <w:bottom w:w="0" w:type="dxa"/>
              <w:right w:w="57" w:type="dxa"/>
            </w:tcMar>
            <w:vAlign w:val="center"/>
          </w:tcPr>
          <w:p w14:paraId="54ADB2ED"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w:t>
            </w:r>
          </w:p>
        </w:tc>
      </w:tr>
      <w:tr w:rsidR="009D1A60" w14:paraId="436BB2A1" w14:textId="77777777">
        <w:trPr>
          <w:trHeight w:val="312"/>
        </w:trPr>
        <w:tc>
          <w:tcPr>
            <w:tcW w:w="6799" w:type="dxa"/>
            <w:shd w:val="clear" w:color="auto" w:fill="FAFAFA"/>
            <w:tcMar>
              <w:top w:w="15" w:type="dxa"/>
              <w:left w:w="15" w:type="dxa"/>
              <w:bottom w:w="0" w:type="dxa"/>
              <w:right w:w="15" w:type="dxa"/>
            </w:tcMar>
            <w:vAlign w:val="center"/>
          </w:tcPr>
          <w:p w14:paraId="2F33412E" w14:textId="77777777" w:rsidR="009D1A60" w:rsidRDefault="00000000">
            <w:pPr>
              <w:pBdr>
                <w:top w:val="nil"/>
                <w:left w:val="nil"/>
                <w:bottom w:val="nil"/>
                <w:right w:val="nil"/>
                <w:between w:val="nil"/>
              </w:pBdr>
              <w:spacing w:after="0" w:line="240" w:lineRule="auto"/>
              <w:jc w:val="left"/>
              <w:rPr>
                <w:rFonts w:eastAsia="Arial" w:cs="Arial"/>
                <w:color w:val="000000"/>
                <w:sz w:val="17"/>
                <w:szCs w:val="17"/>
              </w:rPr>
            </w:pPr>
            <w:r>
              <w:rPr>
                <w:rFonts w:eastAsia="Arial" w:cs="Arial"/>
                <w:color w:val="000000"/>
                <w:sz w:val="17"/>
                <w:szCs w:val="17"/>
              </w:rPr>
              <w:t xml:space="preserve">Member of the supervisory board – </w:t>
            </w:r>
            <w:proofErr w:type="spellStart"/>
            <w:r>
              <w:rPr>
                <w:rFonts w:eastAsia="Arial" w:cs="Arial"/>
                <w:color w:val="000000"/>
                <w:sz w:val="17"/>
                <w:szCs w:val="17"/>
              </w:rPr>
              <w:t>Aavo</w:t>
            </w:r>
            <w:proofErr w:type="spellEnd"/>
            <w:r>
              <w:rPr>
                <w:rFonts w:eastAsia="Arial" w:cs="Arial"/>
                <w:color w:val="000000"/>
                <w:sz w:val="17"/>
                <w:szCs w:val="17"/>
              </w:rPr>
              <w:t xml:space="preserve"> </w:t>
            </w:r>
            <w:proofErr w:type="spellStart"/>
            <w:r>
              <w:rPr>
                <w:rFonts w:eastAsia="Arial" w:cs="Arial"/>
                <w:color w:val="000000"/>
                <w:sz w:val="17"/>
                <w:szCs w:val="17"/>
              </w:rPr>
              <w:t>Kokk</w:t>
            </w:r>
            <w:proofErr w:type="spellEnd"/>
          </w:p>
        </w:tc>
        <w:tc>
          <w:tcPr>
            <w:tcW w:w="1592" w:type="dxa"/>
            <w:shd w:val="clear" w:color="auto" w:fill="FAFAFA"/>
            <w:tcMar>
              <w:top w:w="15" w:type="dxa"/>
              <w:left w:w="57" w:type="dxa"/>
              <w:bottom w:w="0" w:type="dxa"/>
              <w:right w:w="57" w:type="dxa"/>
            </w:tcMar>
            <w:vAlign w:val="center"/>
          </w:tcPr>
          <w:p w14:paraId="5C585D92"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0</w:t>
            </w:r>
          </w:p>
        </w:tc>
        <w:tc>
          <w:tcPr>
            <w:tcW w:w="1248" w:type="dxa"/>
            <w:shd w:val="clear" w:color="auto" w:fill="FAFAFA"/>
            <w:tcMar>
              <w:top w:w="15" w:type="dxa"/>
              <w:left w:w="57" w:type="dxa"/>
              <w:bottom w:w="0" w:type="dxa"/>
              <w:right w:w="57" w:type="dxa"/>
            </w:tcMar>
            <w:vAlign w:val="center"/>
          </w:tcPr>
          <w:p w14:paraId="450A9E67" w14:textId="77777777" w:rsidR="009D1A60" w:rsidRDefault="00000000">
            <w:pPr>
              <w:pBdr>
                <w:top w:val="nil"/>
                <w:left w:val="nil"/>
                <w:bottom w:val="nil"/>
                <w:right w:val="nil"/>
                <w:between w:val="nil"/>
              </w:pBdr>
              <w:spacing w:after="0" w:line="240" w:lineRule="auto"/>
              <w:jc w:val="right"/>
              <w:rPr>
                <w:rFonts w:eastAsia="Arial" w:cs="Arial"/>
                <w:color w:val="000000"/>
                <w:sz w:val="16"/>
                <w:szCs w:val="16"/>
              </w:rPr>
            </w:pPr>
            <w:r>
              <w:rPr>
                <w:rFonts w:eastAsia="Arial" w:cs="Arial"/>
                <w:color w:val="000000"/>
                <w:sz w:val="16"/>
                <w:szCs w:val="16"/>
              </w:rPr>
              <w:t>-</w:t>
            </w:r>
          </w:p>
        </w:tc>
      </w:tr>
      <w:tr w:rsidR="009D1A60" w14:paraId="6247CD2F" w14:textId="77777777">
        <w:trPr>
          <w:trHeight w:val="312"/>
        </w:trPr>
        <w:tc>
          <w:tcPr>
            <w:tcW w:w="6799" w:type="dxa"/>
            <w:shd w:val="clear" w:color="auto" w:fill="FAFAFA"/>
            <w:tcMar>
              <w:top w:w="15" w:type="dxa"/>
              <w:left w:w="15" w:type="dxa"/>
              <w:bottom w:w="0" w:type="dxa"/>
              <w:right w:w="15" w:type="dxa"/>
            </w:tcMar>
            <w:vAlign w:val="center"/>
          </w:tcPr>
          <w:p w14:paraId="15B0A2D5" w14:textId="77777777" w:rsidR="009D1A60" w:rsidRDefault="00000000">
            <w:pPr>
              <w:pBdr>
                <w:top w:val="nil"/>
                <w:left w:val="nil"/>
                <w:bottom w:val="nil"/>
                <w:right w:val="nil"/>
                <w:between w:val="nil"/>
              </w:pBdr>
              <w:spacing w:after="0" w:line="240" w:lineRule="auto"/>
              <w:jc w:val="left"/>
              <w:rPr>
                <w:rFonts w:eastAsia="Arial" w:cs="Arial"/>
                <w:color w:val="5E6EC8"/>
                <w:sz w:val="17"/>
                <w:szCs w:val="17"/>
              </w:rPr>
            </w:pPr>
            <w:r>
              <w:rPr>
                <w:rFonts w:eastAsia="Arial" w:cs="Arial"/>
                <w:color w:val="5E6EC8"/>
                <w:sz w:val="17"/>
                <w:szCs w:val="17"/>
              </w:rPr>
              <w:t>Total number of shares owned by the members of the supervisory and management boards</w:t>
            </w:r>
          </w:p>
        </w:tc>
        <w:tc>
          <w:tcPr>
            <w:tcW w:w="1592" w:type="dxa"/>
            <w:shd w:val="clear" w:color="auto" w:fill="FAFAFA"/>
            <w:tcMar>
              <w:top w:w="15" w:type="dxa"/>
              <w:left w:w="57" w:type="dxa"/>
              <w:bottom w:w="0" w:type="dxa"/>
              <w:right w:w="57" w:type="dxa"/>
            </w:tcMar>
            <w:vAlign w:val="center"/>
          </w:tcPr>
          <w:p w14:paraId="34637EC6" w14:textId="77777777" w:rsidR="009D1A60" w:rsidRDefault="00000000">
            <w:pPr>
              <w:pBdr>
                <w:top w:val="nil"/>
                <w:left w:val="nil"/>
                <w:bottom w:val="nil"/>
                <w:right w:val="nil"/>
                <w:between w:val="nil"/>
              </w:pBdr>
              <w:spacing w:after="0" w:line="240" w:lineRule="auto"/>
              <w:jc w:val="right"/>
              <w:rPr>
                <w:rFonts w:eastAsia="Arial" w:cs="Arial"/>
                <w:color w:val="5E6EC8"/>
                <w:sz w:val="16"/>
                <w:szCs w:val="16"/>
              </w:rPr>
            </w:pPr>
            <w:r>
              <w:rPr>
                <w:rFonts w:eastAsia="Arial" w:cs="Arial"/>
                <w:color w:val="5E6EC8"/>
                <w:sz w:val="16"/>
                <w:szCs w:val="16"/>
              </w:rPr>
              <w:t>3,060,595</w:t>
            </w:r>
          </w:p>
        </w:tc>
        <w:tc>
          <w:tcPr>
            <w:tcW w:w="1248" w:type="dxa"/>
            <w:shd w:val="clear" w:color="auto" w:fill="FAFAFA"/>
            <w:tcMar>
              <w:top w:w="15" w:type="dxa"/>
              <w:left w:w="57" w:type="dxa"/>
              <w:bottom w:w="0" w:type="dxa"/>
              <w:right w:w="57" w:type="dxa"/>
            </w:tcMar>
            <w:vAlign w:val="center"/>
          </w:tcPr>
          <w:p w14:paraId="68035103" w14:textId="77777777" w:rsidR="009D1A60" w:rsidRDefault="00000000">
            <w:pPr>
              <w:pBdr>
                <w:top w:val="nil"/>
                <w:left w:val="nil"/>
                <w:bottom w:val="nil"/>
                <w:right w:val="nil"/>
                <w:between w:val="nil"/>
              </w:pBdr>
              <w:spacing w:after="0" w:line="240" w:lineRule="auto"/>
              <w:jc w:val="right"/>
              <w:rPr>
                <w:rFonts w:eastAsia="Arial" w:cs="Arial"/>
                <w:color w:val="5E6EC8"/>
                <w:sz w:val="16"/>
                <w:szCs w:val="16"/>
              </w:rPr>
            </w:pPr>
            <w:r>
              <w:rPr>
                <w:rFonts w:eastAsia="Arial" w:cs="Arial"/>
                <w:color w:val="5E6EC8"/>
                <w:sz w:val="16"/>
                <w:szCs w:val="16"/>
              </w:rPr>
              <w:t>7.91%</w:t>
            </w:r>
          </w:p>
        </w:tc>
      </w:tr>
    </w:tbl>
    <w:p w14:paraId="77976FE5" w14:textId="77777777" w:rsidR="009D1A60" w:rsidRDefault="00000000">
      <w:pPr>
        <w:spacing w:line="259" w:lineRule="auto"/>
        <w:jc w:val="left"/>
        <w:rPr>
          <w:rFonts w:eastAsia="Arial" w:cs="Arial"/>
          <w:smallCaps/>
          <w:color w:val="363270"/>
          <w:sz w:val="32"/>
          <w:szCs w:val="32"/>
        </w:rPr>
      </w:pPr>
      <w:r>
        <w:br w:type="page"/>
      </w:r>
    </w:p>
    <w:p w14:paraId="3A2CA256" w14:textId="77777777" w:rsidR="009D1A60" w:rsidRDefault="00000000">
      <w:pPr>
        <w:pageBreakBefore/>
        <w:pBdr>
          <w:top w:val="nil"/>
          <w:left w:val="nil"/>
          <w:bottom w:val="single" w:sz="24" w:space="30" w:color="363270"/>
          <w:right w:val="nil"/>
          <w:between w:val="nil"/>
        </w:pBdr>
        <w:spacing w:before="960" w:line="264" w:lineRule="auto"/>
        <w:jc w:val="left"/>
        <w:rPr>
          <w:rFonts w:eastAsia="Arial" w:cs="Arial"/>
          <w:smallCaps/>
          <w:color w:val="363270"/>
          <w:sz w:val="56"/>
          <w:szCs w:val="56"/>
        </w:rPr>
      </w:pPr>
      <w:r>
        <w:rPr>
          <w:rFonts w:eastAsia="Arial" w:cs="Arial"/>
          <w:smallCaps/>
          <w:color w:val="363270"/>
          <w:sz w:val="56"/>
          <w:szCs w:val="56"/>
        </w:rPr>
        <w:lastRenderedPageBreak/>
        <w:t>condensed Interim accounting report</w:t>
      </w:r>
    </w:p>
    <w:p w14:paraId="5D5C7FB4" w14:textId="77777777" w:rsidR="009D1A60" w:rsidRDefault="009D1A60">
      <w:pPr>
        <w:spacing w:after="120" w:line="240" w:lineRule="auto"/>
        <w:rPr>
          <w:b/>
          <w:smallCaps/>
          <w:color w:val="1F497D"/>
          <w:sz w:val="32"/>
          <w:szCs w:val="32"/>
        </w:rPr>
      </w:pPr>
    </w:p>
    <w:p w14:paraId="409BFAA7" w14:textId="77777777" w:rsidR="009D1A60" w:rsidRDefault="00000000">
      <w:pPr>
        <w:keepNext/>
        <w:keepLines/>
        <w:pageBreakBefore/>
        <w:pBdr>
          <w:top w:val="nil"/>
          <w:left w:val="nil"/>
          <w:bottom w:val="nil"/>
          <w:right w:val="nil"/>
          <w:between w:val="nil"/>
        </w:pBdr>
        <w:spacing w:after="240" w:line="264" w:lineRule="auto"/>
        <w:jc w:val="left"/>
        <w:rPr>
          <w:rFonts w:eastAsia="Arial" w:cs="Arial"/>
          <w:smallCaps/>
          <w:color w:val="363270"/>
          <w:sz w:val="44"/>
          <w:szCs w:val="44"/>
        </w:rPr>
      </w:pPr>
      <w:r>
        <w:rPr>
          <w:rFonts w:eastAsia="Arial" w:cs="Arial"/>
          <w:smallCaps/>
          <w:color w:val="363270"/>
          <w:sz w:val="44"/>
          <w:szCs w:val="44"/>
        </w:rPr>
        <w:lastRenderedPageBreak/>
        <w:t>Condensed Interim Accounting Report</w:t>
      </w:r>
    </w:p>
    <w:p w14:paraId="3AEB9F7A" w14:textId="77777777" w:rsidR="009D1A60" w:rsidRDefault="00000000">
      <w:pPr>
        <w:pStyle w:val="Heading2"/>
      </w:pPr>
      <w:bookmarkStart w:id="14" w:name="_Toc112873378"/>
      <w:r>
        <w:t>Consolidated Statement of Financial Position</w:t>
      </w:r>
      <w:bookmarkEnd w:id="14"/>
    </w:p>
    <w:tbl>
      <w:tblPr>
        <w:tblStyle w:val="ad"/>
        <w:tblW w:w="9067" w:type="dxa"/>
        <w:tblLayout w:type="fixed"/>
        <w:tblLook w:val="0400" w:firstRow="0" w:lastRow="0" w:firstColumn="0" w:lastColumn="0" w:noHBand="0" w:noVBand="1"/>
      </w:tblPr>
      <w:tblGrid>
        <w:gridCol w:w="4673"/>
        <w:gridCol w:w="1134"/>
        <w:gridCol w:w="1559"/>
        <w:gridCol w:w="1701"/>
      </w:tblGrid>
      <w:tr w:rsidR="009D1A60" w14:paraId="6FD696E1" w14:textId="77777777" w:rsidTr="001A7CB9">
        <w:trPr>
          <w:trHeight w:val="398"/>
        </w:trPr>
        <w:tc>
          <w:tcPr>
            <w:tcW w:w="4673"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7C51D7BE" w14:textId="77777777" w:rsidR="009D1A60" w:rsidRDefault="00000000">
            <w:pPr>
              <w:spacing w:after="0" w:line="240" w:lineRule="auto"/>
              <w:jc w:val="left"/>
              <w:rPr>
                <w:rFonts w:eastAsia="Arial" w:cs="Arial"/>
                <w:color w:val="FFFFFF"/>
                <w:sz w:val="17"/>
                <w:szCs w:val="17"/>
              </w:rPr>
            </w:pPr>
            <w:bookmarkStart w:id="15" w:name="bookmark=id.4i7ojhp" w:colFirst="0" w:colLast="0"/>
            <w:bookmarkEnd w:id="15"/>
            <w:r>
              <w:rPr>
                <w:rFonts w:eastAsia="Arial" w:cs="Arial"/>
                <w:color w:val="FFFFFF"/>
                <w:sz w:val="17"/>
                <w:szCs w:val="17"/>
              </w:rPr>
              <w:t>EUR '000</w:t>
            </w:r>
          </w:p>
        </w:tc>
        <w:tc>
          <w:tcPr>
            <w:tcW w:w="1134" w:type="dxa"/>
            <w:tcBorders>
              <w:top w:val="single" w:sz="4" w:space="0" w:color="FFFFFF"/>
              <w:left w:val="nil"/>
              <w:bottom w:val="single" w:sz="4" w:space="0" w:color="FFFFFF"/>
              <w:right w:val="single" w:sz="4" w:space="0" w:color="FFFFFF"/>
            </w:tcBorders>
            <w:shd w:val="clear" w:color="auto" w:fill="363270"/>
            <w:vAlign w:val="center"/>
          </w:tcPr>
          <w:p w14:paraId="6ACE9EB7"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Note</w:t>
            </w:r>
          </w:p>
        </w:tc>
        <w:tc>
          <w:tcPr>
            <w:tcW w:w="1559" w:type="dxa"/>
            <w:tcBorders>
              <w:top w:val="single" w:sz="4" w:space="0" w:color="FFFFFF"/>
              <w:left w:val="nil"/>
              <w:bottom w:val="single" w:sz="4" w:space="0" w:color="FFFFFF"/>
              <w:right w:val="single" w:sz="4" w:space="0" w:color="FFFFFF"/>
            </w:tcBorders>
            <w:shd w:val="clear" w:color="auto" w:fill="363270"/>
            <w:vAlign w:val="center"/>
          </w:tcPr>
          <w:p w14:paraId="13ABB4B7" w14:textId="77777777" w:rsidR="009D1A60" w:rsidRDefault="00000000">
            <w:pPr>
              <w:spacing w:after="0" w:line="240" w:lineRule="auto"/>
              <w:jc w:val="right"/>
              <w:rPr>
                <w:rFonts w:eastAsia="Arial" w:cs="Arial"/>
                <w:color w:val="FFFFFF"/>
                <w:sz w:val="17"/>
                <w:szCs w:val="17"/>
              </w:rPr>
            </w:pPr>
            <w:r>
              <w:rPr>
                <w:color w:val="FFFFFF"/>
                <w:sz w:val="17"/>
                <w:szCs w:val="17"/>
              </w:rPr>
              <w:t>30.06.2022</w:t>
            </w:r>
          </w:p>
        </w:tc>
        <w:tc>
          <w:tcPr>
            <w:tcW w:w="1701" w:type="dxa"/>
            <w:tcBorders>
              <w:top w:val="single" w:sz="4" w:space="0" w:color="FFFFFF"/>
              <w:left w:val="nil"/>
              <w:bottom w:val="single" w:sz="4" w:space="0" w:color="FFFFFF"/>
              <w:right w:val="single" w:sz="4" w:space="0" w:color="FFFFFF"/>
            </w:tcBorders>
            <w:shd w:val="clear" w:color="auto" w:fill="363270"/>
            <w:vAlign w:val="center"/>
          </w:tcPr>
          <w:p w14:paraId="3D40890D" w14:textId="77777777" w:rsidR="009D1A60" w:rsidRDefault="00000000">
            <w:pPr>
              <w:spacing w:after="0" w:line="240" w:lineRule="auto"/>
              <w:jc w:val="right"/>
              <w:rPr>
                <w:rFonts w:eastAsia="Arial" w:cs="Arial"/>
                <w:color w:val="FFFFFF"/>
                <w:sz w:val="17"/>
                <w:szCs w:val="17"/>
              </w:rPr>
            </w:pPr>
            <w:r>
              <w:rPr>
                <w:color w:val="FFFFFF"/>
                <w:sz w:val="17"/>
                <w:szCs w:val="17"/>
              </w:rPr>
              <w:t>30.06.2021</w:t>
            </w:r>
          </w:p>
        </w:tc>
      </w:tr>
      <w:tr w:rsidR="009D1A60" w14:paraId="116F55E1"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166729CE"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ASSETS</w:t>
            </w:r>
          </w:p>
        </w:tc>
        <w:tc>
          <w:tcPr>
            <w:tcW w:w="1134" w:type="dxa"/>
            <w:tcBorders>
              <w:top w:val="nil"/>
              <w:left w:val="nil"/>
              <w:bottom w:val="single" w:sz="4" w:space="0" w:color="FFFFFF"/>
              <w:right w:val="single" w:sz="4" w:space="0" w:color="FFFFFF"/>
            </w:tcBorders>
            <w:shd w:val="clear" w:color="auto" w:fill="FAFAFA"/>
            <w:vAlign w:val="center"/>
          </w:tcPr>
          <w:p w14:paraId="0EBB8540"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AF3B1AE"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c>
          <w:tcPr>
            <w:tcW w:w="1701" w:type="dxa"/>
            <w:tcBorders>
              <w:top w:val="nil"/>
              <w:left w:val="nil"/>
              <w:bottom w:val="single" w:sz="4" w:space="0" w:color="FFFFFF"/>
              <w:right w:val="single" w:sz="4" w:space="0" w:color="FFFFFF"/>
            </w:tcBorders>
            <w:shd w:val="clear" w:color="auto" w:fill="FAFAFA"/>
            <w:vAlign w:val="center"/>
          </w:tcPr>
          <w:p w14:paraId="01F43A5B"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r>
      <w:tr w:rsidR="009D1A60" w14:paraId="1FB5DC46"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73E61A5" w14:textId="77777777" w:rsidR="009D1A60" w:rsidRDefault="00000000">
            <w:pPr>
              <w:spacing w:after="0" w:line="240" w:lineRule="auto"/>
              <w:jc w:val="left"/>
              <w:rPr>
                <w:rFonts w:eastAsia="Arial" w:cs="Arial"/>
                <w:sz w:val="17"/>
                <w:szCs w:val="17"/>
              </w:rPr>
            </w:pPr>
            <w:r>
              <w:rPr>
                <w:rFonts w:eastAsia="Arial" w:cs="Arial"/>
                <w:sz w:val="17"/>
                <w:szCs w:val="17"/>
              </w:rPr>
              <w:t>Cash and cash equivalents</w:t>
            </w:r>
          </w:p>
        </w:tc>
        <w:tc>
          <w:tcPr>
            <w:tcW w:w="1134" w:type="dxa"/>
            <w:tcBorders>
              <w:top w:val="nil"/>
              <w:left w:val="nil"/>
              <w:bottom w:val="single" w:sz="4" w:space="0" w:color="FFFFFF"/>
              <w:right w:val="single" w:sz="4" w:space="0" w:color="FFFFFF"/>
            </w:tcBorders>
            <w:shd w:val="clear" w:color="auto" w:fill="FAFAFA"/>
            <w:vAlign w:val="center"/>
          </w:tcPr>
          <w:p w14:paraId="2F34DDAB"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2</w:t>
            </w:r>
          </w:p>
        </w:tc>
        <w:tc>
          <w:tcPr>
            <w:tcW w:w="1559" w:type="dxa"/>
            <w:tcBorders>
              <w:top w:val="nil"/>
              <w:left w:val="nil"/>
              <w:bottom w:val="single" w:sz="4" w:space="0" w:color="FFFFFF"/>
              <w:right w:val="single" w:sz="4" w:space="0" w:color="FFFFFF"/>
            </w:tcBorders>
            <w:shd w:val="clear" w:color="auto" w:fill="FAFAFA"/>
            <w:vAlign w:val="center"/>
          </w:tcPr>
          <w:p w14:paraId="1A28C429" w14:textId="77777777" w:rsidR="009D1A60" w:rsidRDefault="00000000">
            <w:pPr>
              <w:spacing w:after="0" w:line="240" w:lineRule="auto"/>
              <w:jc w:val="right"/>
              <w:rPr>
                <w:rFonts w:eastAsia="Arial" w:cs="Arial"/>
                <w:sz w:val="17"/>
                <w:szCs w:val="17"/>
              </w:rPr>
            </w:pPr>
            <w:r>
              <w:rPr>
                <w:color w:val="000000"/>
                <w:sz w:val="17"/>
                <w:szCs w:val="17"/>
              </w:rPr>
              <w:t>118</w:t>
            </w:r>
          </w:p>
        </w:tc>
        <w:tc>
          <w:tcPr>
            <w:tcW w:w="1701" w:type="dxa"/>
            <w:tcBorders>
              <w:top w:val="nil"/>
              <w:left w:val="nil"/>
              <w:bottom w:val="single" w:sz="4" w:space="0" w:color="FFFFFF"/>
              <w:right w:val="single" w:sz="4" w:space="0" w:color="FFFFFF"/>
            </w:tcBorders>
            <w:shd w:val="clear" w:color="auto" w:fill="FAFAFA"/>
            <w:vAlign w:val="center"/>
          </w:tcPr>
          <w:p w14:paraId="28FA26F9" w14:textId="77777777" w:rsidR="009D1A60" w:rsidRDefault="00000000">
            <w:pPr>
              <w:spacing w:after="0" w:line="240" w:lineRule="auto"/>
              <w:jc w:val="right"/>
              <w:rPr>
                <w:rFonts w:ascii="Helvetica Neue" w:eastAsia="Helvetica Neue" w:hAnsi="Helvetica Neue" w:cs="Helvetica Neue"/>
                <w:sz w:val="16"/>
                <w:szCs w:val="16"/>
              </w:rPr>
            </w:pPr>
            <w:r>
              <w:rPr>
                <w:sz w:val="17"/>
                <w:szCs w:val="17"/>
              </w:rPr>
              <w:t>2 500</w:t>
            </w:r>
          </w:p>
        </w:tc>
      </w:tr>
      <w:tr w:rsidR="009D1A60" w14:paraId="256CE45B"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1ED03DA7" w14:textId="77777777" w:rsidR="009D1A60" w:rsidRDefault="00000000">
            <w:pPr>
              <w:spacing w:after="0" w:line="240" w:lineRule="auto"/>
              <w:jc w:val="left"/>
              <w:rPr>
                <w:rFonts w:eastAsia="Arial" w:cs="Arial"/>
                <w:sz w:val="17"/>
                <w:szCs w:val="17"/>
              </w:rPr>
            </w:pPr>
            <w:r>
              <w:rPr>
                <w:rFonts w:eastAsia="Arial" w:cs="Arial"/>
                <w:sz w:val="17"/>
                <w:szCs w:val="17"/>
              </w:rPr>
              <w:t>Receivables and prepayments</w:t>
            </w:r>
          </w:p>
        </w:tc>
        <w:tc>
          <w:tcPr>
            <w:tcW w:w="1134" w:type="dxa"/>
            <w:tcBorders>
              <w:top w:val="nil"/>
              <w:left w:val="nil"/>
              <w:bottom w:val="single" w:sz="4" w:space="0" w:color="FFFFFF"/>
              <w:right w:val="single" w:sz="4" w:space="0" w:color="FFFFFF"/>
            </w:tcBorders>
            <w:shd w:val="clear" w:color="auto" w:fill="FAFAFA"/>
            <w:vAlign w:val="center"/>
          </w:tcPr>
          <w:p w14:paraId="35D9E970"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03DD4941" w14:textId="77777777" w:rsidR="009D1A60" w:rsidRDefault="00000000">
            <w:pPr>
              <w:spacing w:after="0" w:line="240" w:lineRule="auto"/>
              <w:jc w:val="right"/>
              <w:rPr>
                <w:rFonts w:eastAsia="Arial" w:cs="Arial"/>
                <w:sz w:val="17"/>
                <w:szCs w:val="17"/>
              </w:rPr>
            </w:pPr>
            <w:r>
              <w:rPr>
                <w:color w:val="000000"/>
                <w:sz w:val="17"/>
                <w:szCs w:val="17"/>
              </w:rPr>
              <w:t>3 253</w:t>
            </w:r>
          </w:p>
        </w:tc>
        <w:tc>
          <w:tcPr>
            <w:tcW w:w="1701" w:type="dxa"/>
            <w:tcBorders>
              <w:top w:val="nil"/>
              <w:left w:val="nil"/>
              <w:bottom w:val="single" w:sz="4" w:space="0" w:color="FFFFFF"/>
              <w:right w:val="single" w:sz="4" w:space="0" w:color="FFFFFF"/>
            </w:tcBorders>
            <w:shd w:val="clear" w:color="auto" w:fill="FAFAFA"/>
            <w:vAlign w:val="center"/>
          </w:tcPr>
          <w:p w14:paraId="5B4FF4BD" w14:textId="77777777" w:rsidR="009D1A60" w:rsidRDefault="00000000">
            <w:pPr>
              <w:spacing w:after="0" w:line="240" w:lineRule="auto"/>
              <w:jc w:val="right"/>
              <w:rPr>
                <w:rFonts w:ascii="Helvetica Neue" w:eastAsia="Helvetica Neue" w:hAnsi="Helvetica Neue" w:cs="Helvetica Neue"/>
                <w:sz w:val="16"/>
                <w:szCs w:val="16"/>
              </w:rPr>
            </w:pPr>
            <w:r>
              <w:rPr>
                <w:sz w:val="17"/>
                <w:szCs w:val="17"/>
              </w:rPr>
              <w:t>3 512</w:t>
            </w:r>
          </w:p>
        </w:tc>
      </w:tr>
      <w:tr w:rsidR="009D1A60" w14:paraId="15123DB7"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5D814DE6" w14:textId="77777777" w:rsidR="009D1A60" w:rsidRDefault="00000000">
            <w:pPr>
              <w:spacing w:after="0" w:line="240" w:lineRule="auto"/>
              <w:jc w:val="left"/>
              <w:rPr>
                <w:rFonts w:eastAsia="Arial" w:cs="Arial"/>
                <w:sz w:val="17"/>
                <w:szCs w:val="17"/>
              </w:rPr>
            </w:pPr>
            <w:r>
              <w:rPr>
                <w:rFonts w:eastAsia="Arial" w:cs="Arial"/>
                <w:sz w:val="17"/>
                <w:szCs w:val="17"/>
              </w:rPr>
              <w:t>Inventories</w:t>
            </w:r>
          </w:p>
        </w:tc>
        <w:tc>
          <w:tcPr>
            <w:tcW w:w="1134" w:type="dxa"/>
            <w:tcBorders>
              <w:top w:val="nil"/>
              <w:left w:val="nil"/>
              <w:bottom w:val="single" w:sz="4" w:space="0" w:color="FFFFFF"/>
              <w:right w:val="single" w:sz="4" w:space="0" w:color="FFFFFF"/>
            </w:tcBorders>
            <w:shd w:val="clear" w:color="auto" w:fill="FAFAFA"/>
            <w:vAlign w:val="center"/>
          </w:tcPr>
          <w:p w14:paraId="44965E66"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57B053D5" w14:textId="77777777" w:rsidR="009D1A60" w:rsidRDefault="00000000">
            <w:pPr>
              <w:spacing w:after="0" w:line="240" w:lineRule="auto"/>
              <w:jc w:val="right"/>
              <w:rPr>
                <w:rFonts w:eastAsia="Arial" w:cs="Arial"/>
                <w:sz w:val="17"/>
                <w:szCs w:val="17"/>
              </w:rPr>
            </w:pPr>
            <w:r>
              <w:rPr>
                <w:color w:val="000000"/>
                <w:sz w:val="17"/>
                <w:szCs w:val="17"/>
              </w:rPr>
              <w:t>2 196</w:t>
            </w:r>
          </w:p>
        </w:tc>
        <w:tc>
          <w:tcPr>
            <w:tcW w:w="1701" w:type="dxa"/>
            <w:tcBorders>
              <w:top w:val="nil"/>
              <w:left w:val="nil"/>
              <w:bottom w:val="single" w:sz="4" w:space="0" w:color="FFFFFF"/>
              <w:right w:val="single" w:sz="4" w:space="0" w:color="FFFFFF"/>
            </w:tcBorders>
            <w:shd w:val="clear" w:color="auto" w:fill="FAFAFA"/>
            <w:vAlign w:val="center"/>
          </w:tcPr>
          <w:p w14:paraId="228CF7FC" w14:textId="77777777" w:rsidR="009D1A60" w:rsidRDefault="00000000">
            <w:pPr>
              <w:spacing w:after="0" w:line="240" w:lineRule="auto"/>
              <w:jc w:val="right"/>
              <w:rPr>
                <w:rFonts w:ascii="Helvetica Neue" w:eastAsia="Helvetica Neue" w:hAnsi="Helvetica Neue" w:cs="Helvetica Neue"/>
                <w:sz w:val="16"/>
                <w:szCs w:val="16"/>
              </w:rPr>
            </w:pPr>
            <w:r>
              <w:rPr>
                <w:sz w:val="17"/>
                <w:szCs w:val="17"/>
              </w:rPr>
              <w:t>5 691</w:t>
            </w:r>
          </w:p>
        </w:tc>
      </w:tr>
      <w:tr w:rsidR="009D1A60" w14:paraId="4E9EBBCD"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7D64DAC" w14:textId="77777777" w:rsidR="009D1A60" w:rsidRDefault="00000000">
            <w:pPr>
              <w:spacing w:after="0" w:line="240" w:lineRule="auto"/>
              <w:jc w:val="left"/>
              <w:rPr>
                <w:rFonts w:eastAsia="Arial" w:cs="Arial"/>
                <w:sz w:val="17"/>
                <w:szCs w:val="17"/>
              </w:rPr>
            </w:pPr>
            <w:r>
              <w:rPr>
                <w:rFonts w:eastAsia="Arial" w:cs="Arial"/>
                <w:sz w:val="17"/>
                <w:szCs w:val="17"/>
              </w:rPr>
              <w:t>Biological assets</w:t>
            </w:r>
          </w:p>
        </w:tc>
        <w:tc>
          <w:tcPr>
            <w:tcW w:w="1134" w:type="dxa"/>
            <w:tcBorders>
              <w:top w:val="nil"/>
              <w:left w:val="nil"/>
              <w:bottom w:val="single" w:sz="4" w:space="0" w:color="FFFFFF"/>
              <w:right w:val="single" w:sz="4" w:space="0" w:color="FFFFFF"/>
            </w:tcBorders>
            <w:shd w:val="clear" w:color="auto" w:fill="FAFAFA"/>
            <w:vAlign w:val="center"/>
          </w:tcPr>
          <w:p w14:paraId="736EC887"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3</w:t>
            </w:r>
          </w:p>
        </w:tc>
        <w:tc>
          <w:tcPr>
            <w:tcW w:w="1559" w:type="dxa"/>
            <w:tcBorders>
              <w:top w:val="nil"/>
              <w:left w:val="nil"/>
              <w:bottom w:val="single" w:sz="4" w:space="0" w:color="FFFFFF"/>
              <w:right w:val="single" w:sz="4" w:space="0" w:color="FFFFFF"/>
            </w:tcBorders>
            <w:shd w:val="clear" w:color="auto" w:fill="FAFAFA"/>
            <w:vAlign w:val="center"/>
          </w:tcPr>
          <w:p w14:paraId="7C0FC56C" w14:textId="77777777" w:rsidR="009D1A60" w:rsidRDefault="00000000">
            <w:pPr>
              <w:spacing w:after="0" w:line="240" w:lineRule="auto"/>
              <w:jc w:val="right"/>
              <w:rPr>
                <w:rFonts w:eastAsia="Arial" w:cs="Arial"/>
                <w:sz w:val="17"/>
                <w:szCs w:val="17"/>
              </w:rPr>
            </w:pPr>
            <w:r>
              <w:rPr>
                <w:color w:val="000000"/>
                <w:sz w:val="17"/>
                <w:szCs w:val="17"/>
              </w:rPr>
              <w:t>3 003</w:t>
            </w:r>
          </w:p>
        </w:tc>
        <w:tc>
          <w:tcPr>
            <w:tcW w:w="1701" w:type="dxa"/>
            <w:tcBorders>
              <w:top w:val="nil"/>
              <w:left w:val="nil"/>
              <w:bottom w:val="single" w:sz="4" w:space="0" w:color="FFFFFF"/>
              <w:right w:val="single" w:sz="4" w:space="0" w:color="FFFFFF"/>
            </w:tcBorders>
            <w:shd w:val="clear" w:color="auto" w:fill="FAFAFA"/>
            <w:vAlign w:val="center"/>
          </w:tcPr>
          <w:p w14:paraId="0415AD1C" w14:textId="77777777" w:rsidR="009D1A60" w:rsidRDefault="00000000">
            <w:pPr>
              <w:spacing w:after="0" w:line="240" w:lineRule="auto"/>
              <w:jc w:val="right"/>
              <w:rPr>
                <w:rFonts w:ascii="Helvetica Neue" w:eastAsia="Helvetica Neue" w:hAnsi="Helvetica Neue" w:cs="Helvetica Neue"/>
                <w:sz w:val="16"/>
                <w:szCs w:val="16"/>
              </w:rPr>
            </w:pPr>
            <w:r>
              <w:rPr>
                <w:sz w:val="17"/>
                <w:szCs w:val="17"/>
              </w:rPr>
              <w:t>4 795</w:t>
            </w:r>
          </w:p>
        </w:tc>
      </w:tr>
      <w:tr w:rsidR="009D1A60" w14:paraId="35FA6E3E"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A977CE4"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current assets</w:t>
            </w:r>
          </w:p>
        </w:tc>
        <w:tc>
          <w:tcPr>
            <w:tcW w:w="1134" w:type="dxa"/>
            <w:tcBorders>
              <w:top w:val="nil"/>
              <w:left w:val="nil"/>
              <w:bottom w:val="single" w:sz="4" w:space="0" w:color="FFFFFF"/>
              <w:right w:val="single" w:sz="4" w:space="0" w:color="FFFFFF"/>
            </w:tcBorders>
            <w:shd w:val="clear" w:color="auto" w:fill="FAFAFA"/>
            <w:vAlign w:val="center"/>
          </w:tcPr>
          <w:p w14:paraId="609F135D"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1B6BD23" w14:textId="77777777" w:rsidR="009D1A60" w:rsidRDefault="00000000">
            <w:pPr>
              <w:spacing w:after="0" w:line="240" w:lineRule="auto"/>
              <w:jc w:val="right"/>
              <w:rPr>
                <w:rFonts w:eastAsia="Arial" w:cs="Arial"/>
                <w:b/>
                <w:color w:val="5E6EC8"/>
                <w:sz w:val="17"/>
                <w:szCs w:val="17"/>
              </w:rPr>
            </w:pPr>
            <w:r>
              <w:rPr>
                <w:b/>
                <w:color w:val="5E6EC8"/>
                <w:sz w:val="17"/>
                <w:szCs w:val="17"/>
              </w:rPr>
              <w:t>8 570</w:t>
            </w:r>
          </w:p>
        </w:tc>
        <w:tc>
          <w:tcPr>
            <w:tcW w:w="1701" w:type="dxa"/>
            <w:tcBorders>
              <w:top w:val="nil"/>
              <w:left w:val="nil"/>
              <w:bottom w:val="single" w:sz="4" w:space="0" w:color="FFFFFF"/>
              <w:right w:val="single" w:sz="4" w:space="0" w:color="FFFFFF"/>
            </w:tcBorders>
            <w:shd w:val="clear" w:color="auto" w:fill="FAFAFA"/>
            <w:vAlign w:val="center"/>
          </w:tcPr>
          <w:p w14:paraId="6A82C632" w14:textId="77777777" w:rsidR="009D1A60" w:rsidRDefault="00000000">
            <w:pPr>
              <w:spacing w:after="0" w:line="240" w:lineRule="auto"/>
              <w:jc w:val="right"/>
              <w:rPr>
                <w:rFonts w:eastAsia="Arial" w:cs="Arial"/>
                <w:b/>
                <w:color w:val="5E6EC8"/>
                <w:sz w:val="17"/>
                <w:szCs w:val="17"/>
              </w:rPr>
            </w:pPr>
            <w:r>
              <w:rPr>
                <w:b/>
                <w:color w:val="5E6EC8"/>
                <w:sz w:val="17"/>
                <w:szCs w:val="17"/>
              </w:rPr>
              <w:t>16 498</w:t>
            </w:r>
          </w:p>
        </w:tc>
      </w:tr>
      <w:tr w:rsidR="009D1A60" w14:paraId="55A7D8B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63640096"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0E775FF3"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4A89E82"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c>
          <w:tcPr>
            <w:tcW w:w="1701" w:type="dxa"/>
            <w:tcBorders>
              <w:top w:val="nil"/>
              <w:left w:val="nil"/>
              <w:bottom w:val="single" w:sz="4" w:space="0" w:color="FFFFFF"/>
              <w:right w:val="single" w:sz="4" w:space="0" w:color="FFFFFF"/>
            </w:tcBorders>
            <w:shd w:val="clear" w:color="auto" w:fill="FAFAFA"/>
            <w:vAlign w:val="center"/>
          </w:tcPr>
          <w:p w14:paraId="23D5A1AB"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r>
      <w:tr w:rsidR="009D1A60" w14:paraId="130AA88C"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2330C14A" w14:textId="77777777" w:rsidR="009D1A60" w:rsidRDefault="00000000">
            <w:pPr>
              <w:spacing w:after="0" w:line="240" w:lineRule="auto"/>
              <w:jc w:val="left"/>
              <w:rPr>
                <w:rFonts w:eastAsia="Arial" w:cs="Arial"/>
                <w:sz w:val="17"/>
                <w:szCs w:val="17"/>
              </w:rPr>
            </w:pPr>
            <w:r>
              <w:rPr>
                <w:rFonts w:eastAsia="Arial" w:cs="Arial"/>
                <w:sz w:val="17"/>
                <w:szCs w:val="17"/>
              </w:rPr>
              <w:t>Deferred tax assets</w:t>
            </w:r>
          </w:p>
        </w:tc>
        <w:tc>
          <w:tcPr>
            <w:tcW w:w="1134" w:type="dxa"/>
            <w:tcBorders>
              <w:top w:val="nil"/>
              <w:left w:val="nil"/>
              <w:bottom w:val="single" w:sz="4" w:space="0" w:color="FFFFFF"/>
              <w:right w:val="single" w:sz="4" w:space="0" w:color="FFFFFF"/>
            </w:tcBorders>
            <w:shd w:val="clear" w:color="auto" w:fill="FAFAFA"/>
            <w:vAlign w:val="center"/>
          </w:tcPr>
          <w:p w14:paraId="2073F632"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BB8AC7D" w14:textId="77777777" w:rsidR="009D1A60" w:rsidRDefault="00000000">
            <w:pPr>
              <w:spacing w:after="0" w:line="240" w:lineRule="auto"/>
              <w:jc w:val="right"/>
              <w:rPr>
                <w:rFonts w:eastAsia="Arial" w:cs="Arial"/>
                <w:sz w:val="17"/>
                <w:szCs w:val="17"/>
              </w:rPr>
            </w:pPr>
            <w:r>
              <w:rPr>
                <w:color w:val="000000"/>
                <w:sz w:val="17"/>
                <w:szCs w:val="17"/>
              </w:rPr>
              <w:t>0</w:t>
            </w:r>
          </w:p>
        </w:tc>
        <w:tc>
          <w:tcPr>
            <w:tcW w:w="1701" w:type="dxa"/>
            <w:tcBorders>
              <w:top w:val="nil"/>
              <w:left w:val="nil"/>
              <w:bottom w:val="single" w:sz="4" w:space="0" w:color="FFFFFF"/>
              <w:right w:val="single" w:sz="4" w:space="0" w:color="FFFFFF"/>
            </w:tcBorders>
            <w:shd w:val="clear" w:color="auto" w:fill="FAFAFA"/>
            <w:vAlign w:val="center"/>
          </w:tcPr>
          <w:p w14:paraId="16BE0676" w14:textId="77777777" w:rsidR="009D1A60" w:rsidRDefault="00000000">
            <w:pPr>
              <w:spacing w:after="0" w:line="240" w:lineRule="auto"/>
              <w:jc w:val="right"/>
              <w:rPr>
                <w:rFonts w:eastAsia="Arial" w:cs="Arial"/>
                <w:sz w:val="17"/>
                <w:szCs w:val="17"/>
              </w:rPr>
            </w:pPr>
            <w:r>
              <w:rPr>
                <w:sz w:val="17"/>
                <w:szCs w:val="17"/>
              </w:rPr>
              <w:t>38</w:t>
            </w:r>
          </w:p>
        </w:tc>
      </w:tr>
      <w:tr w:rsidR="009D1A60" w14:paraId="0CFAA142"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1AF0C7DF" w14:textId="77777777" w:rsidR="009D1A60" w:rsidRDefault="00000000">
            <w:pPr>
              <w:spacing w:after="0" w:line="240" w:lineRule="auto"/>
              <w:jc w:val="left"/>
              <w:rPr>
                <w:rFonts w:eastAsia="Arial" w:cs="Arial"/>
                <w:sz w:val="17"/>
                <w:szCs w:val="17"/>
              </w:rPr>
            </w:pPr>
            <w:r>
              <w:rPr>
                <w:rFonts w:eastAsia="Arial" w:cs="Arial"/>
                <w:sz w:val="17"/>
                <w:szCs w:val="17"/>
              </w:rPr>
              <w:t>Long-term financial investments</w:t>
            </w:r>
          </w:p>
        </w:tc>
        <w:tc>
          <w:tcPr>
            <w:tcW w:w="1134" w:type="dxa"/>
            <w:tcBorders>
              <w:top w:val="nil"/>
              <w:left w:val="nil"/>
              <w:bottom w:val="single" w:sz="4" w:space="0" w:color="FFFFFF"/>
              <w:right w:val="single" w:sz="4" w:space="0" w:color="FFFFFF"/>
            </w:tcBorders>
            <w:shd w:val="clear" w:color="auto" w:fill="FAFAFA"/>
            <w:vAlign w:val="center"/>
          </w:tcPr>
          <w:p w14:paraId="223074A7"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37F7FED0" w14:textId="77777777" w:rsidR="009D1A60" w:rsidRDefault="00000000">
            <w:pPr>
              <w:spacing w:after="0" w:line="240" w:lineRule="auto"/>
              <w:jc w:val="right"/>
              <w:rPr>
                <w:rFonts w:eastAsia="Arial" w:cs="Arial"/>
                <w:sz w:val="17"/>
                <w:szCs w:val="17"/>
              </w:rPr>
            </w:pPr>
            <w:r>
              <w:rPr>
                <w:color w:val="000000"/>
                <w:sz w:val="17"/>
                <w:szCs w:val="17"/>
              </w:rPr>
              <w:t>323</w:t>
            </w:r>
          </w:p>
        </w:tc>
        <w:tc>
          <w:tcPr>
            <w:tcW w:w="1701" w:type="dxa"/>
            <w:tcBorders>
              <w:top w:val="nil"/>
              <w:left w:val="nil"/>
              <w:bottom w:val="single" w:sz="4" w:space="0" w:color="FFFFFF"/>
              <w:right w:val="single" w:sz="4" w:space="0" w:color="FFFFFF"/>
            </w:tcBorders>
            <w:shd w:val="clear" w:color="auto" w:fill="FAFAFA"/>
            <w:vAlign w:val="center"/>
          </w:tcPr>
          <w:p w14:paraId="3FF74ABA" w14:textId="77777777" w:rsidR="009D1A60" w:rsidRDefault="00000000">
            <w:pPr>
              <w:spacing w:after="0" w:line="240" w:lineRule="auto"/>
              <w:jc w:val="right"/>
              <w:rPr>
                <w:rFonts w:eastAsia="Arial" w:cs="Arial"/>
                <w:sz w:val="17"/>
                <w:szCs w:val="17"/>
              </w:rPr>
            </w:pPr>
            <w:r>
              <w:rPr>
                <w:sz w:val="17"/>
                <w:szCs w:val="17"/>
              </w:rPr>
              <w:t>302</w:t>
            </w:r>
          </w:p>
        </w:tc>
      </w:tr>
      <w:tr w:rsidR="009D1A60" w14:paraId="450553EA"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060912BC" w14:textId="77777777" w:rsidR="009D1A60" w:rsidRDefault="00000000">
            <w:pPr>
              <w:spacing w:after="0" w:line="240" w:lineRule="auto"/>
              <w:jc w:val="left"/>
              <w:rPr>
                <w:rFonts w:eastAsia="Arial" w:cs="Arial"/>
                <w:sz w:val="17"/>
                <w:szCs w:val="17"/>
              </w:rPr>
            </w:pPr>
            <w:r>
              <w:rPr>
                <w:rFonts w:eastAsia="Arial" w:cs="Arial"/>
                <w:sz w:val="17"/>
                <w:szCs w:val="17"/>
              </w:rPr>
              <w:t>Tangible assets</w:t>
            </w:r>
          </w:p>
        </w:tc>
        <w:tc>
          <w:tcPr>
            <w:tcW w:w="1134" w:type="dxa"/>
            <w:tcBorders>
              <w:top w:val="nil"/>
              <w:left w:val="nil"/>
              <w:bottom w:val="single" w:sz="4" w:space="0" w:color="FFFFFF"/>
              <w:right w:val="single" w:sz="4" w:space="0" w:color="FFFFFF"/>
            </w:tcBorders>
            <w:shd w:val="clear" w:color="auto" w:fill="FAFAFA"/>
            <w:vAlign w:val="center"/>
          </w:tcPr>
          <w:p w14:paraId="25205ACA"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6547BC77" w14:textId="77777777" w:rsidR="009D1A60" w:rsidRDefault="00000000">
            <w:pPr>
              <w:spacing w:after="0" w:line="240" w:lineRule="auto"/>
              <w:jc w:val="right"/>
              <w:rPr>
                <w:rFonts w:eastAsia="Arial" w:cs="Arial"/>
                <w:sz w:val="17"/>
                <w:szCs w:val="17"/>
              </w:rPr>
            </w:pPr>
            <w:r>
              <w:rPr>
                <w:color w:val="000000"/>
                <w:sz w:val="17"/>
                <w:szCs w:val="17"/>
              </w:rPr>
              <w:t>9 551</w:t>
            </w:r>
          </w:p>
        </w:tc>
        <w:tc>
          <w:tcPr>
            <w:tcW w:w="1701" w:type="dxa"/>
            <w:tcBorders>
              <w:top w:val="nil"/>
              <w:left w:val="nil"/>
              <w:bottom w:val="single" w:sz="4" w:space="0" w:color="FFFFFF"/>
              <w:right w:val="single" w:sz="4" w:space="0" w:color="FFFFFF"/>
            </w:tcBorders>
            <w:shd w:val="clear" w:color="auto" w:fill="FAFAFA"/>
            <w:vAlign w:val="center"/>
          </w:tcPr>
          <w:p w14:paraId="0C160D35" w14:textId="77777777" w:rsidR="009D1A60" w:rsidRDefault="00000000">
            <w:pPr>
              <w:spacing w:after="0" w:line="240" w:lineRule="auto"/>
              <w:jc w:val="right"/>
              <w:rPr>
                <w:rFonts w:eastAsia="Arial" w:cs="Arial"/>
                <w:sz w:val="17"/>
                <w:szCs w:val="17"/>
              </w:rPr>
            </w:pPr>
            <w:r>
              <w:rPr>
                <w:sz w:val="17"/>
                <w:szCs w:val="17"/>
              </w:rPr>
              <w:t>15 300</w:t>
            </w:r>
          </w:p>
        </w:tc>
      </w:tr>
      <w:tr w:rsidR="009D1A60" w14:paraId="347BA62A"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871118B" w14:textId="77777777" w:rsidR="009D1A60" w:rsidRDefault="00000000">
            <w:pPr>
              <w:spacing w:after="0" w:line="240" w:lineRule="auto"/>
              <w:jc w:val="left"/>
              <w:rPr>
                <w:rFonts w:eastAsia="Arial" w:cs="Arial"/>
                <w:sz w:val="17"/>
                <w:szCs w:val="17"/>
              </w:rPr>
            </w:pPr>
            <w:r>
              <w:rPr>
                <w:rFonts w:eastAsia="Arial" w:cs="Arial"/>
                <w:sz w:val="17"/>
                <w:szCs w:val="17"/>
              </w:rPr>
              <w:t>Intangible assets</w:t>
            </w:r>
          </w:p>
        </w:tc>
        <w:tc>
          <w:tcPr>
            <w:tcW w:w="1134" w:type="dxa"/>
            <w:tcBorders>
              <w:top w:val="nil"/>
              <w:left w:val="nil"/>
              <w:bottom w:val="single" w:sz="4" w:space="0" w:color="FFFFFF"/>
              <w:right w:val="single" w:sz="4" w:space="0" w:color="FFFFFF"/>
            </w:tcBorders>
            <w:shd w:val="clear" w:color="auto" w:fill="FAFAFA"/>
            <w:vAlign w:val="center"/>
          </w:tcPr>
          <w:p w14:paraId="24BB0406"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35961DD7" w14:textId="77777777" w:rsidR="009D1A60" w:rsidRDefault="00000000">
            <w:pPr>
              <w:spacing w:after="0" w:line="240" w:lineRule="auto"/>
              <w:jc w:val="right"/>
              <w:rPr>
                <w:rFonts w:eastAsia="Arial" w:cs="Arial"/>
                <w:sz w:val="17"/>
                <w:szCs w:val="17"/>
              </w:rPr>
            </w:pPr>
            <w:r>
              <w:rPr>
                <w:color w:val="000000"/>
                <w:sz w:val="17"/>
                <w:szCs w:val="17"/>
              </w:rPr>
              <w:t>19 788</w:t>
            </w:r>
          </w:p>
        </w:tc>
        <w:tc>
          <w:tcPr>
            <w:tcW w:w="1701" w:type="dxa"/>
            <w:tcBorders>
              <w:top w:val="nil"/>
              <w:left w:val="nil"/>
              <w:bottom w:val="single" w:sz="4" w:space="0" w:color="FFFFFF"/>
              <w:right w:val="single" w:sz="4" w:space="0" w:color="FFFFFF"/>
            </w:tcBorders>
            <w:shd w:val="clear" w:color="auto" w:fill="FAFAFA"/>
            <w:vAlign w:val="center"/>
          </w:tcPr>
          <w:p w14:paraId="5B039BC4" w14:textId="77777777" w:rsidR="009D1A60" w:rsidRDefault="00000000">
            <w:pPr>
              <w:spacing w:after="0" w:line="240" w:lineRule="auto"/>
              <w:jc w:val="right"/>
              <w:rPr>
                <w:rFonts w:eastAsia="Arial" w:cs="Arial"/>
                <w:sz w:val="17"/>
                <w:szCs w:val="17"/>
              </w:rPr>
            </w:pPr>
            <w:r>
              <w:rPr>
                <w:sz w:val="17"/>
                <w:szCs w:val="17"/>
              </w:rPr>
              <w:t>23 460</w:t>
            </w:r>
          </w:p>
        </w:tc>
      </w:tr>
      <w:tr w:rsidR="009D1A60" w14:paraId="1EB00B94"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06A26BAF"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non-current assets</w:t>
            </w:r>
          </w:p>
        </w:tc>
        <w:tc>
          <w:tcPr>
            <w:tcW w:w="1134" w:type="dxa"/>
            <w:tcBorders>
              <w:top w:val="nil"/>
              <w:left w:val="nil"/>
              <w:bottom w:val="single" w:sz="4" w:space="0" w:color="FFFFFF"/>
              <w:right w:val="single" w:sz="4" w:space="0" w:color="FFFFFF"/>
            </w:tcBorders>
            <w:shd w:val="clear" w:color="auto" w:fill="FAFAFA"/>
            <w:vAlign w:val="center"/>
          </w:tcPr>
          <w:p w14:paraId="2009C48F"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31C66D54" w14:textId="77777777" w:rsidR="009D1A60" w:rsidRDefault="00000000">
            <w:pPr>
              <w:spacing w:after="0" w:line="240" w:lineRule="auto"/>
              <w:jc w:val="right"/>
              <w:rPr>
                <w:rFonts w:eastAsia="Arial" w:cs="Arial"/>
                <w:b/>
                <w:color w:val="5E6EC8"/>
                <w:sz w:val="17"/>
                <w:szCs w:val="17"/>
              </w:rPr>
            </w:pPr>
            <w:r>
              <w:rPr>
                <w:b/>
                <w:color w:val="5E6EC8"/>
                <w:sz w:val="17"/>
                <w:szCs w:val="17"/>
              </w:rPr>
              <w:t>29 662</w:t>
            </w:r>
          </w:p>
        </w:tc>
        <w:tc>
          <w:tcPr>
            <w:tcW w:w="1701" w:type="dxa"/>
            <w:tcBorders>
              <w:top w:val="nil"/>
              <w:left w:val="nil"/>
              <w:bottom w:val="single" w:sz="4" w:space="0" w:color="FFFFFF"/>
              <w:right w:val="single" w:sz="4" w:space="0" w:color="FFFFFF"/>
            </w:tcBorders>
            <w:shd w:val="clear" w:color="auto" w:fill="FAFAFA"/>
            <w:vAlign w:val="center"/>
          </w:tcPr>
          <w:p w14:paraId="245CFF04" w14:textId="77777777" w:rsidR="009D1A60" w:rsidRDefault="00000000">
            <w:pPr>
              <w:spacing w:after="0" w:line="240" w:lineRule="auto"/>
              <w:jc w:val="right"/>
              <w:rPr>
                <w:rFonts w:eastAsia="Arial" w:cs="Arial"/>
                <w:b/>
                <w:color w:val="5E6EC8"/>
                <w:sz w:val="17"/>
                <w:szCs w:val="17"/>
              </w:rPr>
            </w:pPr>
            <w:r>
              <w:rPr>
                <w:b/>
                <w:color w:val="5E6EC8"/>
                <w:sz w:val="17"/>
                <w:szCs w:val="17"/>
              </w:rPr>
              <w:t>39 100</w:t>
            </w:r>
          </w:p>
        </w:tc>
      </w:tr>
      <w:tr w:rsidR="009D1A60" w14:paraId="579D2CB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62B8FF69"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ASSETS</w:t>
            </w:r>
          </w:p>
        </w:tc>
        <w:tc>
          <w:tcPr>
            <w:tcW w:w="1134" w:type="dxa"/>
            <w:tcBorders>
              <w:top w:val="nil"/>
              <w:left w:val="nil"/>
              <w:bottom w:val="single" w:sz="4" w:space="0" w:color="FFFFFF"/>
              <w:right w:val="single" w:sz="4" w:space="0" w:color="FFFFFF"/>
            </w:tcBorders>
            <w:shd w:val="clear" w:color="auto" w:fill="FAFAFA"/>
            <w:vAlign w:val="center"/>
          </w:tcPr>
          <w:p w14:paraId="6E2B4665"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D387613" w14:textId="77777777" w:rsidR="009D1A60" w:rsidRDefault="00000000">
            <w:pPr>
              <w:spacing w:after="0" w:line="240" w:lineRule="auto"/>
              <w:jc w:val="right"/>
              <w:rPr>
                <w:rFonts w:eastAsia="Arial" w:cs="Arial"/>
                <w:b/>
                <w:color w:val="5E6EC8"/>
                <w:sz w:val="17"/>
                <w:szCs w:val="17"/>
              </w:rPr>
            </w:pPr>
            <w:r>
              <w:rPr>
                <w:b/>
                <w:color w:val="5E6EC8"/>
                <w:sz w:val="17"/>
                <w:szCs w:val="17"/>
              </w:rPr>
              <w:t>38 232</w:t>
            </w:r>
          </w:p>
        </w:tc>
        <w:tc>
          <w:tcPr>
            <w:tcW w:w="1701" w:type="dxa"/>
            <w:tcBorders>
              <w:top w:val="nil"/>
              <w:left w:val="nil"/>
              <w:bottom w:val="single" w:sz="4" w:space="0" w:color="FFFFFF"/>
              <w:right w:val="single" w:sz="4" w:space="0" w:color="FFFFFF"/>
            </w:tcBorders>
            <w:shd w:val="clear" w:color="auto" w:fill="FAFAFA"/>
            <w:vAlign w:val="center"/>
          </w:tcPr>
          <w:p w14:paraId="4A16613D" w14:textId="77777777" w:rsidR="009D1A60" w:rsidRDefault="00000000">
            <w:pPr>
              <w:spacing w:after="0" w:line="240" w:lineRule="auto"/>
              <w:jc w:val="right"/>
              <w:rPr>
                <w:rFonts w:eastAsia="Arial" w:cs="Arial"/>
                <w:b/>
                <w:color w:val="5E6EC8"/>
                <w:sz w:val="17"/>
                <w:szCs w:val="17"/>
              </w:rPr>
            </w:pPr>
            <w:r>
              <w:rPr>
                <w:b/>
                <w:color w:val="5E6EC8"/>
                <w:sz w:val="17"/>
                <w:szCs w:val="17"/>
              </w:rPr>
              <w:t>55 598</w:t>
            </w:r>
          </w:p>
        </w:tc>
      </w:tr>
      <w:tr w:rsidR="009D1A60" w14:paraId="06F688C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43C83960"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734DDEC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D678BE0"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c>
          <w:tcPr>
            <w:tcW w:w="1701" w:type="dxa"/>
            <w:tcBorders>
              <w:top w:val="nil"/>
              <w:left w:val="nil"/>
              <w:bottom w:val="single" w:sz="4" w:space="0" w:color="FFFFFF"/>
              <w:right w:val="single" w:sz="4" w:space="0" w:color="FFFFFF"/>
            </w:tcBorders>
            <w:shd w:val="clear" w:color="auto" w:fill="FAFAFA"/>
            <w:vAlign w:val="center"/>
          </w:tcPr>
          <w:p w14:paraId="586DCA4B"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r>
      <w:tr w:rsidR="009D1A60" w14:paraId="4EE6D5D1"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AE8D7A3"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EQUITY AND LIABILITIES</w:t>
            </w:r>
          </w:p>
        </w:tc>
        <w:tc>
          <w:tcPr>
            <w:tcW w:w="1134" w:type="dxa"/>
            <w:tcBorders>
              <w:top w:val="nil"/>
              <w:left w:val="nil"/>
              <w:bottom w:val="single" w:sz="4" w:space="0" w:color="FFFFFF"/>
              <w:right w:val="single" w:sz="4" w:space="0" w:color="FFFFFF"/>
            </w:tcBorders>
            <w:shd w:val="clear" w:color="auto" w:fill="FAFAFA"/>
            <w:vAlign w:val="center"/>
          </w:tcPr>
          <w:p w14:paraId="11A5504D"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E064369"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c>
          <w:tcPr>
            <w:tcW w:w="1701" w:type="dxa"/>
            <w:tcBorders>
              <w:top w:val="nil"/>
              <w:left w:val="nil"/>
              <w:bottom w:val="single" w:sz="4" w:space="0" w:color="FFFFFF"/>
              <w:right w:val="single" w:sz="4" w:space="0" w:color="FFFFFF"/>
            </w:tcBorders>
            <w:shd w:val="clear" w:color="auto" w:fill="FAFAFA"/>
            <w:vAlign w:val="center"/>
          </w:tcPr>
          <w:p w14:paraId="2154D7C8"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r>
      <w:tr w:rsidR="009D1A60" w14:paraId="4CA68138"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08A59BAE" w14:textId="77777777" w:rsidR="009D1A60" w:rsidRDefault="00000000">
            <w:pPr>
              <w:spacing w:after="0" w:line="240" w:lineRule="auto"/>
              <w:jc w:val="left"/>
              <w:rPr>
                <w:rFonts w:eastAsia="Arial" w:cs="Arial"/>
                <w:sz w:val="17"/>
                <w:szCs w:val="17"/>
              </w:rPr>
            </w:pPr>
            <w:r>
              <w:rPr>
                <w:rFonts w:eastAsia="Arial" w:cs="Arial"/>
                <w:sz w:val="17"/>
                <w:szCs w:val="17"/>
              </w:rPr>
              <w:t>Interest-bearing liabilities</w:t>
            </w:r>
          </w:p>
        </w:tc>
        <w:tc>
          <w:tcPr>
            <w:tcW w:w="1134" w:type="dxa"/>
            <w:tcBorders>
              <w:top w:val="nil"/>
              <w:left w:val="nil"/>
              <w:bottom w:val="single" w:sz="4" w:space="0" w:color="FFFFFF"/>
              <w:right w:val="single" w:sz="4" w:space="0" w:color="FFFFFF"/>
            </w:tcBorders>
            <w:shd w:val="clear" w:color="auto" w:fill="FAFAFA"/>
            <w:vAlign w:val="center"/>
          </w:tcPr>
          <w:p w14:paraId="54521323"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6BB51701" w14:textId="77777777" w:rsidR="009D1A60" w:rsidRDefault="00000000">
            <w:pPr>
              <w:spacing w:after="0" w:line="240" w:lineRule="auto"/>
              <w:jc w:val="right"/>
              <w:rPr>
                <w:rFonts w:eastAsia="Arial" w:cs="Arial"/>
                <w:sz w:val="17"/>
                <w:szCs w:val="17"/>
              </w:rPr>
            </w:pPr>
            <w:r>
              <w:rPr>
                <w:color w:val="000000"/>
                <w:sz w:val="17"/>
                <w:szCs w:val="17"/>
              </w:rPr>
              <w:t>8 398</w:t>
            </w:r>
          </w:p>
        </w:tc>
        <w:tc>
          <w:tcPr>
            <w:tcW w:w="1701" w:type="dxa"/>
            <w:tcBorders>
              <w:top w:val="nil"/>
              <w:left w:val="nil"/>
              <w:bottom w:val="single" w:sz="4" w:space="0" w:color="FFFFFF"/>
              <w:right w:val="single" w:sz="4" w:space="0" w:color="FFFFFF"/>
            </w:tcBorders>
            <w:shd w:val="clear" w:color="auto" w:fill="FAFAFA"/>
            <w:vAlign w:val="center"/>
          </w:tcPr>
          <w:p w14:paraId="1D4073C8" w14:textId="77777777" w:rsidR="009D1A60" w:rsidRDefault="00000000">
            <w:pPr>
              <w:spacing w:after="0" w:line="240" w:lineRule="auto"/>
              <w:jc w:val="right"/>
              <w:rPr>
                <w:rFonts w:eastAsia="Arial" w:cs="Arial"/>
                <w:sz w:val="17"/>
                <w:szCs w:val="17"/>
              </w:rPr>
            </w:pPr>
            <w:r>
              <w:rPr>
                <w:sz w:val="17"/>
                <w:szCs w:val="17"/>
              </w:rPr>
              <w:t>7 325</w:t>
            </w:r>
          </w:p>
        </w:tc>
      </w:tr>
      <w:tr w:rsidR="009D1A60" w14:paraId="1E36A5E5"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2AB818B6" w14:textId="77777777" w:rsidR="009D1A60" w:rsidRDefault="00000000">
            <w:pPr>
              <w:spacing w:after="0" w:line="240" w:lineRule="auto"/>
              <w:jc w:val="left"/>
              <w:rPr>
                <w:rFonts w:eastAsia="Arial" w:cs="Arial"/>
                <w:sz w:val="17"/>
                <w:szCs w:val="17"/>
              </w:rPr>
            </w:pPr>
            <w:r>
              <w:rPr>
                <w:rFonts w:eastAsia="Arial" w:cs="Arial"/>
                <w:sz w:val="17"/>
                <w:szCs w:val="17"/>
              </w:rPr>
              <w:t>Payables and prepayments</w:t>
            </w:r>
          </w:p>
        </w:tc>
        <w:tc>
          <w:tcPr>
            <w:tcW w:w="1134" w:type="dxa"/>
            <w:tcBorders>
              <w:top w:val="nil"/>
              <w:left w:val="nil"/>
              <w:bottom w:val="single" w:sz="4" w:space="0" w:color="FFFFFF"/>
              <w:right w:val="single" w:sz="4" w:space="0" w:color="FFFFFF"/>
            </w:tcBorders>
            <w:shd w:val="clear" w:color="auto" w:fill="FAFAFA"/>
            <w:vAlign w:val="center"/>
          </w:tcPr>
          <w:p w14:paraId="7398D003"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4870F162" w14:textId="77777777" w:rsidR="009D1A60" w:rsidRDefault="00000000">
            <w:pPr>
              <w:spacing w:after="0" w:line="240" w:lineRule="auto"/>
              <w:jc w:val="right"/>
              <w:rPr>
                <w:rFonts w:eastAsia="Arial" w:cs="Arial"/>
                <w:sz w:val="17"/>
                <w:szCs w:val="17"/>
              </w:rPr>
            </w:pPr>
            <w:r>
              <w:rPr>
                <w:color w:val="000000"/>
                <w:sz w:val="17"/>
                <w:szCs w:val="17"/>
              </w:rPr>
              <w:t>3 919</w:t>
            </w:r>
          </w:p>
        </w:tc>
        <w:tc>
          <w:tcPr>
            <w:tcW w:w="1701" w:type="dxa"/>
            <w:tcBorders>
              <w:top w:val="nil"/>
              <w:left w:val="nil"/>
              <w:bottom w:val="single" w:sz="4" w:space="0" w:color="FFFFFF"/>
              <w:right w:val="single" w:sz="4" w:space="0" w:color="FFFFFF"/>
            </w:tcBorders>
            <w:shd w:val="clear" w:color="auto" w:fill="FAFAFA"/>
            <w:vAlign w:val="center"/>
          </w:tcPr>
          <w:p w14:paraId="2FE924D4" w14:textId="77777777" w:rsidR="009D1A60" w:rsidRDefault="00000000">
            <w:pPr>
              <w:spacing w:after="0" w:line="240" w:lineRule="auto"/>
              <w:jc w:val="right"/>
              <w:rPr>
                <w:rFonts w:eastAsia="Arial" w:cs="Arial"/>
                <w:sz w:val="17"/>
                <w:szCs w:val="17"/>
              </w:rPr>
            </w:pPr>
            <w:r>
              <w:rPr>
                <w:sz w:val="17"/>
                <w:szCs w:val="17"/>
              </w:rPr>
              <w:t>12 124</w:t>
            </w:r>
          </w:p>
        </w:tc>
      </w:tr>
      <w:tr w:rsidR="009D1A60" w14:paraId="401726F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187039B" w14:textId="77777777" w:rsidR="009D1A60" w:rsidRDefault="00000000">
            <w:pPr>
              <w:spacing w:after="0" w:line="240" w:lineRule="auto"/>
              <w:jc w:val="left"/>
              <w:rPr>
                <w:rFonts w:eastAsia="Arial" w:cs="Arial"/>
                <w:sz w:val="17"/>
                <w:szCs w:val="17"/>
              </w:rPr>
            </w:pPr>
            <w:r>
              <w:rPr>
                <w:rFonts w:eastAsia="Arial" w:cs="Arial"/>
                <w:sz w:val="17"/>
                <w:szCs w:val="17"/>
              </w:rPr>
              <w:t>Government grants</w:t>
            </w:r>
          </w:p>
        </w:tc>
        <w:tc>
          <w:tcPr>
            <w:tcW w:w="1134" w:type="dxa"/>
            <w:tcBorders>
              <w:top w:val="nil"/>
              <w:left w:val="nil"/>
              <w:bottom w:val="single" w:sz="4" w:space="0" w:color="FFFFFF"/>
              <w:right w:val="single" w:sz="4" w:space="0" w:color="FFFFFF"/>
            </w:tcBorders>
            <w:shd w:val="clear" w:color="auto" w:fill="FAFAFA"/>
            <w:vAlign w:val="center"/>
          </w:tcPr>
          <w:p w14:paraId="23A21ABE"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CE89ECD" w14:textId="77777777" w:rsidR="009D1A60" w:rsidRDefault="00000000">
            <w:pPr>
              <w:spacing w:after="0" w:line="240" w:lineRule="auto"/>
              <w:jc w:val="right"/>
              <w:rPr>
                <w:rFonts w:eastAsia="Arial" w:cs="Arial"/>
                <w:sz w:val="17"/>
                <w:szCs w:val="17"/>
              </w:rPr>
            </w:pPr>
            <w:r>
              <w:rPr>
                <w:color w:val="000000"/>
                <w:sz w:val="17"/>
                <w:szCs w:val="17"/>
              </w:rPr>
              <w:t>0</w:t>
            </w:r>
          </w:p>
        </w:tc>
        <w:tc>
          <w:tcPr>
            <w:tcW w:w="1701" w:type="dxa"/>
            <w:tcBorders>
              <w:top w:val="nil"/>
              <w:left w:val="nil"/>
              <w:bottom w:val="single" w:sz="4" w:space="0" w:color="FFFFFF"/>
              <w:right w:val="single" w:sz="4" w:space="0" w:color="FFFFFF"/>
            </w:tcBorders>
            <w:shd w:val="clear" w:color="auto" w:fill="FAFAFA"/>
            <w:vAlign w:val="center"/>
          </w:tcPr>
          <w:p w14:paraId="2320E5A8" w14:textId="77777777" w:rsidR="009D1A60" w:rsidRDefault="00000000">
            <w:pPr>
              <w:spacing w:after="0" w:line="240" w:lineRule="auto"/>
              <w:jc w:val="right"/>
              <w:rPr>
                <w:rFonts w:eastAsia="Arial" w:cs="Arial"/>
                <w:sz w:val="17"/>
                <w:szCs w:val="17"/>
              </w:rPr>
            </w:pPr>
            <w:r>
              <w:rPr>
                <w:sz w:val="17"/>
                <w:szCs w:val="17"/>
              </w:rPr>
              <w:t>207</w:t>
            </w:r>
          </w:p>
        </w:tc>
      </w:tr>
      <w:tr w:rsidR="009D1A60" w14:paraId="6E332156"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533D94E9"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current liabilities</w:t>
            </w:r>
          </w:p>
        </w:tc>
        <w:tc>
          <w:tcPr>
            <w:tcW w:w="1134" w:type="dxa"/>
            <w:tcBorders>
              <w:top w:val="nil"/>
              <w:left w:val="nil"/>
              <w:bottom w:val="single" w:sz="4" w:space="0" w:color="FFFFFF"/>
              <w:right w:val="single" w:sz="4" w:space="0" w:color="FFFFFF"/>
            </w:tcBorders>
            <w:shd w:val="clear" w:color="auto" w:fill="FAFAFA"/>
            <w:vAlign w:val="center"/>
          </w:tcPr>
          <w:p w14:paraId="7C8692AC"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1B5BD21" w14:textId="77777777" w:rsidR="009D1A60" w:rsidRDefault="00000000">
            <w:pPr>
              <w:spacing w:after="0" w:line="240" w:lineRule="auto"/>
              <w:jc w:val="right"/>
              <w:rPr>
                <w:rFonts w:eastAsia="Arial" w:cs="Arial"/>
                <w:b/>
                <w:color w:val="5E6EC8"/>
                <w:sz w:val="17"/>
                <w:szCs w:val="17"/>
              </w:rPr>
            </w:pPr>
            <w:r>
              <w:rPr>
                <w:b/>
                <w:color w:val="5E6EC8"/>
                <w:sz w:val="17"/>
                <w:szCs w:val="17"/>
              </w:rPr>
              <w:t>12 317</w:t>
            </w:r>
          </w:p>
        </w:tc>
        <w:tc>
          <w:tcPr>
            <w:tcW w:w="1701" w:type="dxa"/>
            <w:tcBorders>
              <w:top w:val="nil"/>
              <w:left w:val="nil"/>
              <w:bottom w:val="single" w:sz="4" w:space="0" w:color="FFFFFF"/>
              <w:right w:val="single" w:sz="4" w:space="0" w:color="FFFFFF"/>
            </w:tcBorders>
            <w:shd w:val="clear" w:color="auto" w:fill="FAFAFA"/>
            <w:vAlign w:val="center"/>
          </w:tcPr>
          <w:p w14:paraId="44258383" w14:textId="77777777" w:rsidR="009D1A60" w:rsidRDefault="00000000">
            <w:pPr>
              <w:spacing w:after="0" w:line="240" w:lineRule="auto"/>
              <w:jc w:val="right"/>
              <w:rPr>
                <w:rFonts w:eastAsia="Arial" w:cs="Arial"/>
                <w:b/>
                <w:color w:val="5E6EC8"/>
                <w:sz w:val="17"/>
                <w:szCs w:val="17"/>
              </w:rPr>
            </w:pPr>
            <w:r>
              <w:rPr>
                <w:b/>
                <w:color w:val="5E6EC8"/>
                <w:sz w:val="17"/>
                <w:szCs w:val="17"/>
              </w:rPr>
              <w:t>19 656</w:t>
            </w:r>
          </w:p>
        </w:tc>
      </w:tr>
      <w:tr w:rsidR="009D1A60" w14:paraId="23BB1F6D"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A92DDE6"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2F578B8F"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C91BFF8"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c>
          <w:tcPr>
            <w:tcW w:w="1701" w:type="dxa"/>
            <w:tcBorders>
              <w:top w:val="nil"/>
              <w:left w:val="nil"/>
              <w:bottom w:val="single" w:sz="4" w:space="0" w:color="FFFFFF"/>
              <w:right w:val="single" w:sz="4" w:space="0" w:color="FFFFFF"/>
            </w:tcBorders>
            <w:shd w:val="clear" w:color="auto" w:fill="FAFAFA"/>
            <w:vAlign w:val="center"/>
          </w:tcPr>
          <w:p w14:paraId="0E7E70D4"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r>
      <w:tr w:rsidR="009D1A60" w14:paraId="2EAB5A2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5CB16B18" w14:textId="77777777" w:rsidR="009D1A60" w:rsidRDefault="00000000">
            <w:pPr>
              <w:spacing w:after="0" w:line="240" w:lineRule="auto"/>
              <w:jc w:val="left"/>
              <w:rPr>
                <w:rFonts w:eastAsia="Arial" w:cs="Arial"/>
                <w:sz w:val="17"/>
                <w:szCs w:val="17"/>
              </w:rPr>
            </w:pPr>
            <w:r>
              <w:rPr>
                <w:rFonts w:eastAsia="Arial" w:cs="Arial"/>
                <w:sz w:val="17"/>
                <w:szCs w:val="17"/>
              </w:rPr>
              <w:t>Interest-bearing liabilities</w:t>
            </w:r>
          </w:p>
        </w:tc>
        <w:tc>
          <w:tcPr>
            <w:tcW w:w="1134" w:type="dxa"/>
            <w:tcBorders>
              <w:top w:val="nil"/>
              <w:left w:val="nil"/>
              <w:bottom w:val="single" w:sz="4" w:space="0" w:color="FFFFFF"/>
              <w:right w:val="single" w:sz="4" w:space="0" w:color="FFFFFF"/>
            </w:tcBorders>
            <w:shd w:val="clear" w:color="auto" w:fill="FAFAFA"/>
            <w:vAlign w:val="center"/>
          </w:tcPr>
          <w:p w14:paraId="1D665109"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793F8D86" w14:textId="77777777" w:rsidR="009D1A60" w:rsidRDefault="00000000">
            <w:pPr>
              <w:spacing w:after="0" w:line="240" w:lineRule="auto"/>
              <w:jc w:val="right"/>
              <w:rPr>
                <w:rFonts w:eastAsia="Arial" w:cs="Arial"/>
                <w:sz w:val="17"/>
                <w:szCs w:val="17"/>
              </w:rPr>
            </w:pPr>
            <w:r>
              <w:rPr>
                <w:color w:val="000000"/>
                <w:sz w:val="17"/>
                <w:szCs w:val="17"/>
              </w:rPr>
              <w:t>16 424</w:t>
            </w:r>
          </w:p>
        </w:tc>
        <w:tc>
          <w:tcPr>
            <w:tcW w:w="1701" w:type="dxa"/>
            <w:tcBorders>
              <w:top w:val="nil"/>
              <w:left w:val="nil"/>
              <w:bottom w:val="single" w:sz="4" w:space="0" w:color="FFFFFF"/>
              <w:right w:val="single" w:sz="4" w:space="0" w:color="FFFFFF"/>
            </w:tcBorders>
            <w:shd w:val="clear" w:color="auto" w:fill="FAFAFA"/>
            <w:vAlign w:val="center"/>
          </w:tcPr>
          <w:p w14:paraId="162543EB" w14:textId="77777777" w:rsidR="009D1A60" w:rsidRDefault="00000000">
            <w:pPr>
              <w:spacing w:after="0" w:line="240" w:lineRule="auto"/>
              <w:jc w:val="right"/>
              <w:rPr>
                <w:rFonts w:eastAsia="Arial" w:cs="Arial"/>
                <w:sz w:val="17"/>
                <w:szCs w:val="17"/>
              </w:rPr>
            </w:pPr>
            <w:r>
              <w:rPr>
                <w:sz w:val="17"/>
                <w:szCs w:val="17"/>
              </w:rPr>
              <w:t>17 561</w:t>
            </w:r>
          </w:p>
        </w:tc>
      </w:tr>
      <w:tr w:rsidR="009D1A60" w14:paraId="40745E7A"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EAD4999" w14:textId="77777777" w:rsidR="009D1A60" w:rsidRDefault="00000000">
            <w:pPr>
              <w:spacing w:after="0" w:line="240" w:lineRule="auto"/>
              <w:jc w:val="left"/>
              <w:rPr>
                <w:rFonts w:eastAsia="Arial" w:cs="Arial"/>
                <w:sz w:val="17"/>
                <w:szCs w:val="17"/>
              </w:rPr>
            </w:pPr>
            <w:r>
              <w:rPr>
                <w:rFonts w:eastAsia="Arial" w:cs="Arial"/>
                <w:sz w:val="17"/>
                <w:szCs w:val="17"/>
              </w:rPr>
              <w:t>Payables and prepayments</w:t>
            </w:r>
          </w:p>
        </w:tc>
        <w:tc>
          <w:tcPr>
            <w:tcW w:w="1134" w:type="dxa"/>
            <w:tcBorders>
              <w:top w:val="nil"/>
              <w:left w:val="nil"/>
              <w:bottom w:val="single" w:sz="4" w:space="0" w:color="FFFFFF"/>
              <w:right w:val="single" w:sz="4" w:space="0" w:color="FFFFFF"/>
            </w:tcBorders>
            <w:shd w:val="clear" w:color="auto" w:fill="FAFAFA"/>
            <w:vAlign w:val="center"/>
          </w:tcPr>
          <w:p w14:paraId="58ED79D4"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29678E9D" w14:textId="77777777" w:rsidR="009D1A60" w:rsidRDefault="00000000">
            <w:pPr>
              <w:spacing w:after="0" w:line="240" w:lineRule="auto"/>
              <w:jc w:val="right"/>
              <w:rPr>
                <w:rFonts w:eastAsia="Arial" w:cs="Arial"/>
                <w:sz w:val="17"/>
                <w:szCs w:val="17"/>
              </w:rPr>
            </w:pPr>
            <w:r>
              <w:rPr>
                <w:color w:val="000000"/>
                <w:sz w:val="17"/>
                <w:szCs w:val="17"/>
              </w:rPr>
              <w:t>328</w:t>
            </w:r>
          </w:p>
        </w:tc>
        <w:tc>
          <w:tcPr>
            <w:tcW w:w="1701" w:type="dxa"/>
            <w:tcBorders>
              <w:top w:val="nil"/>
              <w:left w:val="nil"/>
              <w:bottom w:val="single" w:sz="4" w:space="0" w:color="FFFFFF"/>
              <w:right w:val="single" w:sz="4" w:space="0" w:color="FFFFFF"/>
            </w:tcBorders>
            <w:shd w:val="clear" w:color="auto" w:fill="FAFAFA"/>
            <w:vAlign w:val="center"/>
          </w:tcPr>
          <w:p w14:paraId="04D6D34A" w14:textId="77777777" w:rsidR="009D1A60" w:rsidRDefault="00000000">
            <w:pPr>
              <w:spacing w:after="0" w:line="240" w:lineRule="auto"/>
              <w:jc w:val="right"/>
              <w:rPr>
                <w:rFonts w:eastAsia="Arial" w:cs="Arial"/>
                <w:sz w:val="17"/>
                <w:szCs w:val="17"/>
              </w:rPr>
            </w:pPr>
            <w:r>
              <w:rPr>
                <w:sz w:val="17"/>
                <w:szCs w:val="17"/>
              </w:rPr>
              <w:t>0</w:t>
            </w:r>
          </w:p>
        </w:tc>
      </w:tr>
      <w:tr w:rsidR="009D1A60" w14:paraId="30469AC1"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4B5948AF" w14:textId="77777777" w:rsidR="009D1A60" w:rsidRDefault="00000000">
            <w:pPr>
              <w:spacing w:after="0" w:line="240" w:lineRule="auto"/>
              <w:jc w:val="left"/>
              <w:rPr>
                <w:rFonts w:eastAsia="Arial" w:cs="Arial"/>
                <w:sz w:val="17"/>
                <w:szCs w:val="17"/>
              </w:rPr>
            </w:pPr>
            <w:r>
              <w:rPr>
                <w:rFonts w:eastAsia="Arial" w:cs="Arial"/>
                <w:sz w:val="17"/>
                <w:szCs w:val="17"/>
              </w:rPr>
              <w:t>Deferred tax liabilities</w:t>
            </w:r>
          </w:p>
        </w:tc>
        <w:tc>
          <w:tcPr>
            <w:tcW w:w="1134" w:type="dxa"/>
            <w:tcBorders>
              <w:top w:val="nil"/>
              <w:left w:val="nil"/>
              <w:bottom w:val="single" w:sz="4" w:space="0" w:color="FFFFFF"/>
              <w:right w:val="single" w:sz="4" w:space="0" w:color="FFFFFF"/>
            </w:tcBorders>
            <w:shd w:val="clear" w:color="auto" w:fill="FAFAFA"/>
            <w:vAlign w:val="center"/>
          </w:tcPr>
          <w:p w14:paraId="3B463DA9"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0B85F4E" w14:textId="77777777" w:rsidR="009D1A60" w:rsidRDefault="00000000">
            <w:pPr>
              <w:spacing w:after="0" w:line="240" w:lineRule="auto"/>
              <w:jc w:val="right"/>
              <w:rPr>
                <w:rFonts w:eastAsia="Arial" w:cs="Arial"/>
                <w:sz w:val="17"/>
                <w:szCs w:val="17"/>
              </w:rPr>
            </w:pPr>
            <w:r>
              <w:rPr>
                <w:color w:val="000000"/>
                <w:sz w:val="17"/>
                <w:szCs w:val="17"/>
              </w:rPr>
              <w:t>146</w:t>
            </w:r>
          </w:p>
        </w:tc>
        <w:tc>
          <w:tcPr>
            <w:tcW w:w="1701" w:type="dxa"/>
            <w:tcBorders>
              <w:top w:val="nil"/>
              <w:left w:val="nil"/>
              <w:bottom w:val="single" w:sz="4" w:space="0" w:color="FFFFFF"/>
              <w:right w:val="single" w:sz="4" w:space="0" w:color="FFFFFF"/>
            </w:tcBorders>
            <w:shd w:val="clear" w:color="auto" w:fill="FAFAFA"/>
            <w:vAlign w:val="center"/>
          </w:tcPr>
          <w:p w14:paraId="0C2CDDD3" w14:textId="77777777" w:rsidR="009D1A60" w:rsidRDefault="00000000">
            <w:pPr>
              <w:spacing w:after="0" w:line="240" w:lineRule="auto"/>
              <w:jc w:val="right"/>
              <w:rPr>
                <w:rFonts w:eastAsia="Arial" w:cs="Arial"/>
                <w:sz w:val="17"/>
                <w:szCs w:val="17"/>
              </w:rPr>
            </w:pPr>
            <w:r>
              <w:rPr>
                <w:sz w:val="17"/>
                <w:szCs w:val="17"/>
              </w:rPr>
              <w:t>1 861</w:t>
            </w:r>
          </w:p>
        </w:tc>
      </w:tr>
      <w:tr w:rsidR="009D1A60" w14:paraId="50148006"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1FABB34F" w14:textId="77777777" w:rsidR="009D1A60" w:rsidRDefault="00000000">
            <w:pPr>
              <w:spacing w:after="0" w:line="240" w:lineRule="auto"/>
              <w:jc w:val="left"/>
              <w:rPr>
                <w:rFonts w:eastAsia="Arial" w:cs="Arial"/>
                <w:sz w:val="17"/>
                <w:szCs w:val="17"/>
              </w:rPr>
            </w:pPr>
            <w:r>
              <w:rPr>
                <w:rFonts w:eastAsia="Arial" w:cs="Arial"/>
                <w:sz w:val="17"/>
                <w:szCs w:val="17"/>
              </w:rPr>
              <w:t>Government grants</w:t>
            </w:r>
          </w:p>
        </w:tc>
        <w:tc>
          <w:tcPr>
            <w:tcW w:w="1134" w:type="dxa"/>
            <w:tcBorders>
              <w:top w:val="nil"/>
              <w:left w:val="nil"/>
              <w:bottom w:val="single" w:sz="4" w:space="0" w:color="FFFFFF"/>
              <w:right w:val="single" w:sz="4" w:space="0" w:color="FFFFFF"/>
            </w:tcBorders>
            <w:shd w:val="clear" w:color="auto" w:fill="FAFAFA"/>
            <w:vAlign w:val="center"/>
          </w:tcPr>
          <w:p w14:paraId="190AA555"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8757A3B" w14:textId="77777777" w:rsidR="009D1A60" w:rsidRDefault="00000000">
            <w:pPr>
              <w:spacing w:after="0" w:line="240" w:lineRule="auto"/>
              <w:jc w:val="right"/>
              <w:rPr>
                <w:rFonts w:eastAsia="Arial" w:cs="Arial"/>
                <w:sz w:val="17"/>
                <w:szCs w:val="17"/>
              </w:rPr>
            </w:pPr>
            <w:r>
              <w:rPr>
                <w:color w:val="000000"/>
                <w:sz w:val="17"/>
                <w:szCs w:val="17"/>
              </w:rPr>
              <w:t>140</w:t>
            </w:r>
          </w:p>
        </w:tc>
        <w:tc>
          <w:tcPr>
            <w:tcW w:w="1701" w:type="dxa"/>
            <w:tcBorders>
              <w:top w:val="nil"/>
              <w:left w:val="nil"/>
              <w:bottom w:val="single" w:sz="4" w:space="0" w:color="FFFFFF"/>
              <w:right w:val="single" w:sz="4" w:space="0" w:color="FFFFFF"/>
            </w:tcBorders>
            <w:shd w:val="clear" w:color="auto" w:fill="FAFAFA"/>
            <w:vAlign w:val="center"/>
          </w:tcPr>
          <w:p w14:paraId="5DDF06CB" w14:textId="77777777" w:rsidR="009D1A60" w:rsidRDefault="00000000">
            <w:pPr>
              <w:spacing w:after="0" w:line="240" w:lineRule="auto"/>
              <w:jc w:val="right"/>
              <w:rPr>
                <w:rFonts w:eastAsia="Arial" w:cs="Arial"/>
                <w:sz w:val="17"/>
                <w:szCs w:val="17"/>
              </w:rPr>
            </w:pPr>
            <w:r>
              <w:rPr>
                <w:sz w:val="17"/>
                <w:szCs w:val="17"/>
              </w:rPr>
              <w:t>746</w:t>
            </w:r>
          </w:p>
        </w:tc>
      </w:tr>
      <w:tr w:rsidR="009D1A60" w14:paraId="1D764116"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D803DB2"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non-current liabilities</w:t>
            </w:r>
          </w:p>
        </w:tc>
        <w:tc>
          <w:tcPr>
            <w:tcW w:w="1134" w:type="dxa"/>
            <w:tcBorders>
              <w:top w:val="nil"/>
              <w:left w:val="nil"/>
              <w:bottom w:val="single" w:sz="4" w:space="0" w:color="FFFFFF"/>
              <w:right w:val="single" w:sz="4" w:space="0" w:color="FFFFFF"/>
            </w:tcBorders>
            <w:shd w:val="clear" w:color="auto" w:fill="FAFAFA"/>
            <w:vAlign w:val="center"/>
          </w:tcPr>
          <w:p w14:paraId="7BCBB57E"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0FEAF30" w14:textId="77777777" w:rsidR="009D1A60" w:rsidRDefault="00000000">
            <w:pPr>
              <w:spacing w:after="0" w:line="240" w:lineRule="auto"/>
              <w:jc w:val="right"/>
              <w:rPr>
                <w:rFonts w:eastAsia="Arial" w:cs="Arial"/>
                <w:b/>
                <w:color w:val="5E6EC8"/>
                <w:sz w:val="17"/>
                <w:szCs w:val="17"/>
              </w:rPr>
            </w:pPr>
            <w:r>
              <w:rPr>
                <w:b/>
                <w:color w:val="5E6EC8"/>
                <w:sz w:val="17"/>
                <w:szCs w:val="17"/>
              </w:rPr>
              <w:t>17 038</w:t>
            </w:r>
          </w:p>
        </w:tc>
        <w:tc>
          <w:tcPr>
            <w:tcW w:w="1701" w:type="dxa"/>
            <w:tcBorders>
              <w:top w:val="nil"/>
              <w:left w:val="nil"/>
              <w:bottom w:val="single" w:sz="4" w:space="0" w:color="FFFFFF"/>
              <w:right w:val="single" w:sz="4" w:space="0" w:color="FFFFFF"/>
            </w:tcBorders>
            <w:shd w:val="clear" w:color="auto" w:fill="FAFAFA"/>
            <w:vAlign w:val="center"/>
          </w:tcPr>
          <w:p w14:paraId="5593AD90" w14:textId="77777777" w:rsidR="009D1A60" w:rsidRDefault="00000000">
            <w:pPr>
              <w:spacing w:after="0" w:line="240" w:lineRule="auto"/>
              <w:jc w:val="right"/>
              <w:rPr>
                <w:rFonts w:eastAsia="Arial" w:cs="Arial"/>
                <w:b/>
                <w:color w:val="5E6EC8"/>
                <w:sz w:val="17"/>
                <w:szCs w:val="17"/>
              </w:rPr>
            </w:pPr>
            <w:r>
              <w:rPr>
                <w:b/>
                <w:color w:val="5E6EC8"/>
                <w:sz w:val="17"/>
                <w:szCs w:val="17"/>
              </w:rPr>
              <w:t>20 168</w:t>
            </w:r>
          </w:p>
        </w:tc>
      </w:tr>
      <w:tr w:rsidR="009D1A60" w14:paraId="5B434CB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5CAB9F50"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LIABILITIES</w:t>
            </w:r>
          </w:p>
        </w:tc>
        <w:tc>
          <w:tcPr>
            <w:tcW w:w="1134" w:type="dxa"/>
            <w:tcBorders>
              <w:top w:val="nil"/>
              <w:left w:val="nil"/>
              <w:bottom w:val="single" w:sz="4" w:space="0" w:color="FFFFFF"/>
              <w:right w:val="single" w:sz="4" w:space="0" w:color="FFFFFF"/>
            </w:tcBorders>
            <w:shd w:val="clear" w:color="auto" w:fill="FAFAFA"/>
            <w:vAlign w:val="center"/>
          </w:tcPr>
          <w:p w14:paraId="3F0BB45A"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3F12B6F0" w14:textId="77777777" w:rsidR="009D1A60" w:rsidRDefault="00000000">
            <w:pPr>
              <w:spacing w:after="0" w:line="240" w:lineRule="auto"/>
              <w:jc w:val="right"/>
              <w:rPr>
                <w:rFonts w:eastAsia="Arial" w:cs="Arial"/>
                <w:b/>
                <w:color w:val="5E6EC8"/>
                <w:sz w:val="17"/>
                <w:szCs w:val="17"/>
              </w:rPr>
            </w:pPr>
            <w:r>
              <w:rPr>
                <w:b/>
                <w:color w:val="5E6EC8"/>
                <w:sz w:val="17"/>
                <w:szCs w:val="17"/>
              </w:rPr>
              <w:t>29 355</w:t>
            </w:r>
          </w:p>
        </w:tc>
        <w:tc>
          <w:tcPr>
            <w:tcW w:w="1701" w:type="dxa"/>
            <w:tcBorders>
              <w:top w:val="nil"/>
              <w:left w:val="nil"/>
              <w:bottom w:val="single" w:sz="4" w:space="0" w:color="FFFFFF"/>
              <w:right w:val="single" w:sz="4" w:space="0" w:color="FFFFFF"/>
            </w:tcBorders>
            <w:shd w:val="clear" w:color="auto" w:fill="FAFAFA"/>
            <w:vAlign w:val="center"/>
          </w:tcPr>
          <w:p w14:paraId="4C00F1A6" w14:textId="77777777" w:rsidR="009D1A60" w:rsidRDefault="00000000">
            <w:pPr>
              <w:spacing w:after="0" w:line="240" w:lineRule="auto"/>
              <w:jc w:val="right"/>
              <w:rPr>
                <w:rFonts w:eastAsia="Arial" w:cs="Arial"/>
                <w:b/>
                <w:color w:val="5E6EC8"/>
                <w:sz w:val="17"/>
                <w:szCs w:val="17"/>
              </w:rPr>
            </w:pPr>
            <w:r>
              <w:rPr>
                <w:b/>
                <w:color w:val="5E6EC8"/>
                <w:sz w:val="17"/>
                <w:szCs w:val="17"/>
              </w:rPr>
              <w:t>39 824</w:t>
            </w:r>
          </w:p>
        </w:tc>
      </w:tr>
      <w:tr w:rsidR="009D1A60" w14:paraId="70995555"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FE1DE8B"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572355D5"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1A0B655"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c>
          <w:tcPr>
            <w:tcW w:w="1701" w:type="dxa"/>
            <w:tcBorders>
              <w:top w:val="nil"/>
              <w:left w:val="nil"/>
              <w:bottom w:val="single" w:sz="4" w:space="0" w:color="FFFFFF"/>
              <w:right w:val="single" w:sz="4" w:space="0" w:color="FFFFFF"/>
            </w:tcBorders>
            <w:shd w:val="clear" w:color="auto" w:fill="FAFAFA"/>
            <w:vAlign w:val="center"/>
          </w:tcPr>
          <w:p w14:paraId="0D7F8837"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w:t>
            </w:r>
          </w:p>
        </w:tc>
      </w:tr>
      <w:tr w:rsidR="009D1A60" w14:paraId="6BF6EDFC"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456BA1CA" w14:textId="77777777" w:rsidR="009D1A60" w:rsidRDefault="00000000">
            <w:pPr>
              <w:spacing w:after="0" w:line="240" w:lineRule="auto"/>
              <w:jc w:val="left"/>
              <w:rPr>
                <w:rFonts w:eastAsia="Arial" w:cs="Arial"/>
                <w:sz w:val="17"/>
                <w:szCs w:val="17"/>
              </w:rPr>
            </w:pPr>
            <w:r>
              <w:rPr>
                <w:rFonts w:eastAsia="Arial" w:cs="Arial"/>
                <w:sz w:val="17"/>
                <w:szCs w:val="17"/>
              </w:rPr>
              <w:t>Share capital</w:t>
            </w:r>
          </w:p>
        </w:tc>
        <w:tc>
          <w:tcPr>
            <w:tcW w:w="1134" w:type="dxa"/>
            <w:tcBorders>
              <w:top w:val="nil"/>
              <w:left w:val="nil"/>
              <w:bottom w:val="single" w:sz="4" w:space="0" w:color="FFFFFF"/>
              <w:right w:val="single" w:sz="4" w:space="0" w:color="FFFFFF"/>
            </w:tcBorders>
            <w:shd w:val="clear" w:color="auto" w:fill="FAFAFA"/>
            <w:vAlign w:val="center"/>
          </w:tcPr>
          <w:p w14:paraId="4D2AA703"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7855F5C1" w14:textId="77777777" w:rsidR="009D1A60" w:rsidRDefault="00000000">
            <w:pPr>
              <w:spacing w:after="0" w:line="240" w:lineRule="auto"/>
              <w:jc w:val="right"/>
              <w:rPr>
                <w:rFonts w:eastAsia="Arial" w:cs="Arial"/>
                <w:sz w:val="17"/>
                <w:szCs w:val="17"/>
              </w:rPr>
            </w:pPr>
            <w:r>
              <w:rPr>
                <w:color w:val="000000"/>
                <w:sz w:val="17"/>
                <w:szCs w:val="17"/>
              </w:rPr>
              <w:t>7 737</w:t>
            </w:r>
          </w:p>
        </w:tc>
        <w:tc>
          <w:tcPr>
            <w:tcW w:w="1701" w:type="dxa"/>
            <w:tcBorders>
              <w:top w:val="nil"/>
              <w:left w:val="nil"/>
              <w:bottom w:val="single" w:sz="4" w:space="0" w:color="FFFFFF"/>
              <w:right w:val="single" w:sz="4" w:space="0" w:color="FFFFFF"/>
            </w:tcBorders>
            <w:shd w:val="clear" w:color="auto" w:fill="FAFAFA"/>
            <w:vAlign w:val="center"/>
          </w:tcPr>
          <w:p w14:paraId="14C1DAE3" w14:textId="77777777" w:rsidR="009D1A60" w:rsidRDefault="00000000">
            <w:pPr>
              <w:spacing w:after="0" w:line="240" w:lineRule="auto"/>
              <w:jc w:val="right"/>
              <w:rPr>
                <w:rFonts w:eastAsia="Arial" w:cs="Arial"/>
                <w:sz w:val="17"/>
                <w:szCs w:val="17"/>
              </w:rPr>
            </w:pPr>
            <w:r>
              <w:rPr>
                <w:sz w:val="17"/>
                <w:szCs w:val="17"/>
              </w:rPr>
              <w:t>7 737</w:t>
            </w:r>
          </w:p>
        </w:tc>
      </w:tr>
      <w:tr w:rsidR="009D1A60" w14:paraId="0B660BF6"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B14CD3C" w14:textId="77777777" w:rsidR="009D1A60" w:rsidRDefault="00000000">
            <w:pPr>
              <w:spacing w:after="0" w:line="240" w:lineRule="auto"/>
              <w:jc w:val="left"/>
              <w:rPr>
                <w:rFonts w:eastAsia="Arial" w:cs="Arial"/>
                <w:sz w:val="17"/>
                <w:szCs w:val="17"/>
              </w:rPr>
            </w:pPr>
            <w:r>
              <w:rPr>
                <w:rFonts w:eastAsia="Arial" w:cs="Arial"/>
                <w:sz w:val="17"/>
                <w:szCs w:val="17"/>
              </w:rPr>
              <w:t>Share premium</w:t>
            </w:r>
          </w:p>
        </w:tc>
        <w:tc>
          <w:tcPr>
            <w:tcW w:w="1134" w:type="dxa"/>
            <w:tcBorders>
              <w:top w:val="nil"/>
              <w:left w:val="nil"/>
              <w:bottom w:val="single" w:sz="4" w:space="0" w:color="FFFFFF"/>
              <w:right w:val="single" w:sz="4" w:space="0" w:color="FFFFFF"/>
            </w:tcBorders>
            <w:shd w:val="clear" w:color="auto" w:fill="FAFAFA"/>
            <w:vAlign w:val="center"/>
          </w:tcPr>
          <w:p w14:paraId="68127E3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28800055" w14:textId="77777777" w:rsidR="009D1A60" w:rsidRDefault="00000000">
            <w:pPr>
              <w:spacing w:after="0" w:line="240" w:lineRule="auto"/>
              <w:jc w:val="right"/>
              <w:rPr>
                <w:rFonts w:eastAsia="Arial" w:cs="Arial"/>
                <w:sz w:val="17"/>
                <w:szCs w:val="17"/>
              </w:rPr>
            </w:pPr>
            <w:r>
              <w:rPr>
                <w:color w:val="000000"/>
                <w:sz w:val="17"/>
                <w:szCs w:val="17"/>
              </w:rPr>
              <w:t>14 007</w:t>
            </w:r>
          </w:p>
        </w:tc>
        <w:tc>
          <w:tcPr>
            <w:tcW w:w="1701" w:type="dxa"/>
            <w:tcBorders>
              <w:top w:val="nil"/>
              <w:left w:val="nil"/>
              <w:bottom w:val="single" w:sz="4" w:space="0" w:color="FFFFFF"/>
              <w:right w:val="single" w:sz="4" w:space="0" w:color="FFFFFF"/>
            </w:tcBorders>
            <w:shd w:val="clear" w:color="auto" w:fill="FAFAFA"/>
            <w:vAlign w:val="center"/>
          </w:tcPr>
          <w:p w14:paraId="5199913F" w14:textId="77777777" w:rsidR="009D1A60" w:rsidRDefault="00000000">
            <w:pPr>
              <w:spacing w:after="0" w:line="240" w:lineRule="auto"/>
              <w:jc w:val="right"/>
              <w:rPr>
                <w:rFonts w:eastAsia="Arial" w:cs="Arial"/>
                <w:sz w:val="17"/>
                <w:szCs w:val="17"/>
              </w:rPr>
            </w:pPr>
            <w:r>
              <w:rPr>
                <w:sz w:val="17"/>
                <w:szCs w:val="17"/>
              </w:rPr>
              <w:t>14 007</w:t>
            </w:r>
          </w:p>
        </w:tc>
      </w:tr>
      <w:tr w:rsidR="009D1A60" w14:paraId="42F574F0"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64E58952" w14:textId="77777777" w:rsidR="009D1A60" w:rsidRDefault="00000000">
            <w:pPr>
              <w:spacing w:after="0" w:line="240" w:lineRule="auto"/>
              <w:jc w:val="left"/>
              <w:rPr>
                <w:rFonts w:eastAsia="Arial" w:cs="Arial"/>
                <w:sz w:val="17"/>
                <w:szCs w:val="17"/>
              </w:rPr>
            </w:pPr>
            <w:r>
              <w:rPr>
                <w:rFonts w:eastAsia="Arial" w:cs="Arial"/>
                <w:sz w:val="17"/>
                <w:szCs w:val="17"/>
              </w:rPr>
              <w:t>Treasury shares</w:t>
            </w:r>
          </w:p>
        </w:tc>
        <w:tc>
          <w:tcPr>
            <w:tcW w:w="1134" w:type="dxa"/>
            <w:tcBorders>
              <w:top w:val="nil"/>
              <w:left w:val="nil"/>
              <w:bottom w:val="single" w:sz="4" w:space="0" w:color="FFFFFF"/>
              <w:right w:val="single" w:sz="4" w:space="0" w:color="FFFFFF"/>
            </w:tcBorders>
            <w:shd w:val="clear" w:color="auto" w:fill="FAFAFA"/>
            <w:vAlign w:val="center"/>
          </w:tcPr>
          <w:p w14:paraId="54D20E64"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97EF8FC" w14:textId="77777777" w:rsidR="009D1A60" w:rsidRDefault="00000000">
            <w:pPr>
              <w:spacing w:after="0" w:line="240" w:lineRule="auto"/>
              <w:jc w:val="right"/>
              <w:rPr>
                <w:rFonts w:eastAsia="Arial" w:cs="Arial"/>
                <w:sz w:val="17"/>
                <w:szCs w:val="17"/>
              </w:rPr>
            </w:pPr>
            <w:r>
              <w:rPr>
                <w:color w:val="000000"/>
                <w:sz w:val="17"/>
                <w:szCs w:val="17"/>
              </w:rPr>
              <w:t>-390</w:t>
            </w:r>
          </w:p>
        </w:tc>
        <w:tc>
          <w:tcPr>
            <w:tcW w:w="1701" w:type="dxa"/>
            <w:tcBorders>
              <w:top w:val="nil"/>
              <w:left w:val="nil"/>
              <w:bottom w:val="single" w:sz="4" w:space="0" w:color="FFFFFF"/>
              <w:right w:val="single" w:sz="4" w:space="0" w:color="FFFFFF"/>
            </w:tcBorders>
            <w:shd w:val="clear" w:color="auto" w:fill="FAFAFA"/>
            <w:vAlign w:val="center"/>
          </w:tcPr>
          <w:p w14:paraId="3722892E" w14:textId="77777777" w:rsidR="009D1A60" w:rsidRDefault="00000000">
            <w:pPr>
              <w:spacing w:after="0" w:line="240" w:lineRule="auto"/>
              <w:jc w:val="right"/>
              <w:rPr>
                <w:rFonts w:eastAsia="Arial" w:cs="Arial"/>
                <w:sz w:val="17"/>
                <w:szCs w:val="17"/>
              </w:rPr>
            </w:pPr>
            <w:r>
              <w:rPr>
                <w:sz w:val="17"/>
                <w:szCs w:val="17"/>
              </w:rPr>
              <w:t>-390</w:t>
            </w:r>
          </w:p>
        </w:tc>
      </w:tr>
      <w:tr w:rsidR="009D1A60" w14:paraId="383353C9"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5D94031D" w14:textId="77777777" w:rsidR="009D1A60" w:rsidRDefault="00000000">
            <w:pPr>
              <w:spacing w:after="0" w:line="240" w:lineRule="auto"/>
              <w:jc w:val="left"/>
              <w:rPr>
                <w:rFonts w:eastAsia="Arial" w:cs="Arial"/>
                <w:sz w:val="17"/>
                <w:szCs w:val="17"/>
              </w:rPr>
            </w:pPr>
            <w:r>
              <w:rPr>
                <w:rFonts w:eastAsia="Arial" w:cs="Arial"/>
                <w:sz w:val="17"/>
                <w:szCs w:val="17"/>
              </w:rPr>
              <w:t>Statutory capital reserve</w:t>
            </w:r>
          </w:p>
        </w:tc>
        <w:tc>
          <w:tcPr>
            <w:tcW w:w="1134" w:type="dxa"/>
            <w:tcBorders>
              <w:top w:val="nil"/>
              <w:left w:val="nil"/>
              <w:bottom w:val="single" w:sz="4" w:space="0" w:color="FFFFFF"/>
              <w:right w:val="single" w:sz="4" w:space="0" w:color="FFFFFF"/>
            </w:tcBorders>
            <w:shd w:val="clear" w:color="auto" w:fill="FAFAFA"/>
            <w:vAlign w:val="center"/>
          </w:tcPr>
          <w:p w14:paraId="124846E8"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79D4DDD0" w14:textId="77777777" w:rsidR="009D1A60" w:rsidRDefault="00000000">
            <w:pPr>
              <w:spacing w:after="0" w:line="240" w:lineRule="auto"/>
              <w:jc w:val="right"/>
              <w:rPr>
                <w:rFonts w:eastAsia="Arial" w:cs="Arial"/>
                <w:sz w:val="17"/>
                <w:szCs w:val="17"/>
              </w:rPr>
            </w:pPr>
            <w:r>
              <w:rPr>
                <w:color w:val="000000"/>
                <w:sz w:val="17"/>
                <w:szCs w:val="17"/>
              </w:rPr>
              <w:t>51</w:t>
            </w:r>
          </w:p>
        </w:tc>
        <w:tc>
          <w:tcPr>
            <w:tcW w:w="1701" w:type="dxa"/>
            <w:tcBorders>
              <w:top w:val="nil"/>
              <w:left w:val="nil"/>
              <w:bottom w:val="single" w:sz="4" w:space="0" w:color="FFFFFF"/>
              <w:right w:val="single" w:sz="4" w:space="0" w:color="FFFFFF"/>
            </w:tcBorders>
            <w:shd w:val="clear" w:color="auto" w:fill="FAFAFA"/>
            <w:vAlign w:val="center"/>
          </w:tcPr>
          <w:p w14:paraId="764E62DB" w14:textId="77777777" w:rsidR="009D1A60" w:rsidRDefault="00000000">
            <w:pPr>
              <w:spacing w:after="0" w:line="240" w:lineRule="auto"/>
              <w:jc w:val="right"/>
              <w:rPr>
                <w:rFonts w:eastAsia="Arial" w:cs="Arial"/>
                <w:sz w:val="17"/>
                <w:szCs w:val="17"/>
              </w:rPr>
            </w:pPr>
            <w:r>
              <w:rPr>
                <w:sz w:val="17"/>
                <w:szCs w:val="17"/>
              </w:rPr>
              <w:t>51</w:t>
            </w:r>
          </w:p>
        </w:tc>
      </w:tr>
      <w:tr w:rsidR="009D1A60" w14:paraId="707121D6"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242212F9" w14:textId="77777777" w:rsidR="009D1A60" w:rsidRDefault="00000000">
            <w:pPr>
              <w:spacing w:after="0" w:line="240" w:lineRule="auto"/>
              <w:jc w:val="left"/>
              <w:rPr>
                <w:rFonts w:eastAsia="Arial" w:cs="Arial"/>
                <w:sz w:val="17"/>
                <w:szCs w:val="17"/>
              </w:rPr>
            </w:pPr>
            <w:r>
              <w:rPr>
                <w:rFonts w:eastAsia="Arial" w:cs="Arial"/>
                <w:sz w:val="17"/>
                <w:szCs w:val="17"/>
              </w:rPr>
              <w:t>Currency translation differences</w:t>
            </w:r>
          </w:p>
        </w:tc>
        <w:tc>
          <w:tcPr>
            <w:tcW w:w="1134" w:type="dxa"/>
            <w:tcBorders>
              <w:top w:val="nil"/>
              <w:left w:val="nil"/>
              <w:bottom w:val="single" w:sz="4" w:space="0" w:color="FFFFFF"/>
              <w:right w:val="single" w:sz="4" w:space="0" w:color="FFFFFF"/>
            </w:tcBorders>
            <w:shd w:val="clear" w:color="auto" w:fill="FAFAFA"/>
            <w:vAlign w:val="center"/>
          </w:tcPr>
          <w:p w14:paraId="4A3EA2D6"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FF9D76A" w14:textId="77777777" w:rsidR="009D1A60" w:rsidRDefault="00000000">
            <w:pPr>
              <w:spacing w:after="0" w:line="240" w:lineRule="auto"/>
              <w:jc w:val="right"/>
              <w:rPr>
                <w:rFonts w:eastAsia="Arial" w:cs="Arial"/>
                <w:sz w:val="17"/>
                <w:szCs w:val="17"/>
              </w:rPr>
            </w:pPr>
            <w:r>
              <w:rPr>
                <w:color w:val="000000"/>
                <w:sz w:val="17"/>
                <w:szCs w:val="17"/>
              </w:rPr>
              <w:t>1 15</w:t>
            </w:r>
            <w:r>
              <w:rPr>
                <w:sz w:val="17"/>
                <w:szCs w:val="17"/>
              </w:rPr>
              <w:t>5</w:t>
            </w:r>
          </w:p>
        </w:tc>
        <w:tc>
          <w:tcPr>
            <w:tcW w:w="1701" w:type="dxa"/>
            <w:tcBorders>
              <w:top w:val="nil"/>
              <w:left w:val="nil"/>
              <w:bottom w:val="single" w:sz="4" w:space="0" w:color="FFFFFF"/>
              <w:right w:val="single" w:sz="4" w:space="0" w:color="FFFFFF"/>
            </w:tcBorders>
            <w:shd w:val="clear" w:color="auto" w:fill="FAFAFA"/>
            <w:vAlign w:val="center"/>
          </w:tcPr>
          <w:p w14:paraId="0EC9D806" w14:textId="77777777" w:rsidR="009D1A60" w:rsidRDefault="00000000">
            <w:pPr>
              <w:spacing w:after="0" w:line="240" w:lineRule="auto"/>
              <w:jc w:val="right"/>
              <w:rPr>
                <w:rFonts w:eastAsia="Arial" w:cs="Arial"/>
                <w:sz w:val="17"/>
                <w:szCs w:val="17"/>
              </w:rPr>
            </w:pPr>
            <w:r>
              <w:rPr>
                <w:sz w:val="17"/>
                <w:szCs w:val="17"/>
              </w:rPr>
              <w:t>559</w:t>
            </w:r>
          </w:p>
        </w:tc>
      </w:tr>
      <w:tr w:rsidR="009D1A60" w14:paraId="4411C1BC"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3F2C0FC5" w14:textId="77777777" w:rsidR="009D1A60" w:rsidRDefault="00000000">
            <w:pPr>
              <w:spacing w:after="0" w:line="240" w:lineRule="auto"/>
              <w:jc w:val="left"/>
              <w:rPr>
                <w:rFonts w:eastAsia="Arial" w:cs="Arial"/>
                <w:sz w:val="17"/>
                <w:szCs w:val="17"/>
              </w:rPr>
            </w:pPr>
            <w:r>
              <w:rPr>
                <w:rFonts w:eastAsia="Arial" w:cs="Arial"/>
                <w:sz w:val="17"/>
                <w:szCs w:val="17"/>
              </w:rPr>
              <w:t>Retained profit (loss)</w:t>
            </w:r>
          </w:p>
        </w:tc>
        <w:tc>
          <w:tcPr>
            <w:tcW w:w="1134" w:type="dxa"/>
            <w:tcBorders>
              <w:top w:val="nil"/>
              <w:left w:val="nil"/>
              <w:bottom w:val="single" w:sz="4" w:space="0" w:color="FFFFFF"/>
              <w:right w:val="single" w:sz="4" w:space="0" w:color="FFFFFF"/>
            </w:tcBorders>
            <w:shd w:val="clear" w:color="auto" w:fill="FAFAFA"/>
            <w:vAlign w:val="center"/>
          </w:tcPr>
          <w:p w14:paraId="1865CA5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40F3F6C" w14:textId="77777777" w:rsidR="009D1A60" w:rsidRDefault="00000000">
            <w:pPr>
              <w:spacing w:after="0" w:line="240" w:lineRule="auto"/>
              <w:jc w:val="right"/>
              <w:rPr>
                <w:rFonts w:eastAsia="Arial" w:cs="Arial"/>
                <w:sz w:val="17"/>
                <w:szCs w:val="17"/>
              </w:rPr>
            </w:pPr>
            <w:r>
              <w:rPr>
                <w:color w:val="000000"/>
                <w:sz w:val="17"/>
                <w:szCs w:val="17"/>
              </w:rPr>
              <w:t>-13 882</w:t>
            </w:r>
          </w:p>
        </w:tc>
        <w:tc>
          <w:tcPr>
            <w:tcW w:w="1701" w:type="dxa"/>
            <w:tcBorders>
              <w:top w:val="nil"/>
              <w:left w:val="nil"/>
              <w:bottom w:val="single" w:sz="4" w:space="0" w:color="FFFFFF"/>
              <w:right w:val="single" w:sz="4" w:space="0" w:color="FFFFFF"/>
            </w:tcBorders>
            <w:shd w:val="clear" w:color="auto" w:fill="FAFAFA"/>
            <w:vAlign w:val="center"/>
          </w:tcPr>
          <w:p w14:paraId="2800DC57" w14:textId="77777777" w:rsidR="009D1A60" w:rsidRDefault="00000000">
            <w:pPr>
              <w:spacing w:after="0" w:line="240" w:lineRule="auto"/>
              <w:jc w:val="right"/>
              <w:rPr>
                <w:rFonts w:eastAsia="Arial" w:cs="Arial"/>
                <w:sz w:val="17"/>
                <w:szCs w:val="17"/>
              </w:rPr>
            </w:pPr>
            <w:r>
              <w:rPr>
                <w:sz w:val="17"/>
                <w:szCs w:val="17"/>
              </w:rPr>
              <w:t>-6 723</w:t>
            </w:r>
          </w:p>
        </w:tc>
      </w:tr>
      <w:tr w:rsidR="009D1A60" w14:paraId="031FB973"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84211C0"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Equity attributable to parent</w:t>
            </w:r>
          </w:p>
        </w:tc>
        <w:tc>
          <w:tcPr>
            <w:tcW w:w="1134" w:type="dxa"/>
            <w:tcBorders>
              <w:top w:val="nil"/>
              <w:left w:val="nil"/>
              <w:bottom w:val="single" w:sz="4" w:space="0" w:color="FFFFFF"/>
              <w:right w:val="single" w:sz="4" w:space="0" w:color="FFFFFF"/>
            </w:tcBorders>
            <w:shd w:val="clear" w:color="auto" w:fill="FAFAFA"/>
            <w:vAlign w:val="center"/>
          </w:tcPr>
          <w:p w14:paraId="19AFE565"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C0003E0" w14:textId="77777777" w:rsidR="009D1A60" w:rsidRDefault="00000000">
            <w:pPr>
              <w:spacing w:after="0" w:line="240" w:lineRule="auto"/>
              <w:jc w:val="right"/>
              <w:rPr>
                <w:rFonts w:eastAsia="Arial" w:cs="Arial"/>
                <w:color w:val="5E6EC8"/>
                <w:sz w:val="17"/>
                <w:szCs w:val="17"/>
              </w:rPr>
            </w:pPr>
            <w:r>
              <w:rPr>
                <w:color w:val="5E6EC8"/>
                <w:sz w:val="17"/>
                <w:szCs w:val="17"/>
              </w:rPr>
              <w:t>8 678</w:t>
            </w:r>
          </w:p>
        </w:tc>
        <w:tc>
          <w:tcPr>
            <w:tcW w:w="1701" w:type="dxa"/>
            <w:tcBorders>
              <w:top w:val="nil"/>
              <w:left w:val="nil"/>
              <w:bottom w:val="single" w:sz="4" w:space="0" w:color="FFFFFF"/>
              <w:right w:val="single" w:sz="4" w:space="0" w:color="FFFFFF"/>
            </w:tcBorders>
            <w:shd w:val="clear" w:color="auto" w:fill="FAFAFA"/>
            <w:vAlign w:val="center"/>
          </w:tcPr>
          <w:p w14:paraId="77A153FB" w14:textId="77777777" w:rsidR="009D1A60" w:rsidRDefault="00000000">
            <w:pPr>
              <w:spacing w:after="0" w:line="240" w:lineRule="auto"/>
              <w:jc w:val="right"/>
              <w:rPr>
                <w:rFonts w:eastAsia="Arial" w:cs="Arial"/>
                <w:color w:val="5E6EC8"/>
                <w:sz w:val="17"/>
                <w:szCs w:val="17"/>
              </w:rPr>
            </w:pPr>
            <w:r>
              <w:rPr>
                <w:color w:val="5E6EC8"/>
                <w:sz w:val="17"/>
                <w:szCs w:val="17"/>
              </w:rPr>
              <w:t>15 241</w:t>
            </w:r>
          </w:p>
        </w:tc>
      </w:tr>
      <w:tr w:rsidR="009D1A60" w14:paraId="1D4D8E03"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731A2E97" w14:textId="77777777" w:rsidR="009D1A60" w:rsidRDefault="00000000">
            <w:pPr>
              <w:spacing w:after="0" w:line="240" w:lineRule="auto"/>
              <w:jc w:val="left"/>
              <w:rPr>
                <w:rFonts w:eastAsia="Arial" w:cs="Arial"/>
                <w:sz w:val="17"/>
                <w:szCs w:val="17"/>
              </w:rPr>
            </w:pPr>
            <w:r>
              <w:rPr>
                <w:rFonts w:eastAsia="Arial" w:cs="Arial"/>
                <w:sz w:val="17"/>
                <w:szCs w:val="17"/>
              </w:rPr>
              <w:t>Non-controlling interest</w:t>
            </w:r>
          </w:p>
        </w:tc>
        <w:tc>
          <w:tcPr>
            <w:tcW w:w="1134" w:type="dxa"/>
            <w:tcBorders>
              <w:top w:val="nil"/>
              <w:left w:val="nil"/>
              <w:bottom w:val="single" w:sz="4" w:space="0" w:color="FFFFFF"/>
              <w:right w:val="single" w:sz="4" w:space="0" w:color="FFFFFF"/>
            </w:tcBorders>
            <w:shd w:val="clear" w:color="auto" w:fill="FAFAFA"/>
            <w:vAlign w:val="center"/>
          </w:tcPr>
          <w:p w14:paraId="4E7A517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5932CE6" w14:textId="77777777" w:rsidR="009D1A60" w:rsidRDefault="00000000">
            <w:pPr>
              <w:spacing w:after="0" w:line="240" w:lineRule="auto"/>
              <w:jc w:val="right"/>
              <w:rPr>
                <w:rFonts w:eastAsia="Arial" w:cs="Arial"/>
                <w:sz w:val="17"/>
                <w:szCs w:val="17"/>
              </w:rPr>
            </w:pPr>
            <w:r>
              <w:rPr>
                <w:color w:val="000000"/>
                <w:sz w:val="17"/>
                <w:szCs w:val="17"/>
              </w:rPr>
              <w:t>199</w:t>
            </w:r>
          </w:p>
        </w:tc>
        <w:tc>
          <w:tcPr>
            <w:tcW w:w="1701" w:type="dxa"/>
            <w:tcBorders>
              <w:top w:val="nil"/>
              <w:left w:val="nil"/>
              <w:bottom w:val="single" w:sz="4" w:space="0" w:color="FFFFFF"/>
              <w:right w:val="single" w:sz="4" w:space="0" w:color="FFFFFF"/>
            </w:tcBorders>
            <w:shd w:val="clear" w:color="auto" w:fill="FAFAFA"/>
            <w:vAlign w:val="center"/>
          </w:tcPr>
          <w:p w14:paraId="3A2E4D05" w14:textId="77777777" w:rsidR="009D1A60" w:rsidRDefault="00000000">
            <w:pPr>
              <w:spacing w:after="0" w:line="240" w:lineRule="auto"/>
              <w:jc w:val="right"/>
              <w:rPr>
                <w:rFonts w:eastAsia="Arial" w:cs="Arial"/>
                <w:sz w:val="17"/>
                <w:szCs w:val="17"/>
              </w:rPr>
            </w:pPr>
            <w:r>
              <w:rPr>
                <w:sz w:val="17"/>
                <w:szCs w:val="17"/>
              </w:rPr>
              <w:t>533</w:t>
            </w:r>
          </w:p>
        </w:tc>
      </w:tr>
      <w:tr w:rsidR="009D1A60" w14:paraId="434BE669"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434DD0B9"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EQUITY</w:t>
            </w:r>
          </w:p>
        </w:tc>
        <w:tc>
          <w:tcPr>
            <w:tcW w:w="1134" w:type="dxa"/>
            <w:tcBorders>
              <w:top w:val="nil"/>
              <w:left w:val="nil"/>
              <w:bottom w:val="single" w:sz="4" w:space="0" w:color="FFFFFF"/>
              <w:right w:val="single" w:sz="4" w:space="0" w:color="FFFFFF"/>
            </w:tcBorders>
            <w:shd w:val="clear" w:color="auto" w:fill="FAFAFA"/>
            <w:vAlign w:val="center"/>
          </w:tcPr>
          <w:p w14:paraId="1B4D1590"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4</w:t>
            </w:r>
          </w:p>
        </w:tc>
        <w:tc>
          <w:tcPr>
            <w:tcW w:w="1559" w:type="dxa"/>
            <w:tcBorders>
              <w:top w:val="nil"/>
              <w:left w:val="nil"/>
              <w:bottom w:val="single" w:sz="4" w:space="0" w:color="FFFFFF"/>
              <w:right w:val="single" w:sz="4" w:space="0" w:color="FFFFFF"/>
            </w:tcBorders>
            <w:shd w:val="clear" w:color="auto" w:fill="FAFAFA"/>
            <w:vAlign w:val="center"/>
          </w:tcPr>
          <w:p w14:paraId="7740EC4F" w14:textId="77777777" w:rsidR="009D1A60" w:rsidRDefault="00000000">
            <w:pPr>
              <w:spacing w:after="0" w:line="240" w:lineRule="auto"/>
              <w:jc w:val="right"/>
              <w:rPr>
                <w:rFonts w:eastAsia="Arial" w:cs="Arial"/>
                <w:b/>
                <w:color w:val="5E6EC8"/>
                <w:sz w:val="17"/>
                <w:szCs w:val="17"/>
              </w:rPr>
            </w:pPr>
            <w:r>
              <w:rPr>
                <w:b/>
                <w:color w:val="5E6EC8"/>
                <w:sz w:val="17"/>
                <w:szCs w:val="17"/>
              </w:rPr>
              <w:t>8 877</w:t>
            </w:r>
          </w:p>
        </w:tc>
        <w:tc>
          <w:tcPr>
            <w:tcW w:w="1701" w:type="dxa"/>
            <w:tcBorders>
              <w:top w:val="nil"/>
              <w:left w:val="nil"/>
              <w:bottom w:val="single" w:sz="4" w:space="0" w:color="FFFFFF"/>
              <w:right w:val="single" w:sz="4" w:space="0" w:color="FFFFFF"/>
            </w:tcBorders>
            <w:shd w:val="clear" w:color="auto" w:fill="FAFAFA"/>
            <w:vAlign w:val="center"/>
          </w:tcPr>
          <w:p w14:paraId="10B678FB" w14:textId="77777777" w:rsidR="009D1A60" w:rsidRDefault="00000000">
            <w:pPr>
              <w:spacing w:after="0" w:line="240" w:lineRule="auto"/>
              <w:jc w:val="right"/>
              <w:rPr>
                <w:rFonts w:eastAsia="Arial" w:cs="Arial"/>
                <w:b/>
                <w:color w:val="5E6EC8"/>
                <w:sz w:val="17"/>
                <w:szCs w:val="17"/>
              </w:rPr>
            </w:pPr>
            <w:r>
              <w:rPr>
                <w:b/>
                <w:color w:val="5E6EC8"/>
                <w:sz w:val="17"/>
                <w:szCs w:val="17"/>
              </w:rPr>
              <w:t>15 774</w:t>
            </w:r>
          </w:p>
        </w:tc>
      </w:tr>
      <w:tr w:rsidR="009D1A60" w14:paraId="79609E44" w14:textId="77777777" w:rsidTr="001A7CB9">
        <w:trPr>
          <w:trHeight w:val="300"/>
        </w:trPr>
        <w:tc>
          <w:tcPr>
            <w:tcW w:w="4673" w:type="dxa"/>
            <w:tcBorders>
              <w:top w:val="nil"/>
              <w:left w:val="single" w:sz="4" w:space="0" w:color="FFFFFF"/>
              <w:bottom w:val="single" w:sz="4" w:space="0" w:color="FFFFFF"/>
              <w:right w:val="single" w:sz="4" w:space="0" w:color="FFFFFF"/>
            </w:tcBorders>
            <w:shd w:val="clear" w:color="auto" w:fill="FAFAFA"/>
            <w:vAlign w:val="center"/>
          </w:tcPr>
          <w:p w14:paraId="51D330F2"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EQUITY AND LIABILITIES</w:t>
            </w:r>
          </w:p>
        </w:tc>
        <w:tc>
          <w:tcPr>
            <w:tcW w:w="1134" w:type="dxa"/>
            <w:tcBorders>
              <w:top w:val="nil"/>
              <w:left w:val="nil"/>
              <w:bottom w:val="single" w:sz="4" w:space="0" w:color="FFFFFF"/>
              <w:right w:val="single" w:sz="4" w:space="0" w:color="FFFFFF"/>
            </w:tcBorders>
            <w:shd w:val="clear" w:color="auto" w:fill="FAFAFA"/>
            <w:vAlign w:val="center"/>
          </w:tcPr>
          <w:p w14:paraId="2E0995D9"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0C668D1" w14:textId="77777777" w:rsidR="009D1A60" w:rsidRDefault="00000000">
            <w:pPr>
              <w:spacing w:after="0" w:line="240" w:lineRule="auto"/>
              <w:jc w:val="right"/>
              <w:rPr>
                <w:rFonts w:eastAsia="Arial" w:cs="Arial"/>
                <w:b/>
                <w:color w:val="5E6EC8"/>
                <w:sz w:val="17"/>
                <w:szCs w:val="17"/>
              </w:rPr>
            </w:pPr>
            <w:r>
              <w:rPr>
                <w:b/>
                <w:color w:val="5E6EC8"/>
                <w:sz w:val="17"/>
                <w:szCs w:val="17"/>
              </w:rPr>
              <w:t>38 232</w:t>
            </w:r>
          </w:p>
        </w:tc>
        <w:tc>
          <w:tcPr>
            <w:tcW w:w="1701" w:type="dxa"/>
            <w:tcBorders>
              <w:top w:val="nil"/>
              <w:left w:val="nil"/>
              <w:bottom w:val="single" w:sz="4" w:space="0" w:color="FFFFFF"/>
              <w:right w:val="single" w:sz="4" w:space="0" w:color="FFFFFF"/>
            </w:tcBorders>
            <w:shd w:val="clear" w:color="auto" w:fill="FAFAFA"/>
            <w:vAlign w:val="center"/>
          </w:tcPr>
          <w:p w14:paraId="16B0029A" w14:textId="77777777" w:rsidR="009D1A60" w:rsidRDefault="00000000">
            <w:pPr>
              <w:spacing w:after="0" w:line="240" w:lineRule="auto"/>
              <w:jc w:val="right"/>
              <w:rPr>
                <w:rFonts w:eastAsia="Arial" w:cs="Arial"/>
                <w:b/>
                <w:color w:val="5E6EC8"/>
                <w:sz w:val="17"/>
                <w:szCs w:val="17"/>
              </w:rPr>
            </w:pPr>
            <w:r>
              <w:rPr>
                <w:b/>
                <w:color w:val="5E6EC8"/>
                <w:sz w:val="17"/>
                <w:szCs w:val="17"/>
              </w:rPr>
              <w:t>55 598</w:t>
            </w:r>
          </w:p>
        </w:tc>
      </w:tr>
    </w:tbl>
    <w:p w14:paraId="0AA48C1F" w14:textId="77777777" w:rsidR="009D1A60" w:rsidRDefault="009D1A60"/>
    <w:p w14:paraId="65A026A6" w14:textId="77777777" w:rsidR="009D1A60" w:rsidRDefault="00000000">
      <w:pPr>
        <w:pStyle w:val="Heading2"/>
      </w:pPr>
      <w:bookmarkStart w:id="16" w:name="_Toc112873379"/>
      <w:r>
        <w:lastRenderedPageBreak/>
        <w:t>Consolidated Statement of Profit or Loss And Comprehensive Income</w:t>
      </w:r>
      <w:bookmarkEnd w:id="16"/>
    </w:p>
    <w:tbl>
      <w:tblPr>
        <w:tblStyle w:val="ae"/>
        <w:tblW w:w="9634" w:type="dxa"/>
        <w:tblLayout w:type="fixed"/>
        <w:tblLook w:val="0400" w:firstRow="0" w:lastRow="0" w:firstColumn="0" w:lastColumn="0" w:noHBand="0" w:noVBand="1"/>
      </w:tblPr>
      <w:tblGrid>
        <w:gridCol w:w="5382"/>
        <w:gridCol w:w="1134"/>
        <w:gridCol w:w="1559"/>
        <w:gridCol w:w="1559"/>
      </w:tblGrid>
      <w:tr w:rsidR="009D1A60" w14:paraId="43C47191" w14:textId="77777777">
        <w:trPr>
          <w:trHeight w:val="570"/>
        </w:trPr>
        <w:tc>
          <w:tcPr>
            <w:tcW w:w="5382"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4BF7A0A5"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EUR '000</w:t>
            </w:r>
          </w:p>
        </w:tc>
        <w:tc>
          <w:tcPr>
            <w:tcW w:w="1134" w:type="dxa"/>
            <w:tcBorders>
              <w:top w:val="single" w:sz="4" w:space="0" w:color="FFFFFF"/>
              <w:left w:val="nil"/>
              <w:bottom w:val="single" w:sz="4" w:space="0" w:color="FFFFFF"/>
              <w:right w:val="single" w:sz="4" w:space="0" w:color="FFFFFF"/>
            </w:tcBorders>
            <w:shd w:val="clear" w:color="auto" w:fill="363270"/>
            <w:vAlign w:val="center"/>
          </w:tcPr>
          <w:p w14:paraId="75DABAD2"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Note</w:t>
            </w:r>
          </w:p>
        </w:tc>
        <w:tc>
          <w:tcPr>
            <w:tcW w:w="1559" w:type="dxa"/>
            <w:tcBorders>
              <w:top w:val="single" w:sz="4" w:space="0" w:color="FFFFFF"/>
              <w:left w:val="nil"/>
              <w:bottom w:val="single" w:sz="4" w:space="0" w:color="FFFFFF"/>
              <w:right w:val="single" w:sz="4" w:space="0" w:color="FFFFFF"/>
            </w:tcBorders>
            <w:shd w:val="clear" w:color="auto" w:fill="363270"/>
            <w:vAlign w:val="center"/>
          </w:tcPr>
          <w:p w14:paraId="633E052B" w14:textId="77777777" w:rsidR="009D1A60" w:rsidRDefault="00000000">
            <w:pPr>
              <w:spacing w:after="0" w:line="240" w:lineRule="auto"/>
              <w:jc w:val="right"/>
              <w:rPr>
                <w:rFonts w:eastAsia="Arial" w:cs="Arial"/>
                <w:color w:val="FFFFFF"/>
                <w:sz w:val="17"/>
                <w:szCs w:val="17"/>
              </w:rPr>
            </w:pPr>
            <w:r>
              <w:rPr>
                <w:color w:val="FFFFFF"/>
                <w:sz w:val="17"/>
                <w:szCs w:val="17"/>
              </w:rPr>
              <w:t>12k 2021/2022</w:t>
            </w:r>
          </w:p>
        </w:tc>
        <w:tc>
          <w:tcPr>
            <w:tcW w:w="1559" w:type="dxa"/>
            <w:tcBorders>
              <w:top w:val="single" w:sz="4" w:space="0" w:color="FFFFFF"/>
              <w:left w:val="nil"/>
              <w:bottom w:val="single" w:sz="4" w:space="0" w:color="FFFFFF"/>
              <w:right w:val="single" w:sz="4" w:space="0" w:color="FFFFFF"/>
            </w:tcBorders>
            <w:shd w:val="clear" w:color="auto" w:fill="363270"/>
            <w:vAlign w:val="center"/>
          </w:tcPr>
          <w:p w14:paraId="5D593EA0" w14:textId="77777777" w:rsidR="009D1A60" w:rsidRDefault="00000000">
            <w:pPr>
              <w:spacing w:after="0" w:line="240" w:lineRule="auto"/>
              <w:jc w:val="right"/>
              <w:rPr>
                <w:rFonts w:eastAsia="Arial" w:cs="Arial"/>
                <w:color w:val="FFFFFF"/>
                <w:sz w:val="17"/>
                <w:szCs w:val="17"/>
              </w:rPr>
            </w:pPr>
            <w:r>
              <w:rPr>
                <w:color w:val="FFFFFF"/>
                <w:sz w:val="17"/>
                <w:szCs w:val="17"/>
              </w:rPr>
              <w:t>12k 2020/2021</w:t>
            </w:r>
          </w:p>
        </w:tc>
      </w:tr>
      <w:tr w:rsidR="009D1A60" w14:paraId="3EEAF634"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6245A1AA" w14:textId="77777777" w:rsidR="009D1A60" w:rsidRDefault="00000000">
            <w:pPr>
              <w:spacing w:after="0" w:line="240" w:lineRule="auto"/>
              <w:jc w:val="left"/>
              <w:rPr>
                <w:rFonts w:eastAsia="Arial" w:cs="Arial"/>
                <w:sz w:val="17"/>
                <w:szCs w:val="17"/>
              </w:rPr>
            </w:pPr>
            <w:r>
              <w:rPr>
                <w:rFonts w:eastAsia="Arial" w:cs="Arial"/>
                <w:sz w:val="17"/>
                <w:szCs w:val="17"/>
              </w:rPr>
              <w:t>Revenue</w:t>
            </w:r>
          </w:p>
        </w:tc>
        <w:tc>
          <w:tcPr>
            <w:tcW w:w="1134" w:type="dxa"/>
            <w:tcBorders>
              <w:top w:val="nil"/>
              <w:left w:val="nil"/>
              <w:bottom w:val="single" w:sz="4" w:space="0" w:color="FFFFFF"/>
              <w:right w:val="single" w:sz="4" w:space="0" w:color="FFFFFF"/>
            </w:tcBorders>
            <w:shd w:val="clear" w:color="auto" w:fill="FAFAFA"/>
            <w:vAlign w:val="center"/>
          </w:tcPr>
          <w:p w14:paraId="2457D65E"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58C7A54B" w14:textId="77777777" w:rsidR="009D1A60" w:rsidRDefault="00000000">
            <w:pPr>
              <w:spacing w:after="0" w:line="240" w:lineRule="auto"/>
              <w:jc w:val="right"/>
              <w:rPr>
                <w:rFonts w:eastAsia="Arial" w:cs="Arial"/>
                <w:sz w:val="17"/>
                <w:szCs w:val="17"/>
              </w:rPr>
            </w:pPr>
            <w:r>
              <w:rPr>
                <w:color w:val="000000"/>
                <w:sz w:val="17"/>
                <w:szCs w:val="17"/>
              </w:rPr>
              <w:t>47 176</w:t>
            </w:r>
          </w:p>
        </w:tc>
        <w:tc>
          <w:tcPr>
            <w:tcW w:w="1559" w:type="dxa"/>
            <w:tcBorders>
              <w:top w:val="nil"/>
              <w:left w:val="nil"/>
              <w:bottom w:val="single" w:sz="4" w:space="0" w:color="FFFFFF"/>
              <w:right w:val="single" w:sz="4" w:space="0" w:color="FFFFFF"/>
            </w:tcBorders>
            <w:shd w:val="clear" w:color="auto" w:fill="FAFAFA"/>
            <w:vAlign w:val="center"/>
          </w:tcPr>
          <w:p w14:paraId="7E1D2395" w14:textId="77777777" w:rsidR="009D1A60" w:rsidRDefault="00000000">
            <w:pPr>
              <w:spacing w:after="0" w:line="240" w:lineRule="auto"/>
              <w:jc w:val="right"/>
              <w:rPr>
                <w:rFonts w:eastAsia="Arial" w:cs="Arial"/>
                <w:sz w:val="17"/>
                <w:szCs w:val="17"/>
              </w:rPr>
            </w:pPr>
            <w:r>
              <w:rPr>
                <w:color w:val="000000"/>
                <w:sz w:val="17"/>
                <w:szCs w:val="17"/>
              </w:rPr>
              <w:t>58 692</w:t>
            </w:r>
          </w:p>
        </w:tc>
      </w:tr>
      <w:tr w:rsidR="009D1A60" w14:paraId="48090273"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6F3F218" w14:textId="77777777" w:rsidR="009D1A60" w:rsidRDefault="00000000">
            <w:pPr>
              <w:spacing w:after="0" w:line="240" w:lineRule="auto"/>
              <w:jc w:val="left"/>
              <w:rPr>
                <w:rFonts w:eastAsia="Arial" w:cs="Arial"/>
                <w:sz w:val="17"/>
                <w:szCs w:val="17"/>
              </w:rPr>
            </w:pPr>
            <w:r>
              <w:rPr>
                <w:rFonts w:eastAsia="Arial" w:cs="Arial"/>
                <w:sz w:val="17"/>
                <w:szCs w:val="17"/>
              </w:rPr>
              <w:t>Cost of goods sold</w:t>
            </w:r>
          </w:p>
        </w:tc>
        <w:tc>
          <w:tcPr>
            <w:tcW w:w="1134" w:type="dxa"/>
            <w:tcBorders>
              <w:top w:val="nil"/>
              <w:left w:val="nil"/>
              <w:bottom w:val="single" w:sz="4" w:space="0" w:color="FFFFFF"/>
              <w:right w:val="single" w:sz="4" w:space="0" w:color="FFFFFF"/>
            </w:tcBorders>
            <w:shd w:val="clear" w:color="auto" w:fill="FAFAFA"/>
            <w:vAlign w:val="center"/>
          </w:tcPr>
          <w:p w14:paraId="679B6E50"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50E3ECF8" w14:textId="77777777" w:rsidR="009D1A60" w:rsidRDefault="00000000">
            <w:pPr>
              <w:spacing w:after="0" w:line="240" w:lineRule="auto"/>
              <w:jc w:val="right"/>
              <w:rPr>
                <w:rFonts w:eastAsia="Arial" w:cs="Arial"/>
                <w:sz w:val="17"/>
                <w:szCs w:val="17"/>
              </w:rPr>
            </w:pPr>
            <w:r>
              <w:rPr>
                <w:color w:val="000000"/>
                <w:sz w:val="17"/>
                <w:szCs w:val="17"/>
              </w:rPr>
              <w:t>-44 090</w:t>
            </w:r>
          </w:p>
        </w:tc>
        <w:tc>
          <w:tcPr>
            <w:tcW w:w="1559" w:type="dxa"/>
            <w:tcBorders>
              <w:top w:val="nil"/>
              <w:left w:val="nil"/>
              <w:bottom w:val="single" w:sz="4" w:space="0" w:color="FFFFFF"/>
              <w:right w:val="single" w:sz="4" w:space="0" w:color="FFFFFF"/>
            </w:tcBorders>
            <w:shd w:val="clear" w:color="auto" w:fill="FAFAFA"/>
            <w:vAlign w:val="center"/>
          </w:tcPr>
          <w:p w14:paraId="5306D43D" w14:textId="77777777" w:rsidR="009D1A60" w:rsidRDefault="00000000">
            <w:pPr>
              <w:spacing w:after="0" w:line="240" w:lineRule="auto"/>
              <w:jc w:val="right"/>
              <w:rPr>
                <w:rFonts w:eastAsia="Arial" w:cs="Arial"/>
                <w:sz w:val="17"/>
                <w:szCs w:val="17"/>
              </w:rPr>
            </w:pPr>
            <w:r>
              <w:rPr>
                <w:color w:val="000000"/>
                <w:sz w:val="17"/>
                <w:szCs w:val="17"/>
              </w:rPr>
              <w:t>-53 727</w:t>
            </w:r>
          </w:p>
        </w:tc>
      </w:tr>
      <w:tr w:rsidR="009D1A60" w14:paraId="39906072"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1CAFCAE6"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Gross profit</w:t>
            </w:r>
          </w:p>
        </w:tc>
        <w:tc>
          <w:tcPr>
            <w:tcW w:w="1134" w:type="dxa"/>
            <w:tcBorders>
              <w:top w:val="nil"/>
              <w:left w:val="nil"/>
              <w:bottom w:val="single" w:sz="4" w:space="0" w:color="FFFFFF"/>
              <w:right w:val="single" w:sz="4" w:space="0" w:color="FFFFFF"/>
            </w:tcBorders>
            <w:shd w:val="clear" w:color="auto" w:fill="FAFAFA"/>
            <w:vAlign w:val="center"/>
          </w:tcPr>
          <w:p w14:paraId="1F079A38" w14:textId="77777777" w:rsidR="009D1A60" w:rsidRDefault="009D1A60">
            <w:pPr>
              <w:spacing w:after="0" w:line="240" w:lineRule="auto"/>
              <w:jc w:val="center"/>
              <w:rPr>
                <w:rFonts w:eastAsia="Arial" w:cs="Arial"/>
                <w:b/>
                <w:color w:val="5E6EC8"/>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01B426D2" w14:textId="77777777" w:rsidR="009D1A60" w:rsidRDefault="00000000">
            <w:pPr>
              <w:spacing w:after="0" w:line="240" w:lineRule="auto"/>
              <w:jc w:val="right"/>
              <w:rPr>
                <w:rFonts w:eastAsia="Arial" w:cs="Arial"/>
                <w:b/>
                <w:color w:val="5E6EC8"/>
                <w:sz w:val="17"/>
                <w:szCs w:val="17"/>
              </w:rPr>
            </w:pPr>
            <w:r>
              <w:rPr>
                <w:b/>
                <w:color w:val="5E6EC8"/>
                <w:sz w:val="17"/>
                <w:szCs w:val="17"/>
              </w:rPr>
              <w:t>3 086</w:t>
            </w:r>
          </w:p>
        </w:tc>
        <w:tc>
          <w:tcPr>
            <w:tcW w:w="1559" w:type="dxa"/>
            <w:tcBorders>
              <w:top w:val="nil"/>
              <w:left w:val="nil"/>
              <w:bottom w:val="single" w:sz="4" w:space="0" w:color="FFFFFF"/>
              <w:right w:val="single" w:sz="4" w:space="0" w:color="FFFFFF"/>
            </w:tcBorders>
            <w:shd w:val="clear" w:color="auto" w:fill="FAFAFA"/>
            <w:vAlign w:val="center"/>
          </w:tcPr>
          <w:p w14:paraId="7741FCE9" w14:textId="77777777" w:rsidR="009D1A60" w:rsidRDefault="00000000">
            <w:pPr>
              <w:spacing w:after="0" w:line="240" w:lineRule="auto"/>
              <w:jc w:val="right"/>
              <w:rPr>
                <w:rFonts w:eastAsia="Arial" w:cs="Arial"/>
                <w:b/>
                <w:color w:val="5E6EC8"/>
                <w:sz w:val="17"/>
                <w:szCs w:val="17"/>
              </w:rPr>
            </w:pPr>
            <w:r>
              <w:rPr>
                <w:b/>
                <w:color w:val="5E6EC8"/>
                <w:sz w:val="17"/>
                <w:szCs w:val="17"/>
              </w:rPr>
              <w:t>4 965</w:t>
            </w:r>
          </w:p>
        </w:tc>
      </w:tr>
      <w:tr w:rsidR="009D1A60" w14:paraId="667F244E"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72D0D23F"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501EBD1D" w14:textId="77777777" w:rsidR="009D1A60" w:rsidRDefault="009D1A60">
            <w:pPr>
              <w:spacing w:after="0" w:line="240" w:lineRule="auto"/>
              <w:jc w:val="center"/>
              <w:rPr>
                <w:rFonts w:eastAsia="Arial" w:cs="Arial"/>
                <w:b/>
                <w:color w:val="5E6EC8"/>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4649CFAF" w14:textId="77777777" w:rsidR="009D1A60" w:rsidRDefault="00000000">
            <w:pPr>
              <w:spacing w:after="0" w:line="240" w:lineRule="auto"/>
              <w:jc w:val="right"/>
              <w:rPr>
                <w:rFonts w:eastAsia="Arial" w:cs="Arial"/>
                <w:b/>
                <w:color w:val="5E6EC8"/>
                <w:sz w:val="17"/>
                <w:szCs w:val="17"/>
              </w:rPr>
            </w:pPr>
            <w:r>
              <w:rPr>
                <w:rFonts w:eastAsia="Arial" w:cs="Arial"/>
                <w:b/>
                <w:color w:val="5E6EC8"/>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18B157B9" w14:textId="77777777" w:rsidR="009D1A60" w:rsidRDefault="00000000">
            <w:pPr>
              <w:spacing w:after="0" w:line="240" w:lineRule="auto"/>
              <w:jc w:val="right"/>
              <w:rPr>
                <w:rFonts w:eastAsia="Arial" w:cs="Arial"/>
                <w:b/>
                <w:color w:val="5E6EC8"/>
                <w:sz w:val="17"/>
                <w:szCs w:val="17"/>
              </w:rPr>
            </w:pPr>
            <w:r>
              <w:rPr>
                <w:rFonts w:eastAsia="Arial" w:cs="Arial"/>
                <w:b/>
                <w:color w:val="5E6EC8"/>
                <w:sz w:val="17"/>
                <w:szCs w:val="17"/>
              </w:rPr>
              <w:t>.</w:t>
            </w:r>
          </w:p>
        </w:tc>
      </w:tr>
      <w:tr w:rsidR="009D1A60" w14:paraId="3B246C47"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36A0A4D8"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Operating expenses</w:t>
            </w:r>
          </w:p>
        </w:tc>
        <w:tc>
          <w:tcPr>
            <w:tcW w:w="1134" w:type="dxa"/>
            <w:tcBorders>
              <w:top w:val="nil"/>
              <w:left w:val="nil"/>
              <w:bottom w:val="single" w:sz="4" w:space="0" w:color="FFFFFF"/>
              <w:right w:val="single" w:sz="4" w:space="0" w:color="FFFFFF"/>
            </w:tcBorders>
            <w:shd w:val="clear" w:color="auto" w:fill="FAFAFA"/>
            <w:vAlign w:val="center"/>
          </w:tcPr>
          <w:p w14:paraId="4BE0CA82" w14:textId="77777777" w:rsidR="009D1A60" w:rsidRDefault="009D1A60">
            <w:pPr>
              <w:spacing w:after="0" w:line="240" w:lineRule="auto"/>
              <w:jc w:val="center"/>
              <w:rPr>
                <w:rFonts w:eastAsia="Arial" w:cs="Arial"/>
                <w:color w:val="5E6EC8"/>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09C5C77A" w14:textId="77777777" w:rsidR="009D1A60" w:rsidRDefault="00000000">
            <w:pPr>
              <w:spacing w:after="0" w:line="240" w:lineRule="auto"/>
              <w:jc w:val="right"/>
              <w:rPr>
                <w:rFonts w:eastAsia="Arial" w:cs="Arial"/>
                <w:color w:val="5E6EC8"/>
                <w:sz w:val="17"/>
                <w:szCs w:val="17"/>
              </w:rPr>
            </w:pPr>
            <w:r>
              <w:rPr>
                <w:color w:val="5E6EC8"/>
                <w:sz w:val="17"/>
                <w:szCs w:val="17"/>
              </w:rPr>
              <w:t>-7 207</w:t>
            </w:r>
          </w:p>
        </w:tc>
        <w:tc>
          <w:tcPr>
            <w:tcW w:w="1559" w:type="dxa"/>
            <w:tcBorders>
              <w:top w:val="nil"/>
              <w:left w:val="nil"/>
              <w:bottom w:val="single" w:sz="4" w:space="0" w:color="FFFFFF"/>
              <w:right w:val="single" w:sz="4" w:space="0" w:color="FFFFFF"/>
            </w:tcBorders>
            <w:shd w:val="clear" w:color="auto" w:fill="FAFAFA"/>
            <w:vAlign w:val="center"/>
          </w:tcPr>
          <w:p w14:paraId="03825C87" w14:textId="77777777" w:rsidR="009D1A60" w:rsidRDefault="00000000">
            <w:pPr>
              <w:spacing w:after="0" w:line="240" w:lineRule="auto"/>
              <w:jc w:val="right"/>
              <w:rPr>
                <w:rFonts w:eastAsia="Arial" w:cs="Arial"/>
                <w:color w:val="5E6EC8"/>
                <w:sz w:val="17"/>
                <w:szCs w:val="17"/>
              </w:rPr>
            </w:pPr>
            <w:r>
              <w:rPr>
                <w:color w:val="5E6EC8"/>
                <w:sz w:val="17"/>
                <w:szCs w:val="17"/>
              </w:rPr>
              <w:t>-9 468</w:t>
            </w:r>
          </w:p>
        </w:tc>
      </w:tr>
      <w:tr w:rsidR="009D1A60" w14:paraId="7F1C32BD"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7F5AB356" w14:textId="77777777" w:rsidR="009D1A60" w:rsidRDefault="00000000">
            <w:pPr>
              <w:spacing w:after="0" w:line="240" w:lineRule="auto"/>
              <w:ind w:firstLine="170"/>
              <w:jc w:val="left"/>
              <w:rPr>
                <w:rFonts w:eastAsia="Arial" w:cs="Arial"/>
                <w:sz w:val="17"/>
                <w:szCs w:val="17"/>
              </w:rPr>
            </w:pPr>
            <w:r>
              <w:rPr>
                <w:rFonts w:eastAsia="Arial" w:cs="Arial"/>
                <w:sz w:val="17"/>
                <w:szCs w:val="17"/>
              </w:rPr>
              <w:t>Selling and distribution expenses</w:t>
            </w:r>
          </w:p>
        </w:tc>
        <w:tc>
          <w:tcPr>
            <w:tcW w:w="1134" w:type="dxa"/>
            <w:tcBorders>
              <w:top w:val="nil"/>
              <w:left w:val="nil"/>
              <w:bottom w:val="single" w:sz="4" w:space="0" w:color="FFFFFF"/>
              <w:right w:val="single" w:sz="4" w:space="0" w:color="FFFFFF"/>
            </w:tcBorders>
            <w:shd w:val="clear" w:color="auto" w:fill="FAFAFA"/>
            <w:vAlign w:val="center"/>
          </w:tcPr>
          <w:p w14:paraId="559ED863"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49E02867" w14:textId="77777777" w:rsidR="009D1A60" w:rsidRDefault="00000000">
            <w:pPr>
              <w:spacing w:after="0" w:line="240" w:lineRule="auto"/>
              <w:jc w:val="right"/>
              <w:rPr>
                <w:rFonts w:eastAsia="Arial" w:cs="Arial"/>
                <w:sz w:val="17"/>
                <w:szCs w:val="17"/>
              </w:rPr>
            </w:pPr>
            <w:r>
              <w:rPr>
                <w:color w:val="000000"/>
                <w:sz w:val="17"/>
                <w:szCs w:val="17"/>
              </w:rPr>
              <w:t>-4 843</w:t>
            </w:r>
          </w:p>
        </w:tc>
        <w:tc>
          <w:tcPr>
            <w:tcW w:w="1559" w:type="dxa"/>
            <w:tcBorders>
              <w:top w:val="nil"/>
              <w:left w:val="nil"/>
              <w:bottom w:val="single" w:sz="4" w:space="0" w:color="FFFFFF"/>
              <w:right w:val="single" w:sz="4" w:space="0" w:color="FFFFFF"/>
            </w:tcBorders>
            <w:shd w:val="clear" w:color="auto" w:fill="FAFAFA"/>
            <w:vAlign w:val="center"/>
          </w:tcPr>
          <w:p w14:paraId="377ADA79" w14:textId="77777777" w:rsidR="009D1A60" w:rsidRDefault="00000000">
            <w:pPr>
              <w:spacing w:after="0" w:line="240" w:lineRule="auto"/>
              <w:jc w:val="right"/>
              <w:rPr>
                <w:rFonts w:eastAsia="Arial" w:cs="Arial"/>
                <w:sz w:val="17"/>
                <w:szCs w:val="17"/>
              </w:rPr>
            </w:pPr>
            <w:r>
              <w:rPr>
                <w:color w:val="000000"/>
                <w:sz w:val="17"/>
                <w:szCs w:val="17"/>
              </w:rPr>
              <w:t>-6 389</w:t>
            </w:r>
          </w:p>
        </w:tc>
      </w:tr>
      <w:tr w:rsidR="009D1A60" w14:paraId="415FD4BB"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77D3743E" w14:textId="77777777" w:rsidR="009D1A60" w:rsidRDefault="00000000">
            <w:pPr>
              <w:spacing w:after="0" w:line="240" w:lineRule="auto"/>
              <w:ind w:firstLine="170"/>
              <w:jc w:val="left"/>
              <w:rPr>
                <w:rFonts w:eastAsia="Arial" w:cs="Arial"/>
                <w:sz w:val="17"/>
                <w:szCs w:val="17"/>
              </w:rPr>
            </w:pPr>
            <w:r>
              <w:rPr>
                <w:rFonts w:eastAsia="Arial" w:cs="Arial"/>
                <w:sz w:val="17"/>
                <w:szCs w:val="17"/>
              </w:rPr>
              <w:t>Administrative expenses</w:t>
            </w:r>
          </w:p>
        </w:tc>
        <w:tc>
          <w:tcPr>
            <w:tcW w:w="1134" w:type="dxa"/>
            <w:tcBorders>
              <w:top w:val="nil"/>
              <w:left w:val="nil"/>
              <w:bottom w:val="single" w:sz="4" w:space="0" w:color="FFFFFF"/>
              <w:right w:val="single" w:sz="4" w:space="0" w:color="FFFFFF"/>
            </w:tcBorders>
            <w:shd w:val="clear" w:color="auto" w:fill="FAFAFA"/>
            <w:vAlign w:val="center"/>
          </w:tcPr>
          <w:p w14:paraId="061F6AD5"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7E522E0A" w14:textId="77777777" w:rsidR="009D1A60" w:rsidRDefault="00000000">
            <w:pPr>
              <w:spacing w:after="0" w:line="240" w:lineRule="auto"/>
              <w:jc w:val="right"/>
              <w:rPr>
                <w:rFonts w:eastAsia="Arial" w:cs="Arial"/>
                <w:sz w:val="17"/>
                <w:szCs w:val="17"/>
              </w:rPr>
            </w:pPr>
            <w:r>
              <w:rPr>
                <w:color w:val="000000"/>
                <w:sz w:val="17"/>
                <w:szCs w:val="17"/>
              </w:rPr>
              <w:t>-2 364</w:t>
            </w:r>
          </w:p>
        </w:tc>
        <w:tc>
          <w:tcPr>
            <w:tcW w:w="1559" w:type="dxa"/>
            <w:tcBorders>
              <w:top w:val="nil"/>
              <w:left w:val="nil"/>
              <w:bottom w:val="single" w:sz="4" w:space="0" w:color="FFFFFF"/>
              <w:right w:val="single" w:sz="4" w:space="0" w:color="FFFFFF"/>
            </w:tcBorders>
            <w:shd w:val="clear" w:color="auto" w:fill="FAFAFA"/>
            <w:vAlign w:val="center"/>
          </w:tcPr>
          <w:p w14:paraId="31BD2C78" w14:textId="77777777" w:rsidR="009D1A60" w:rsidRDefault="00000000">
            <w:pPr>
              <w:spacing w:after="0" w:line="240" w:lineRule="auto"/>
              <w:jc w:val="right"/>
              <w:rPr>
                <w:rFonts w:eastAsia="Arial" w:cs="Arial"/>
                <w:sz w:val="17"/>
                <w:szCs w:val="17"/>
              </w:rPr>
            </w:pPr>
            <w:r>
              <w:rPr>
                <w:color w:val="000000"/>
                <w:sz w:val="17"/>
                <w:szCs w:val="17"/>
              </w:rPr>
              <w:t>-3 079</w:t>
            </w:r>
          </w:p>
        </w:tc>
      </w:tr>
      <w:tr w:rsidR="009D1A60" w14:paraId="3AE3DCA7"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1470DB4F" w14:textId="77777777" w:rsidR="009D1A60" w:rsidRDefault="00000000">
            <w:pPr>
              <w:spacing w:after="0" w:line="240" w:lineRule="auto"/>
              <w:jc w:val="left"/>
              <w:rPr>
                <w:rFonts w:eastAsia="Arial" w:cs="Arial"/>
                <w:sz w:val="17"/>
                <w:szCs w:val="17"/>
              </w:rPr>
            </w:pPr>
            <w:r>
              <w:rPr>
                <w:rFonts w:eastAsia="Arial" w:cs="Arial"/>
                <w:sz w:val="17"/>
                <w:szCs w:val="17"/>
              </w:rPr>
              <w:t>Other income / expense</w:t>
            </w:r>
          </w:p>
        </w:tc>
        <w:tc>
          <w:tcPr>
            <w:tcW w:w="1134" w:type="dxa"/>
            <w:tcBorders>
              <w:top w:val="nil"/>
              <w:left w:val="nil"/>
              <w:bottom w:val="single" w:sz="4" w:space="0" w:color="FFFFFF"/>
              <w:right w:val="single" w:sz="4" w:space="0" w:color="FFFFFF"/>
            </w:tcBorders>
            <w:shd w:val="clear" w:color="auto" w:fill="FAFAFA"/>
            <w:vAlign w:val="center"/>
          </w:tcPr>
          <w:p w14:paraId="489A2337"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5C45D3B0" w14:textId="77777777" w:rsidR="009D1A60" w:rsidRDefault="00000000">
            <w:pPr>
              <w:spacing w:after="0" w:line="240" w:lineRule="auto"/>
              <w:jc w:val="right"/>
              <w:rPr>
                <w:rFonts w:eastAsia="Arial" w:cs="Arial"/>
                <w:sz w:val="17"/>
                <w:szCs w:val="17"/>
              </w:rPr>
            </w:pPr>
            <w:r>
              <w:rPr>
                <w:color w:val="000000"/>
                <w:sz w:val="17"/>
                <w:szCs w:val="17"/>
              </w:rPr>
              <w:t>-177</w:t>
            </w:r>
          </w:p>
        </w:tc>
        <w:tc>
          <w:tcPr>
            <w:tcW w:w="1559" w:type="dxa"/>
            <w:tcBorders>
              <w:top w:val="nil"/>
              <w:left w:val="nil"/>
              <w:bottom w:val="single" w:sz="4" w:space="0" w:color="FFFFFF"/>
              <w:right w:val="single" w:sz="4" w:space="0" w:color="FFFFFF"/>
            </w:tcBorders>
            <w:shd w:val="clear" w:color="auto" w:fill="FAFAFA"/>
            <w:vAlign w:val="center"/>
          </w:tcPr>
          <w:p w14:paraId="7DD6F78D" w14:textId="77777777" w:rsidR="009D1A60" w:rsidRDefault="00000000">
            <w:pPr>
              <w:spacing w:after="0" w:line="240" w:lineRule="auto"/>
              <w:jc w:val="right"/>
              <w:rPr>
                <w:rFonts w:eastAsia="Arial" w:cs="Arial"/>
                <w:sz w:val="17"/>
                <w:szCs w:val="17"/>
              </w:rPr>
            </w:pPr>
            <w:r>
              <w:rPr>
                <w:color w:val="000000"/>
                <w:sz w:val="17"/>
                <w:szCs w:val="17"/>
              </w:rPr>
              <w:t>309</w:t>
            </w:r>
          </w:p>
        </w:tc>
      </w:tr>
      <w:tr w:rsidR="009D1A60" w14:paraId="1DB98960"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294B308" w14:textId="77777777" w:rsidR="009D1A60" w:rsidRDefault="00000000">
            <w:pPr>
              <w:spacing w:after="0" w:line="240" w:lineRule="auto"/>
              <w:jc w:val="left"/>
              <w:rPr>
                <w:rFonts w:eastAsia="Arial" w:cs="Arial"/>
                <w:sz w:val="17"/>
                <w:szCs w:val="17"/>
              </w:rPr>
            </w:pPr>
            <w:r>
              <w:rPr>
                <w:rFonts w:eastAsia="Arial" w:cs="Arial"/>
                <w:sz w:val="17"/>
                <w:szCs w:val="17"/>
              </w:rPr>
              <w:t>Fair value adjustment on biological assets</w:t>
            </w:r>
          </w:p>
        </w:tc>
        <w:tc>
          <w:tcPr>
            <w:tcW w:w="1134" w:type="dxa"/>
            <w:tcBorders>
              <w:top w:val="nil"/>
              <w:left w:val="nil"/>
              <w:bottom w:val="single" w:sz="4" w:space="0" w:color="FFFFFF"/>
              <w:right w:val="single" w:sz="4" w:space="0" w:color="FFFFFF"/>
            </w:tcBorders>
            <w:shd w:val="clear" w:color="auto" w:fill="FAFAFA"/>
            <w:vAlign w:val="center"/>
          </w:tcPr>
          <w:p w14:paraId="2DA514DF"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3</w:t>
            </w:r>
          </w:p>
        </w:tc>
        <w:tc>
          <w:tcPr>
            <w:tcW w:w="1559" w:type="dxa"/>
            <w:tcBorders>
              <w:top w:val="nil"/>
              <w:left w:val="nil"/>
              <w:bottom w:val="single" w:sz="4" w:space="0" w:color="FFFFFF"/>
              <w:right w:val="single" w:sz="4" w:space="0" w:color="FFFFFF"/>
            </w:tcBorders>
            <w:shd w:val="clear" w:color="auto" w:fill="FAFAFA"/>
            <w:vAlign w:val="center"/>
          </w:tcPr>
          <w:p w14:paraId="311E761F" w14:textId="77777777" w:rsidR="009D1A60" w:rsidRDefault="00000000">
            <w:pPr>
              <w:spacing w:after="0" w:line="240" w:lineRule="auto"/>
              <w:jc w:val="right"/>
              <w:rPr>
                <w:rFonts w:eastAsia="Arial" w:cs="Arial"/>
                <w:sz w:val="17"/>
                <w:szCs w:val="17"/>
              </w:rPr>
            </w:pPr>
            <w:r>
              <w:rPr>
                <w:color w:val="000000"/>
                <w:sz w:val="17"/>
                <w:szCs w:val="17"/>
              </w:rPr>
              <w:t>-420</w:t>
            </w:r>
          </w:p>
        </w:tc>
        <w:tc>
          <w:tcPr>
            <w:tcW w:w="1559" w:type="dxa"/>
            <w:tcBorders>
              <w:top w:val="nil"/>
              <w:left w:val="nil"/>
              <w:bottom w:val="single" w:sz="4" w:space="0" w:color="FFFFFF"/>
              <w:right w:val="single" w:sz="4" w:space="0" w:color="FFFFFF"/>
            </w:tcBorders>
            <w:shd w:val="clear" w:color="auto" w:fill="FAFAFA"/>
            <w:vAlign w:val="center"/>
          </w:tcPr>
          <w:p w14:paraId="78A64532" w14:textId="77777777" w:rsidR="009D1A60" w:rsidRDefault="00000000">
            <w:pPr>
              <w:spacing w:after="0" w:line="240" w:lineRule="auto"/>
              <w:jc w:val="right"/>
              <w:rPr>
                <w:rFonts w:eastAsia="Arial" w:cs="Arial"/>
                <w:sz w:val="17"/>
                <w:szCs w:val="17"/>
              </w:rPr>
            </w:pPr>
            <w:r>
              <w:rPr>
                <w:color w:val="000000"/>
                <w:sz w:val="17"/>
                <w:szCs w:val="17"/>
              </w:rPr>
              <w:t>311</w:t>
            </w:r>
          </w:p>
        </w:tc>
      </w:tr>
      <w:tr w:rsidR="009D1A60" w14:paraId="3A8B90AB"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71D7E53D"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Operating profit (loss)</w:t>
            </w:r>
          </w:p>
        </w:tc>
        <w:tc>
          <w:tcPr>
            <w:tcW w:w="1134" w:type="dxa"/>
            <w:tcBorders>
              <w:top w:val="nil"/>
              <w:left w:val="nil"/>
              <w:bottom w:val="single" w:sz="4" w:space="0" w:color="FFFFFF"/>
              <w:right w:val="single" w:sz="4" w:space="0" w:color="FFFFFF"/>
            </w:tcBorders>
            <w:shd w:val="clear" w:color="auto" w:fill="FAFAFA"/>
            <w:vAlign w:val="center"/>
          </w:tcPr>
          <w:p w14:paraId="02824C4D" w14:textId="77777777" w:rsidR="009D1A60" w:rsidRDefault="00000000">
            <w:pPr>
              <w:spacing w:after="0" w:line="240" w:lineRule="auto"/>
              <w:jc w:val="center"/>
              <w:rPr>
                <w:rFonts w:eastAsia="Arial" w:cs="Arial"/>
                <w:b/>
                <w:color w:val="5E6EC8"/>
                <w:sz w:val="17"/>
                <w:szCs w:val="17"/>
              </w:rPr>
            </w:pPr>
            <w:r>
              <w:rPr>
                <w:rFonts w:eastAsia="Arial" w:cs="Arial"/>
                <w:b/>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BB5D241" w14:textId="77777777" w:rsidR="009D1A60" w:rsidRDefault="00000000">
            <w:pPr>
              <w:spacing w:after="0" w:line="240" w:lineRule="auto"/>
              <w:jc w:val="right"/>
              <w:rPr>
                <w:rFonts w:eastAsia="Arial" w:cs="Arial"/>
                <w:b/>
                <w:color w:val="5E6EC8"/>
                <w:sz w:val="17"/>
                <w:szCs w:val="17"/>
              </w:rPr>
            </w:pPr>
            <w:r>
              <w:rPr>
                <w:b/>
                <w:color w:val="5E6EC8"/>
                <w:sz w:val="17"/>
                <w:szCs w:val="17"/>
              </w:rPr>
              <w:t>-4 718</w:t>
            </w:r>
          </w:p>
        </w:tc>
        <w:tc>
          <w:tcPr>
            <w:tcW w:w="1559" w:type="dxa"/>
            <w:tcBorders>
              <w:top w:val="nil"/>
              <w:left w:val="nil"/>
              <w:bottom w:val="single" w:sz="4" w:space="0" w:color="FFFFFF"/>
              <w:right w:val="single" w:sz="4" w:space="0" w:color="FFFFFF"/>
            </w:tcBorders>
            <w:shd w:val="clear" w:color="auto" w:fill="FAFAFA"/>
            <w:vAlign w:val="center"/>
          </w:tcPr>
          <w:p w14:paraId="694FEEDD" w14:textId="77777777" w:rsidR="009D1A60" w:rsidRDefault="00000000">
            <w:pPr>
              <w:spacing w:after="0" w:line="240" w:lineRule="auto"/>
              <w:jc w:val="right"/>
              <w:rPr>
                <w:rFonts w:eastAsia="Arial" w:cs="Arial"/>
                <w:b/>
                <w:color w:val="5E6EC8"/>
                <w:sz w:val="17"/>
                <w:szCs w:val="17"/>
              </w:rPr>
            </w:pPr>
            <w:r>
              <w:rPr>
                <w:b/>
                <w:color w:val="5E6EC8"/>
                <w:sz w:val="17"/>
                <w:szCs w:val="17"/>
              </w:rPr>
              <w:t>-3 883</w:t>
            </w:r>
          </w:p>
        </w:tc>
      </w:tr>
      <w:tr w:rsidR="009D1A60" w14:paraId="4F36E480"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1739B7AE" w14:textId="77777777" w:rsidR="009D1A60" w:rsidRDefault="00000000">
            <w:pPr>
              <w:spacing w:after="0" w:line="240" w:lineRule="auto"/>
              <w:jc w:val="left"/>
              <w:rPr>
                <w:rFonts w:eastAsia="Arial" w:cs="Arial"/>
                <w:sz w:val="17"/>
                <w:szCs w:val="17"/>
              </w:rPr>
            </w:pPr>
            <w:r>
              <w:rPr>
                <w:rFonts w:eastAsia="Arial" w:cs="Arial"/>
                <w:sz w:val="17"/>
                <w:szCs w:val="17"/>
              </w:rPr>
              <w:t>Financial income / expenses</w:t>
            </w:r>
          </w:p>
        </w:tc>
        <w:tc>
          <w:tcPr>
            <w:tcW w:w="1134" w:type="dxa"/>
            <w:tcBorders>
              <w:top w:val="nil"/>
              <w:left w:val="nil"/>
              <w:bottom w:val="single" w:sz="4" w:space="0" w:color="FFFFFF"/>
              <w:right w:val="single" w:sz="4" w:space="0" w:color="FFFFFF"/>
            </w:tcBorders>
            <w:shd w:val="clear" w:color="auto" w:fill="FAFAFA"/>
            <w:vAlign w:val="center"/>
          </w:tcPr>
          <w:p w14:paraId="1C485399"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DBBCFB4" w14:textId="77777777" w:rsidR="009D1A60" w:rsidRDefault="00000000">
            <w:pPr>
              <w:spacing w:after="0" w:line="240" w:lineRule="auto"/>
              <w:jc w:val="right"/>
              <w:rPr>
                <w:rFonts w:eastAsia="Arial" w:cs="Arial"/>
                <w:sz w:val="17"/>
                <w:szCs w:val="17"/>
              </w:rPr>
            </w:pPr>
            <w:r>
              <w:rPr>
                <w:color w:val="000000"/>
                <w:sz w:val="17"/>
                <w:szCs w:val="17"/>
              </w:rPr>
              <w:t>-6 455</w:t>
            </w:r>
          </w:p>
        </w:tc>
        <w:tc>
          <w:tcPr>
            <w:tcW w:w="1559" w:type="dxa"/>
            <w:tcBorders>
              <w:top w:val="nil"/>
              <w:left w:val="nil"/>
              <w:bottom w:val="single" w:sz="4" w:space="0" w:color="FFFFFF"/>
              <w:right w:val="single" w:sz="4" w:space="0" w:color="FFFFFF"/>
            </w:tcBorders>
            <w:shd w:val="clear" w:color="auto" w:fill="FAFAFA"/>
            <w:vAlign w:val="center"/>
          </w:tcPr>
          <w:p w14:paraId="491BEBEE" w14:textId="77777777" w:rsidR="009D1A60" w:rsidRDefault="00000000">
            <w:pPr>
              <w:spacing w:after="0" w:line="240" w:lineRule="auto"/>
              <w:jc w:val="right"/>
              <w:rPr>
                <w:rFonts w:eastAsia="Arial" w:cs="Arial"/>
                <w:sz w:val="17"/>
                <w:szCs w:val="17"/>
              </w:rPr>
            </w:pPr>
            <w:r>
              <w:rPr>
                <w:color w:val="000000"/>
                <w:sz w:val="17"/>
                <w:szCs w:val="17"/>
              </w:rPr>
              <w:t>-1 085</w:t>
            </w:r>
          </w:p>
        </w:tc>
      </w:tr>
      <w:tr w:rsidR="009D1A60" w14:paraId="13D31DDF"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07E8D094"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Profit (Loss) before tax</w:t>
            </w:r>
          </w:p>
        </w:tc>
        <w:tc>
          <w:tcPr>
            <w:tcW w:w="1134" w:type="dxa"/>
            <w:tcBorders>
              <w:top w:val="nil"/>
              <w:left w:val="nil"/>
              <w:bottom w:val="single" w:sz="4" w:space="0" w:color="FFFFFF"/>
              <w:right w:val="single" w:sz="4" w:space="0" w:color="FFFFFF"/>
            </w:tcBorders>
            <w:shd w:val="clear" w:color="auto" w:fill="FAFAFA"/>
            <w:vAlign w:val="center"/>
          </w:tcPr>
          <w:p w14:paraId="09967B96" w14:textId="77777777" w:rsidR="009D1A60" w:rsidRDefault="00000000">
            <w:pPr>
              <w:spacing w:after="0" w:line="240" w:lineRule="auto"/>
              <w:jc w:val="center"/>
              <w:rPr>
                <w:rFonts w:eastAsia="Arial" w:cs="Arial"/>
                <w:color w:val="5E6EC8"/>
                <w:sz w:val="17"/>
                <w:szCs w:val="17"/>
              </w:rPr>
            </w:pPr>
            <w:r>
              <w:rPr>
                <w:rFonts w:eastAsia="Arial" w:cs="Arial"/>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6D0FD759" w14:textId="77777777" w:rsidR="009D1A60" w:rsidRDefault="00000000">
            <w:pPr>
              <w:spacing w:after="0" w:line="240" w:lineRule="auto"/>
              <w:jc w:val="right"/>
              <w:rPr>
                <w:rFonts w:eastAsia="Arial" w:cs="Arial"/>
                <w:color w:val="5E6EC8"/>
                <w:sz w:val="17"/>
                <w:szCs w:val="17"/>
              </w:rPr>
            </w:pPr>
            <w:r>
              <w:rPr>
                <w:color w:val="5E6EC8"/>
                <w:sz w:val="17"/>
                <w:szCs w:val="17"/>
              </w:rPr>
              <w:t>-11 173</w:t>
            </w:r>
          </w:p>
        </w:tc>
        <w:tc>
          <w:tcPr>
            <w:tcW w:w="1559" w:type="dxa"/>
            <w:tcBorders>
              <w:top w:val="nil"/>
              <w:left w:val="nil"/>
              <w:bottom w:val="single" w:sz="4" w:space="0" w:color="FFFFFF"/>
              <w:right w:val="single" w:sz="4" w:space="0" w:color="FFFFFF"/>
            </w:tcBorders>
            <w:shd w:val="clear" w:color="auto" w:fill="FAFAFA"/>
            <w:vAlign w:val="center"/>
          </w:tcPr>
          <w:p w14:paraId="13C55178" w14:textId="77777777" w:rsidR="009D1A60" w:rsidRDefault="00000000">
            <w:pPr>
              <w:spacing w:after="0" w:line="240" w:lineRule="auto"/>
              <w:jc w:val="right"/>
              <w:rPr>
                <w:rFonts w:eastAsia="Arial" w:cs="Arial"/>
                <w:color w:val="5E6EC8"/>
                <w:sz w:val="17"/>
                <w:szCs w:val="17"/>
              </w:rPr>
            </w:pPr>
            <w:r>
              <w:rPr>
                <w:color w:val="5E6EC8"/>
                <w:sz w:val="17"/>
                <w:szCs w:val="17"/>
              </w:rPr>
              <w:t>-4 968</w:t>
            </w:r>
          </w:p>
        </w:tc>
      </w:tr>
      <w:tr w:rsidR="009D1A60" w14:paraId="303C6F80"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252DAD1C" w14:textId="77777777" w:rsidR="009D1A60" w:rsidRDefault="00000000">
            <w:pPr>
              <w:spacing w:after="0" w:line="240" w:lineRule="auto"/>
              <w:jc w:val="left"/>
              <w:rPr>
                <w:rFonts w:eastAsia="Arial" w:cs="Arial"/>
                <w:sz w:val="17"/>
                <w:szCs w:val="17"/>
              </w:rPr>
            </w:pPr>
            <w:r>
              <w:rPr>
                <w:rFonts w:eastAsia="Arial" w:cs="Arial"/>
                <w:sz w:val="17"/>
                <w:szCs w:val="17"/>
              </w:rPr>
              <w:t>Income tax</w:t>
            </w:r>
          </w:p>
        </w:tc>
        <w:tc>
          <w:tcPr>
            <w:tcW w:w="1134" w:type="dxa"/>
            <w:tcBorders>
              <w:top w:val="nil"/>
              <w:left w:val="nil"/>
              <w:bottom w:val="single" w:sz="4" w:space="0" w:color="FFFFFF"/>
              <w:right w:val="single" w:sz="4" w:space="0" w:color="FFFFFF"/>
            </w:tcBorders>
            <w:shd w:val="clear" w:color="auto" w:fill="FAFAFA"/>
            <w:vAlign w:val="center"/>
          </w:tcPr>
          <w:p w14:paraId="6456CE6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71385CD1" w14:textId="77777777" w:rsidR="009D1A60" w:rsidRDefault="00000000">
            <w:pPr>
              <w:spacing w:after="0" w:line="240" w:lineRule="auto"/>
              <w:jc w:val="right"/>
              <w:rPr>
                <w:rFonts w:eastAsia="Arial" w:cs="Arial"/>
                <w:sz w:val="17"/>
                <w:szCs w:val="17"/>
              </w:rPr>
            </w:pPr>
            <w:r>
              <w:rPr>
                <w:color w:val="000000"/>
                <w:sz w:val="17"/>
                <w:szCs w:val="17"/>
              </w:rPr>
              <w:t>82</w:t>
            </w:r>
          </w:p>
        </w:tc>
        <w:tc>
          <w:tcPr>
            <w:tcW w:w="1559" w:type="dxa"/>
            <w:tcBorders>
              <w:top w:val="nil"/>
              <w:left w:val="nil"/>
              <w:bottom w:val="single" w:sz="4" w:space="0" w:color="FFFFFF"/>
              <w:right w:val="single" w:sz="4" w:space="0" w:color="FFFFFF"/>
            </w:tcBorders>
            <w:shd w:val="clear" w:color="auto" w:fill="FAFAFA"/>
            <w:vAlign w:val="center"/>
          </w:tcPr>
          <w:p w14:paraId="1A4DA840" w14:textId="77777777" w:rsidR="009D1A60" w:rsidRDefault="00000000">
            <w:pPr>
              <w:spacing w:after="0" w:line="240" w:lineRule="auto"/>
              <w:jc w:val="right"/>
              <w:rPr>
                <w:rFonts w:eastAsia="Arial" w:cs="Arial"/>
                <w:sz w:val="17"/>
                <w:szCs w:val="17"/>
              </w:rPr>
            </w:pPr>
            <w:r>
              <w:rPr>
                <w:color w:val="000000"/>
                <w:sz w:val="17"/>
                <w:szCs w:val="17"/>
              </w:rPr>
              <w:t>-193</w:t>
            </w:r>
          </w:p>
        </w:tc>
      </w:tr>
      <w:tr w:rsidR="009D1A60" w14:paraId="5FC59646"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198E4995"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Net profit (Loss) from continuing operations</w:t>
            </w:r>
          </w:p>
        </w:tc>
        <w:tc>
          <w:tcPr>
            <w:tcW w:w="1134" w:type="dxa"/>
            <w:tcBorders>
              <w:top w:val="nil"/>
              <w:left w:val="nil"/>
              <w:bottom w:val="single" w:sz="4" w:space="0" w:color="FFFFFF"/>
              <w:right w:val="single" w:sz="4" w:space="0" w:color="FFFFFF"/>
            </w:tcBorders>
            <w:shd w:val="clear" w:color="auto" w:fill="FAFAFA"/>
            <w:vAlign w:val="center"/>
          </w:tcPr>
          <w:p w14:paraId="02A9A8EE" w14:textId="77777777" w:rsidR="009D1A60" w:rsidRDefault="00000000">
            <w:pPr>
              <w:spacing w:after="0" w:line="240" w:lineRule="auto"/>
              <w:jc w:val="center"/>
              <w:rPr>
                <w:rFonts w:eastAsia="Arial" w:cs="Arial"/>
                <w:b/>
                <w:color w:val="5E6EC8"/>
                <w:sz w:val="17"/>
                <w:szCs w:val="17"/>
              </w:rPr>
            </w:pPr>
            <w:r>
              <w:rPr>
                <w:rFonts w:eastAsia="Arial" w:cs="Arial"/>
                <w:b/>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1C27718" w14:textId="77777777" w:rsidR="009D1A60" w:rsidRDefault="00000000">
            <w:pPr>
              <w:spacing w:after="0" w:line="240" w:lineRule="auto"/>
              <w:jc w:val="right"/>
              <w:rPr>
                <w:rFonts w:eastAsia="Arial" w:cs="Arial"/>
                <w:b/>
                <w:color w:val="5E6EC8"/>
                <w:sz w:val="17"/>
                <w:szCs w:val="17"/>
              </w:rPr>
            </w:pPr>
            <w:r>
              <w:rPr>
                <w:b/>
                <w:color w:val="5E6EC8"/>
                <w:sz w:val="17"/>
                <w:szCs w:val="17"/>
              </w:rPr>
              <w:t>-11 091</w:t>
            </w:r>
          </w:p>
        </w:tc>
        <w:tc>
          <w:tcPr>
            <w:tcW w:w="1559" w:type="dxa"/>
            <w:tcBorders>
              <w:top w:val="nil"/>
              <w:left w:val="nil"/>
              <w:bottom w:val="single" w:sz="4" w:space="0" w:color="FFFFFF"/>
              <w:right w:val="single" w:sz="4" w:space="0" w:color="FFFFFF"/>
            </w:tcBorders>
            <w:shd w:val="clear" w:color="auto" w:fill="FAFAFA"/>
            <w:vAlign w:val="center"/>
          </w:tcPr>
          <w:p w14:paraId="5C5FBC3F" w14:textId="77777777" w:rsidR="009D1A60" w:rsidRDefault="00000000">
            <w:pPr>
              <w:spacing w:after="0" w:line="240" w:lineRule="auto"/>
              <w:jc w:val="right"/>
              <w:rPr>
                <w:rFonts w:eastAsia="Arial" w:cs="Arial"/>
                <w:b/>
                <w:color w:val="5E6EC8"/>
                <w:sz w:val="17"/>
                <w:szCs w:val="17"/>
              </w:rPr>
            </w:pPr>
            <w:r>
              <w:rPr>
                <w:b/>
                <w:color w:val="5E6EC8"/>
                <w:sz w:val="17"/>
                <w:szCs w:val="17"/>
              </w:rPr>
              <w:t>-5 161</w:t>
            </w:r>
          </w:p>
        </w:tc>
      </w:tr>
      <w:tr w:rsidR="009D1A60" w14:paraId="1BFF85D7"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3A22F005"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695EBB9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724E9C03" w14:textId="77777777" w:rsidR="009D1A60" w:rsidRDefault="00000000">
            <w:pPr>
              <w:spacing w:after="0" w:line="240" w:lineRule="auto"/>
              <w:jc w:val="right"/>
              <w:rPr>
                <w:rFonts w:eastAsia="Arial" w:cs="Arial"/>
                <w:sz w:val="17"/>
                <w:szCs w:val="17"/>
              </w:rPr>
            </w:pPr>
            <w:r>
              <w:rPr>
                <w:rFonts w:eastAsia="Arial" w:cs="Arial"/>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4CC42656" w14:textId="77777777" w:rsidR="009D1A60" w:rsidRDefault="00000000">
            <w:pPr>
              <w:spacing w:after="0" w:line="240" w:lineRule="auto"/>
              <w:jc w:val="right"/>
              <w:rPr>
                <w:rFonts w:eastAsia="Arial" w:cs="Arial"/>
                <w:sz w:val="17"/>
                <w:szCs w:val="17"/>
              </w:rPr>
            </w:pPr>
            <w:r>
              <w:rPr>
                <w:rFonts w:eastAsia="Arial" w:cs="Arial"/>
                <w:sz w:val="17"/>
                <w:szCs w:val="17"/>
              </w:rPr>
              <w:t>.</w:t>
            </w:r>
          </w:p>
        </w:tc>
      </w:tr>
      <w:tr w:rsidR="009D1A60" w14:paraId="0462E377"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34BE3F5B" w14:textId="77777777" w:rsidR="009D1A60" w:rsidRDefault="00000000">
            <w:pPr>
              <w:spacing w:after="0" w:line="240" w:lineRule="auto"/>
              <w:jc w:val="left"/>
              <w:rPr>
                <w:rFonts w:eastAsia="Arial" w:cs="Arial"/>
                <w:sz w:val="17"/>
                <w:szCs w:val="17"/>
              </w:rPr>
            </w:pPr>
            <w:r>
              <w:rPr>
                <w:rFonts w:eastAsia="Arial" w:cs="Arial"/>
                <w:b/>
                <w:color w:val="5E6EC8"/>
                <w:sz w:val="17"/>
                <w:szCs w:val="17"/>
              </w:rPr>
              <w:t>Net profit (loss) for the period</w:t>
            </w:r>
          </w:p>
        </w:tc>
        <w:tc>
          <w:tcPr>
            <w:tcW w:w="1134" w:type="dxa"/>
            <w:tcBorders>
              <w:top w:val="nil"/>
              <w:left w:val="nil"/>
              <w:bottom w:val="single" w:sz="4" w:space="0" w:color="FFFFFF"/>
              <w:right w:val="single" w:sz="4" w:space="0" w:color="FFFFFF"/>
            </w:tcBorders>
            <w:shd w:val="clear" w:color="auto" w:fill="FAFAFA"/>
            <w:vAlign w:val="center"/>
          </w:tcPr>
          <w:p w14:paraId="01914D05" w14:textId="77777777" w:rsidR="009D1A60" w:rsidRDefault="009D1A60">
            <w:pPr>
              <w:spacing w:after="0" w:line="240" w:lineRule="auto"/>
              <w:jc w:val="center"/>
              <w:rPr>
                <w:rFonts w:eastAsia="Arial" w:cs="Arial"/>
                <w:color w:val="000000"/>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3E446CD1" w14:textId="77777777" w:rsidR="009D1A60" w:rsidRDefault="00000000">
            <w:pPr>
              <w:spacing w:after="0" w:line="240" w:lineRule="auto"/>
              <w:jc w:val="right"/>
              <w:rPr>
                <w:rFonts w:eastAsia="Arial" w:cs="Arial"/>
                <w:sz w:val="17"/>
                <w:szCs w:val="17"/>
              </w:rPr>
            </w:pPr>
            <w:r>
              <w:rPr>
                <w:b/>
                <w:color w:val="5E6EC8"/>
                <w:sz w:val="17"/>
                <w:szCs w:val="17"/>
              </w:rPr>
              <w:t>-11 091</w:t>
            </w:r>
          </w:p>
        </w:tc>
        <w:tc>
          <w:tcPr>
            <w:tcW w:w="1559" w:type="dxa"/>
            <w:tcBorders>
              <w:top w:val="nil"/>
              <w:left w:val="nil"/>
              <w:bottom w:val="single" w:sz="4" w:space="0" w:color="FFFFFF"/>
              <w:right w:val="single" w:sz="4" w:space="0" w:color="FFFFFF"/>
            </w:tcBorders>
            <w:shd w:val="clear" w:color="auto" w:fill="FAFAFA"/>
            <w:vAlign w:val="center"/>
          </w:tcPr>
          <w:p w14:paraId="620F6A03" w14:textId="77777777" w:rsidR="009D1A60" w:rsidRDefault="00000000">
            <w:pPr>
              <w:spacing w:after="0" w:line="240" w:lineRule="auto"/>
              <w:jc w:val="right"/>
              <w:rPr>
                <w:rFonts w:eastAsia="Arial" w:cs="Arial"/>
                <w:sz w:val="17"/>
                <w:szCs w:val="17"/>
              </w:rPr>
            </w:pPr>
            <w:r>
              <w:rPr>
                <w:b/>
                <w:color w:val="5E6EC8"/>
                <w:sz w:val="17"/>
                <w:szCs w:val="17"/>
              </w:rPr>
              <w:t>-5 161</w:t>
            </w:r>
          </w:p>
        </w:tc>
      </w:tr>
      <w:tr w:rsidR="009D1A60" w14:paraId="0E03EBB5"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60BCEEB2"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Net profit (loss) attributable to:</w:t>
            </w:r>
          </w:p>
        </w:tc>
        <w:tc>
          <w:tcPr>
            <w:tcW w:w="1134" w:type="dxa"/>
            <w:tcBorders>
              <w:top w:val="nil"/>
              <w:left w:val="nil"/>
              <w:bottom w:val="single" w:sz="4" w:space="0" w:color="FFFFFF"/>
              <w:right w:val="single" w:sz="4" w:space="0" w:color="FFFFFF"/>
            </w:tcBorders>
            <w:shd w:val="clear" w:color="auto" w:fill="FAFAFA"/>
            <w:vAlign w:val="center"/>
          </w:tcPr>
          <w:p w14:paraId="4B1E11C8"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B9D0DCE" w14:textId="77777777" w:rsidR="009D1A60" w:rsidRDefault="00000000">
            <w:pPr>
              <w:spacing w:after="0" w:line="240" w:lineRule="auto"/>
              <w:jc w:val="right"/>
              <w:rPr>
                <w:rFonts w:eastAsia="Arial" w:cs="Arial"/>
                <w:sz w:val="17"/>
                <w:szCs w:val="17"/>
              </w:rPr>
            </w:pPr>
            <w:r>
              <w:rPr>
                <w:rFonts w:eastAsia="Arial" w:cs="Arial"/>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3327841C" w14:textId="77777777" w:rsidR="009D1A60" w:rsidRDefault="00000000">
            <w:pPr>
              <w:spacing w:after="0" w:line="240" w:lineRule="auto"/>
              <w:jc w:val="right"/>
              <w:rPr>
                <w:rFonts w:eastAsia="Arial" w:cs="Arial"/>
                <w:sz w:val="17"/>
                <w:szCs w:val="17"/>
              </w:rPr>
            </w:pPr>
            <w:r>
              <w:rPr>
                <w:rFonts w:eastAsia="Arial" w:cs="Arial"/>
                <w:sz w:val="17"/>
                <w:szCs w:val="17"/>
              </w:rPr>
              <w:t>.</w:t>
            </w:r>
          </w:p>
        </w:tc>
      </w:tr>
      <w:tr w:rsidR="009D1A60" w14:paraId="67DB5822"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477647CF" w14:textId="77777777" w:rsidR="009D1A60" w:rsidRDefault="00000000">
            <w:pPr>
              <w:spacing w:after="0" w:line="240" w:lineRule="auto"/>
              <w:jc w:val="left"/>
              <w:rPr>
                <w:rFonts w:eastAsia="Arial" w:cs="Arial"/>
                <w:sz w:val="17"/>
                <w:szCs w:val="17"/>
              </w:rPr>
            </w:pPr>
            <w:r>
              <w:rPr>
                <w:rFonts w:eastAsia="Arial" w:cs="Arial"/>
                <w:sz w:val="17"/>
                <w:szCs w:val="17"/>
              </w:rPr>
              <w:t>Owners of the Parent Company</w:t>
            </w:r>
          </w:p>
        </w:tc>
        <w:tc>
          <w:tcPr>
            <w:tcW w:w="1134" w:type="dxa"/>
            <w:tcBorders>
              <w:top w:val="nil"/>
              <w:left w:val="nil"/>
              <w:bottom w:val="single" w:sz="4" w:space="0" w:color="FFFFFF"/>
              <w:right w:val="single" w:sz="4" w:space="0" w:color="FFFFFF"/>
            </w:tcBorders>
            <w:shd w:val="clear" w:color="auto" w:fill="FAFAFA"/>
            <w:vAlign w:val="center"/>
          </w:tcPr>
          <w:p w14:paraId="1FADADDD"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64F3ACB5" w14:textId="77777777" w:rsidR="009D1A60" w:rsidRDefault="00000000">
            <w:pPr>
              <w:spacing w:after="0" w:line="240" w:lineRule="auto"/>
              <w:jc w:val="right"/>
              <w:rPr>
                <w:rFonts w:ascii="Helvetica Neue" w:eastAsia="Helvetica Neue" w:hAnsi="Helvetica Neue" w:cs="Helvetica Neue"/>
                <w:sz w:val="16"/>
                <w:szCs w:val="16"/>
              </w:rPr>
            </w:pPr>
            <w:r>
              <w:rPr>
                <w:color w:val="000000"/>
                <w:sz w:val="17"/>
                <w:szCs w:val="17"/>
              </w:rPr>
              <w:t>-11 074</w:t>
            </w:r>
          </w:p>
        </w:tc>
        <w:tc>
          <w:tcPr>
            <w:tcW w:w="1559" w:type="dxa"/>
            <w:tcBorders>
              <w:top w:val="nil"/>
              <w:left w:val="nil"/>
              <w:bottom w:val="single" w:sz="4" w:space="0" w:color="FFFFFF"/>
              <w:right w:val="single" w:sz="4" w:space="0" w:color="FFFFFF"/>
            </w:tcBorders>
            <w:shd w:val="clear" w:color="auto" w:fill="FAFAFA"/>
            <w:vAlign w:val="center"/>
          </w:tcPr>
          <w:p w14:paraId="73358925" w14:textId="77777777" w:rsidR="009D1A60" w:rsidRDefault="00000000">
            <w:pPr>
              <w:spacing w:after="0" w:line="240" w:lineRule="auto"/>
              <w:jc w:val="right"/>
              <w:rPr>
                <w:rFonts w:ascii="Helvetica Neue" w:eastAsia="Helvetica Neue" w:hAnsi="Helvetica Neue" w:cs="Helvetica Neue"/>
                <w:sz w:val="16"/>
                <w:szCs w:val="16"/>
              </w:rPr>
            </w:pPr>
            <w:r>
              <w:rPr>
                <w:color w:val="000000"/>
                <w:sz w:val="17"/>
                <w:szCs w:val="17"/>
              </w:rPr>
              <w:t>-5 069</w:t>
            </w:r>
          </w:p>
        </w:tc>
      </w:tr>
      <w:tr w:rsidR="009D1A60" w14:paraId="1657C3C6"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64D10EC1" w14:textId="77777777" w:rsidR="009D1A60" w:rsidRDefault="00000000">
            <w:pPr>
              <w:spacing w:after="0" w:line="240" w:lineRule="auto"/>
              <w:jc w:val="left"/>
              <w:rPr>
                <w:rFonts w:eastAsia="Arial" w:cs="Arial"/>
                <w:sz w:val="17"/>
                <w:szCs w:val="17"/>
              </w:rPr>
            </w:pPr>
            <w:r>
              <w:rPr>
                <w:rFonts w:eastAsia="Arial" w:cs="Arial"/>
                <w:sz w:val="17"/>
                <w:szCs w:val="17"/>
              </w:rPr>
              <w:t>Non-controlling interests</w:t>
            </w:r>
          </w:p>
        </w:tc>
        <w:tc>
          <w:tcPr>
            <w:tcW w:w="1134" w:type="dxa"/>
            <w:tcBorders>
              <w:top w:val="nil"/>
              <w:left w:val="nil"/>
              <w:bottom w:val="single" w:sz="4" w:space="0" w:color="FFFFFF"/>
              <w:right w:val="single" w:sz="4" w:space="0" w:color="FFFFFF"/>
            </w:tcBorders>
            <w:shd w:val="clear" w:color="auto" w:fill="FAFAFA"/>
            <w:vAlign w:val="center"/>
          </w:tcPr>
          <w:p w14:paraId="432FEC5D"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208B74FE" w14:textId="77777777" w:rsidR="009D1A60" w:rsidRDefault="00000000">
            <w:pPr>
              <w:spacing w:after="0" w:line="240" w:lineRule="auto"/>
              <w:jc w:val="right"/>
              <w:rPr>
                <w:rFonts w:eastAsia="Arial" w:cs="Arial"/>
                <w:sz w:val="17"/>
                <w:szCs w:val="17"/>
              </w:rPr>
            </w:pPr>
            <w:r>
              <w:rPr>
                <w:color w:val="000000"/>
                <w:sz w:val="17"/>
                <w:szCs w:val="17"/>
              </w:rPr>
              <w:t>-17</w:t>
            </w:r>
          </w:p>
        </w:tc>
        <w:tc>
          <w:tcPr>
            <w:tcW w:w="1559" w:type="dxa"/>
            <w:tcBorders>
              <w:top w:val="nil"/>
              <w:left w:val="nil"/>
              <w:bottom w:val="single" w:sz="4" w:space="0" w:color="FFFFFF"/>
              <w:right w:val="single" w:sz="4" w:space="0" w:color="FFFFFF"/>
            </w:tcBorders>
            <w:shd w:val="clear" w:color="auto" w:fill="FAFAFA"/>
            <w:vAlign w:val="center"/>
          </w:tcPr>
          <w:p w14:paraId="2113F982" w14:textId="77777777" w:rsidR="009D1A60" w:rsidRDefault="00000000">
            <w:pPr>
              <w:spacing w:after="0" w:line="240" w:lineRule="auto"/>
              <w:jc w:val="right"/>
              <w:rPr>
                <w:rFonts w:eastAsia="Arial" w:cs="Arial"/>
                <w:sz w:val="17"/>
                <w:szCs w:val="17"/>
              </w:rPr>
            </w:pPr>
            <w:r>
              <w:rPr>
                <w:color w:val="000000"/>
                <w:sz w:val="17"/>
                <w:szCs w:val="17"/>
              </w:rPr>
              <w:t>-92</w:t>
            </w:r>
          </w:p>
        </w:tc>
      </w:tr>
      <w:tr w:rsidR="009D1A60" w14:paraId="6C068E99"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3FFE4AB6"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net profit (loss) for the period</w:t>
            </w:r>
          </w:p>
        </w:tc>
        <w:tc>
          <w:tcPr>
            <w:tcW w:w="1134" w:type="dxa"/>
            <w:tcBorders>
              <w:top w:val="nil"/>
              <w:left w:val="nil"/>
              <w:bottom w:val="single" w:sz="4" w:space="0" w:color="FFFFFF"/>
              <w:right w:val="single" w:sz="4" w:space="0" w:color="FFFFFF"/>
            </w:tcBorders>
            <w:shd w:val="clear" w:color="auto" w:fill="FAFAFA"/>
            <w:vAlign w:val="center"/>
          </w:tcPr>
          <w:p w14:paraId="19850269" w14:textId="77777777" w:rsidR="009D1A60" w:rsidRDefault="00000000">
            <w:pPr>
              <w:spacing w:after="0" w:line="240" w:lineRule="auto"/>
              <w:jc w:val="center"/>
              <w:rPr>
                <w:rFonts w:eastAsia="Arial" w:cs="Arial"/>
                <w:b/>
                <w:color w:val="5E6EC8"/>
                <w:sz w:val="17"/>
                <w:szCs w:val="17"/>
              </w:rPr>
            </w:pPr>
            <w:r>
              <w:rPr>
                <w:rFonts w:eastAsia="Arial" w:cs="Arial"/>
                <w:b/>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1EBA24E7" w14:textId="77777777" w:rsidR="009D1A60" w:rsidRDefault="00000000">
            <w:pPr>
              <w:spacing w:after="0" w:line="240" w:lineRule="auto"/>
              <w:jc w:val="right"/>
              <w:rPr>
                <w:rFonts w:eastAsia="Arial" w:cs="Arial"/>
                <w:b/>
                <w:color w:val="5E6EC8"/>
                <w:sz w:val="17"/>
                <w:szCs w:val="17"/>
              </w:rPr>
            </w:pPr>
            <w:r>
              <w:rPr>
                <w:b/>
                <w:color w:val="5E6EC8"/>
                <w:sz w:val="17"/>
                <w:szCs w:val="17"/>
              </w:rPr>
              <w:t>-11 091</w:t>
            </w:r>
          </w:p>
        </w:tc>
        <w:tc>
          <w:tcPr>
            <w:tcW w:w="1559" w:type="dxa"/>
            <w:tcBorders>
              <w:top w:val="nil"/>
              <w:left w:val="nil"/>
              <w:bottom w:val="single" w:sz="4" w:space="0" w:color="FFFFFF"/>
              <w:right w:val="single" w:sz="4" w:space="0" w:color="FFFFFF"/>
            </w:tcBorders>
            <w:shd w:val="clear" w:color="auto" w:fill="FAFAFA"/>
            <w:vAlign w:val="center"/>
          </w:tcPr>
          <w:p w14:paraId="66267294" w14:textId="77777777" w:rsidR="009D1A60" w:rsidRDefault="00000000">
            <w:pPr>
              <w:spacing w:after="0" w:line="240" w:lineRule="auto"/>
              <w:jc w:val="right"/>
              <w:rPr>
                <w:rFonts w:eastAsia="Arial" w:cs="Arial"/>
                <w:b/>
                <w:color w:val="5E6EC8"/>
                <w:sz w:val="17"/>
                <w:szCs w:val="17"/>
              </w:rPr>
            </w:pPr>
            <w:r>
              <w:rPr>
                <w:b/>
                <w:color w:val="5E6EC8"/>
                <w:sz w:val="17"/>
                <w:szCs w:val="17"/>
              </w:rPr>
              <w:t>-5 161</w:t>
            </w:r>
          </w:p>
        </w:tc>
      </w:tr>
      <w:tr w:rsidR="009D1A60" w14:paraId="22FE6A80" w14:textId="77777777">
        <w:trPr>
          <w:trHeight w:val="285"/>
        </w:trPr>
        <w:tc>
          <w:tcPr>
            <w:tcW w:w="5382" w:type="dxa"/>
            <w:tcBorders>
              <w:top w:val="nil"/>
              <w:left w:val="nil"/>
              <w:bottom w:val="nil"/>
              <w:right w:val="nil"/>
            </w:tcBorders>
            <w:shd w:val="clear" w:color="auto" w:fill="FAFAFA"/>
            <w:vAlign w:val="center"/>
          </w:tcPr>
          <w:p w14:paraId="529986EE"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 </w:t>
            </w:r>
          </w:p>
        </w:tc>
        <w:tc>
          <w:tcPr>
            <w:tcW w:w="1134" w:type="dxa"/>
            <w:tcBorders>
              <w:top w:val="nil"/>
              <w:left w:val="single" w:sz="4" w:space="0" w:color="FFFFFF"/>
              <w:bottom w:val="single" w:sz="4" w:space="0" w:color="FFFFFF"/>
              <w:right w:val="single" w:sz="4" w:space="0" w:color="FFFFFF"/>
            </w:tcBorders>
            <w:shd w:val="clear" w:color="auto" w:fill="FAFAFA"/>
            <w:vAlign w:val="center"/>
          </w:tcPr>
          <w:p w14:paraId="66DA4255" w14:textId="77777777" w:rsidR="009D1A60" w:rsidRDefault="00000000">
            <w:pPr>
              <w:spacing w:after="0" w:line="240" w:lineRule="auto"/>
              <w:jc w:val="center"/>
              <w:rPr>
                <w:rFonts w:eastAsia="Arial" w:cs="Arial"/>
                <w:color w:val="5E6EC8"/>
                <w:sz w:val="17"/>
                <w:szCs w:val="17"/>
              </w:rPr>
            </w:pPr>
            <w:r>
              <w:rPr>
                <w:rFonts w:eastAsia="Arial" w:cs="Arial"/>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E2FA9F8" w14:textId="77777777" w:rsidR="009D1A60" w:rsidRDefault="00000000">
            <w:pPr>
              <w:spacing w:after="0" w:line="240" w:lineRule="auto"/>
              <w:jc w:val="right"/>
              <w:rPr>
                <w:rFonts w:eastAsia="Arial" w:cs="Arial"/>
                <w:color w:val="5E6EC8"/>
                <w:sz w:val="17"/>
                <w:szCs w:val="17"/>
              </w:rPr>
            </w:pPr>
            <w:r>
              <w:rPr>
                <w:rFonts w:eastAsia="Arial" w:cs="Arial"/>
                <w:color w:val="5E6EC8"/>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659868EE" w14:textId="77777777" w:rsidR="009D1A60" w:rsidRDefault="00000000">
            <w:pPr>
              <w:spacing w:after="0" w:line="240" w:lineRule="auto"/>
              <w:jc w:val="right"/>
              <w:rPr>
                <w:rFonts w:eastAsia="Arial" w:cs="Arial"/>
                <w:color w:val="5E6EC8"/>
                <w:sz w:val="17"/>
                <w:szCs w:val="17"/>
              </w:rPr>
            </w:pPr>
            <w:r>
              <w:rPr>
                <w:rFonts w:eastAsia="Arial" w:cs="Arial"/>
                <w:color w:val="5E6EC8"/>
                <w:sz w:val="17"/>
                <w:szCs w:val="17"/>
              </w:rPr>
              <w:t>.</w:t>
            </w:r>
          </w:p>
        </w:tc>
      </w:tr>
      <w:tr w:rsidR="009D1A60" w14:paraId="65227795" w14:textId="77777777">
        <w:trPr>
          <w:trHeight w:val="525"/>
        </w:trPr>
        <w:tc>
          <w:tcPr>
            <w:tcW w:w="5382" w:type="dxa"/>
            <w:tcBorders>
              <w:top w:val="single" w:sz="4" w:space="0" w:color="FFFFFF"/>
              <w:left w:val="single" w:sz="4" w:space="0" w:color="FFFFFF"/>
              <w:bottom w:val="single" w:sz="4" w:space="0" w:color="FFFFFF"/>
              <w:right w:val="single" w:sz="4" w:space="0" w:color="FFFFFF"/>
            </w:tcBorders>
            <w:shd w:val="clear" w:color="auto" w:fill="FAFAFA"/>
            <w:vAlign w:val="center"/>
          </w:tcPr>
          <w:p w14:paraId="15486387"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Other comprehensive income (loss) that may subsequently be classified to profit or loss:</w:t>
            </w:r>
          </w:p>
        </w:tc>
        <w:tc>
          <w:tcPr>
            <w:tcW w:w="1134" w:type="dxa"/>
            <w:tcBorders>
              <w:top w:val="nil"/>
              <w:left w:val="nil"/>
              <w:bottom w:val="single" w:sz="4" w:space="0" w:color="FFFFFF"/>
              <w:right w:val="single" w:sz="4" w:space="0" w:color="FFFFFF"/>
            </w:tcBorders>
            <w:shd w:val="clear" w:color="auto" w:fill="FAFAFA"/>
            <w:vAlign w:val="center"/>
          </w:tcPr>
          <w:p w14:paraId="151F0045" w14:textId="77777777" w:rsidR="009D1A60" w:rsidRDefault="00000000">
            <w:pPr>
              <w:spacing w:after="0" w:line="240" w:lineRule="auto"/>
              <w:jc w:val="center"/>
              <w:rPr>
                <w:rFonts w:eastAsia="Arial" w:cs="Arial"/>
                <w:color w:val="5E6EC8"/>
                <w:sz w:val="17"/>
                <w:szCs w:val="17"/>
              </w:rPr>
            </w:pPr>
            <w:r>
              <w:rPr>
                <w:rFonts w:eastAsia="Arial" w:cs="Arial"/>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615A22D1" w14:textId="77777777" w:rsidR="009D1A60" w:rsidRDefault="00000000">
            <w:pPr>
              <w:spacing w:after="0" w:line="240" w:lineRule="auto"/>
              <w:jc w:val="right"/>
              <w:rPr>
                <w:rFonts w:eastAsia="Arial" w:cs="Arial"/>
                <w:sz w:val="17"/>
                <w:szCs w:val="17"/>
              </w:rPr>
            </w:pPr>
            <w:r>
              <w:rPr>
                <w:rFonts w:eastAsia="Arial" w:cs="Arial"/>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59F69E44" w14:textId="77777777" w:rsidR="009D1A60" w:rsidRDefault="00000000">
            <w:pPr>
              <w:spacing w:after="0" w:line="240" w:lineRule="auto"/>
              <w:jc w:val="right"/>
              <w:rPr>
                <w:rFonts w:eastAsia="Arial" w:cs="Arial"/>
                <w:sz w:val="17"/>
                <w:szCs w:val="17"/>
              </w:rPr>
            </w:pPr>
            <w:r>
              <w:rPr>
                <w:rFonts w:eastAsia="Arial" w:cs="Arial"/>
                <w:sz w:val="17"/>
                <w:szCs w:val="17"/>
              </w:rPr>
              <w:t>.</w:t>
            </w:r>
          </w:p>
        </w:tc>
      </w:tr>
      <w:tr w:rsidR="009D1A60" w14:paraId="163134CA"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76528A02" w14:textId="77777777" w:rsidR="009D1A60" w:rsidRDefault="00000000">
            <w:pPr>
              <w:spacing w:after="0" w:line="240" w:lineRule="auto"/>
              <w:jc w:val="left"/>
              <w:rPr>
                <w:rFonts w:eastAsia="Arial" w:cs="Arial"/>
                <w:sz w:val="17"/>
                <w:szCs w:val="17"/>
              </w:rPr>
            </w:pPr>
            <w:r>
              <w:rPr>
                <w:rFonts w:eastAsia="Arial" w:cs="Arial"/>
                <w:sz w:val="17"/>
                <w:szCs w:val="17"/>
              </w:rPr>
              <w:t>Foreign currency translation differences</w:t>
            </w:r>
          </w:p>
        </w:tc>
        <w:tc>
          <w:tcPr>
            <w:tcW w:w="1134" w:type="dxa"/>
            <w:tcBorders>
              <w:top w:val="nil"/>
              <w:left w:val="nil"/>
              <w:bottom w:val="single" w:sz="4" w:space="0" w:color="FFFFFF"/>
              <w:right w:val="single" w:sz="4" w:space="0" w:color="FFFFFF"/>
            </w:tcBorders>
            <w:shd w:val="clear" w:color="auto" w:fill="FAFAFA"/>
            <w:vAlign w:val="center"/>
          </w:tcPr>
          <w:p w14:paraId="57856ABB"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345C7973" w14:textId="77777777" w:rsidR="009D1A60" w:rsidRDefault="00000000">
            <w:pPr>
              <w:spacing w:after="0" w:line="240" w:lineRule="auto"/>
              <w:jc w:val="right"/>
              <w:rPr>
                <w:rFonts w:eastAsia="Arial" w:cs="Arial"/>
                <w:sz w:val="17"/>
                <w:szCs w:val="17"/>
              </w:rPr>
            </w:pPr>
            <w:r>
              <w:rPr>
                <w:sz w:val="17"/>
                <w:szCs w:val="17"/>
              </w:rPr>
              <w:t>596</w:t>
            </w:r>
          </w:p>
        </w:tc>
        <w:tc>
          <w:tcPr>
            <w:tcW w:w="1559" w:type="dxa"/>
            <w:tcBorders>
              <w:top w:val="nil"/>
              <w:left w:val="nil"/>
              <w:bottom w:val="single" w:sz="4" w:space="0" w:color="FFFFFF"/>
              <w:right w:val="single" w:sz="4" w:space="0" w:color="FFFFFF"/>
            </w:tcBorders>
            <w:shd w:val="clear" w:color="auto" w:fill="FAFAFA"/>
            <w:vAlign w:val="center"/>
          </w:tcPr>
          <w:p w14:paraId="5AAC11BC" w14:textId="77777777" w:rsidR="009D1A60" w:rsidRDefault="00000000">
            <w:pPr>
              <w:spacing w:after="0" w:line="240" w:lineRule="auto"/>
              <w:jc w:val="right"/>
              <w:rPr>
                <w:rFonts w:eastAsia="Arial" w:cs="Arial"/>
                <w:sz w:val="17"/>
                <w:szCs w:val="17"/>
              </w:rPr>
            </w:pPr>
            <w:r>
              <w:rPr>
                <w:color w:val="000000"/>
                <w:sz w:val="17"/>
                <w:szCs w:val="17"/>
              </w:rPr>
              <w:t>925</w:t>
            </w:r>
          </w:p>
        </w:tc>
      </w:tr>
      <w:tr w:rsidR="009D1A60" w14:paraId="56502A3D"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78C2D48A"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comprehensive income (expense)</w:t>
            </w:r>
          </w:p>
        </w:tc>
        <w:tc>
          <w:tcPr>
            <w:tcW w:w="1134" w:type="dxa"/>
            <w:tcBorders>
              <w:top w:val="nil"/>
              <w:left w:val="nil"/>
              <w:bottom w:val="single" w:sz="4" w:space="0" w:color="FFFFFF"/>
              <w:right w:val="single" w:sz="4" w:space="0" w:color="FFFFFF"/>
            </w:tcBorders>
            <w:shd w:val="clear" w:color="auto" w:fill="FAFAFA"/>
            <w:vAlign w:val="center"/>
          </w:tcPr>
          <w:p w14:paraId="6560A3F2" w14:textId="77777777" w:rsidR="009D1A60" w:rsidRDefault="00000000">
            <w:pPr>
              <w:spacing w:after="0" w:line="240" w:lineRule="auto"/>
              <w:jc w:val="center"/>
              <w:rPr>
                <w:rFonts w:eastAsia="Arial" w:cs="Arial"/>
                <w:b/>
                <w:color w:val="5E6EC8"/>
                <w:sz w:val="17"/>
                <w:szCs w:val="17"/>
              </w:rPr>
            </w:pPr>
            <w:r>
              <w:rPr>
                <w:rFonts w:eastAsia="Arial" w:cs="Arial"/>
                <w:b/>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77E77D2" w14:textId="77777777" w:rsidR="009D1A60" w:rsidRDefault="00000000">
            <w:pPr>
              <w:spacing w:after="0" w:line="240" w:lineRule="auto"/>
              <w:jc w:val="right"/>
              <w:rPr>
                <w:rFonts w:eastAsia="Arial" w:cs="Arial"/>
                <w:b/>
                <w:color w:val="5E6EC8"/>
                <w:sz w:val="17"/>
                <w:szCs w:val="17"/>
              </w:rPr>
            </w:pPr>
            <w:r>
              <w:rPr>
                <w:b/>
                <w:color w:val="5E6EC8"/>
                <w:sz w:val="17"/>
                <w:szCs w:val="17"/>
              </w:rPr>
              <w:t>-10 495</w:t>
            </w:r>
          </w:p>
        </w:tc>
        <w:tc>
          <w:tcPr>
            <w:tcW w:w="1559" w:type="dxa"/>
            <w:tcBorders>
              <w:top w:val="nil"/>
              <w:left w:val="nil"/>
              <w:bottom w:val="single" w:sz="4" w:space="0" w:color="FFFFFF"/>
              <w:right w:val="single" w:sz="4" w:space="0" w:color="FFFFFF"/>
            </w:tcBorders>
            <w:shd w:val="clear" w:color="auto" w:fill="FAFAFA"/>
            <w:vAlign w:val="center"/>
          </w:tcPr>
          <w:p w14:paraId="59C78542" w14:textId="77777777" w:rsidR="009D1A60" w:rsidRDefault="00000000">
            <w:pPr>
              <w:spacing w:after="0" w:line="240" w:lineRule="auto"/>
              <w:jc w:val="right"/>
              <w:rPr>
                <w:rFonts w:eastAsia="Arial" w:cs="Arial"/>
                <w:b/>
                <w:color w:val="5E6EC8"/>
                <w:sz w:val="17"/>
                <w:szCs w:val="17"/>
              </w:rPr>
            </w:pPr>
            <w:r>
              <w:rPr>
                <w:b/>
                <w:color w:val="5E6EC8"/>
                <w:sz w:val="17"/>
                <w:szCs w:val="17"/>
              </w:rPr>
              <w:t>-4 236</w:t>
            </w:r>
          </w:p>
        </w:tc>
      </w:tr>
      <w:tr w:rsidR="009D1A60" w14:paraId="359CDBB7"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C714A43"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013ADFF5"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AAE77E5" w14:textId="77777777" w:rsidR="009D1A60" w:rsidRDefault="00000000">
            <w:pPr>
              <w:spacing w:after="0" w:line="240" w:lineRule="auto"/>
              <w:jc w:val="right"/>
              <w:rPr>
                <w:rFonts w:eastAsia="Arial" w:cs="Arial"/>
                <w:sz w:val="17"/>
                <w:szCs w:val="17"/>
              </w:rPr>
            </w:pPr>
            <w:r>
              <w:rPr>
                <w:rFonts w:eastAsia="Arial" w:cs="Arial"/>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223A6762" w14:textId="77777777" w:rsidR="009D1A60" w:rsidRDefault="00000000">
            <w:pPr>
              <w:spacing w:after="0" w:line="240" w:lineRule="auto"/>
              <w:jc w:val="right"/>
              <w:rPr>
                <w:rFonts w:eastAsia="Arial" w:cs="Arial"/>
                <w:sz w:val="17"/>
                <w:szCs w:val="17"/>
              </w:rPr>
            </w:pPr>
            <w:r>
              <w:rPr>
                <w:rFonts w:eastAsia="Arial" w:cs="Arial"/>
                <w:sz w:val="17"/>
                <w:szCs w:val="17"/>
              </w:rPr>
              <w:t>.</w:t>
            </w:r>
          </w:p>
        </w:tc>
      </w:tr>
      <w:tr w:rsidR="009D1A60" w14:paraId="4528FE7E"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DA5CF66"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Total comprehensive income (expense) attributable to:</w:t>
            </w:r>
          </w:p>
        </w:tc>
        <w:tc>
          <w:tcPr>
            <w:tcW w:w="1134" w:type="dxa"/>
            <w:tcBorders>
              <w:top w:val="nil"/>
              <w:left w:val="nil"/>
              <w:bottom w:val="single" w:sz="4" w:space="0" w:color="FFFFFF"/>
              <w:right w:val="single" w:sz="4" w:space="0" w:color="FFFFFF"/>
            </w:tcBorders>
            <w:shd w:val="clear" w:color="auto" w:fill="FAFAFA"/>
            <w:vAlign w:val="center"/>
          </w:tcPr>
          <w:p w14:paraId="3D1266AE" w14:textId="77777777" w:rsidR="009D1A60" w:rsidRDefault="00000000">
            <w:pPr>
              <w:spacing w:after="0" w:line="240" w:lineRule="auto"/>
              <w:jc w:val="center"/>
              <w:rPr>
                <w:rFonts w:eastAsia="Arial" w:cs="Arial"/>
                <w:color w:val="5E6EC8"/>
                <w:sz w:val="17"/>
                <w:szCs w:val="17"/>
              </w:rPr>
            </w:pPr>
            <w:r>
              <w:rPr>
                <w:rFonts w:eastAsia="Arial" w:cs="Arial"/>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5F9E6E6" w14:textId="77777777" w:rsidR="009D1A60" w:rsidRDefault="00000000">
            <w:pPr>
              <w:spacing w:after="0" w:line="240" w:lineRule="auto"/>
              <w:jc w:val="right"/>
              <w:rPr>
                <w:rFonts w:eastAsia="Arial" w:cs="Arial"/>
                <w:color w:val="5E6EC8"/>
                <w:sz w:val="17"/>
                <w:szCs w:val="17"/>
              </w:rPr>
            </w:pPr>
            <w:r>
              <w:rPr>
                <w:rFonts w:eastAsia="Arial" w:cs="Arial"/>
                <w:color w:val="5E6EC8"/>
                <w:sz w:val="17"/>
                <w:szCs w:val="17"/>
              </w:rPr>
              <w:t>.</w:t>
            </w:r>
          </w:p>
        </w:tc>
        <w:tc>
          <w:tcPr>
            <w:tcW w:w="1559" w:type="dxa"/>
            <w:tcBorders>
              <w:top w:val="nil"/>
              <w:left w:val="nil"/>
              <w:bottom w:val="single" w:sz="4" w:space="0" w:color="FFFFFF"/>
              <w:right w:val="single" w:sz="4" w:space="0" w:color="FFFFFF"/>
            </w:tcBorders>
            <w:shd w:val="clear" w:color="auto" w:fill="FAFAFA"/>
            <w:vAlign w:val="center"/>
          </w:tcPr>
          <w:p w14:paraId="5F1BB62E" w14:textId="77777777" w:rsidR="009D1A60" w:rsidRDefault="00000000">
            <w:pPr>
              <w:spacing w:after="0" w:line="240" w:lineRule="auto"/>
              <w:jc w:val="right"/>
              <w:rPr>
                <w:rFonts w:eastAsia="Arial" w:cs="Arial"/>
                <w:color w:val="5E6EC8"/>
                <w:sz w:val="17"/>
                <w:szCs w:val="17"/>
              </w:rPr>
            </w:pPr>
            <w:r>
              <w:rPr>
                <w:rFonts w:eastAsia="Arial" w:cs="Arial"/>
                <w:color w:val="5E6EC8"/>
                <w:sz w:val="17"/>
                <w:szCs w:val="17"/>
              </w:rPr>
              <w:t>.</w:t>
            </w:r>
          </w:p>
        </w:tc>
      </w:tr>
      <w:tr w:rsidR="009D1A60" w14:paraId="37F21429"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0B8044F" w14:textId="77777777" w:rsidR="009D1A60" w:rsidRDefault="00000000">
            <w:pPr>
              <w:spacing w:after="0" w:line="240" w:lineRule="auto"/>
              <w:jc w:val="left"/>
              <w:rPr>
                <w:rFonts w:eastAsia="Arial" w:cs="Arial"/>
                <w:sz w:val="17"/>
                <w:szCs w:val="17"/>
              </w:rPr>
            </w:pPr>
            <w:r>
              <w:rPr>
                <w:rFonts w:eastAsia="Arial" w:cs="Arial"/>
                <w:sz w:val="17"/>
                <w:szCs w:val="17"/>
              </w:rPr>
              <w:t>Owners of the Parent Company</w:t>
            </w:r>
          </w:p>
        </w:tc>
        <w:tc>
          <w:tcPr>
            <w:tcW w:w="1134" w:type="dxa"/>
            <w:tcBorders>
              <w:top w:val="nil"/>
              <w:left w:val="nil"/>
              <w:bottom w:val="single" w:sz="4" w:space="0" w:color="FFFFFF"/>
              <w:right w:val="single" w:sz="4" w:space="0" w:color="FFFFFF"/>
            </w:tcBorders>
            <w:shd w:val="clear" w:color="auto" w:fill="FAFAFA"/>
            <w:vAlign w:val="center"/>
          </w:tcPr>
          <w:p w14:paraId="3E8A310D"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6889E35" w14:textId="77777777" w:rsidR="009D1A60" w:rsidRDefault="00000000">
            <w:pPr>
              <w:spacing w:after="0" w:line="240" w:lineRule="auto"/>
              <w:jc w:val="right"/>
              <w:rPr>
                <w:rFonts w:eastAsia="Arial" w:cs="Arial"/>
                <w:sz w:val="17"/>
                <w:szCs w:val="17"/>
              </w:rPr>
            </w:pPr>
            <w:r>
              <w:rPr>
                <w:color w:val="000000"/>
                <w:sz w:val="17"/>
                <w:szCs w:val="17"/>
              </w:rPr>
              <w:t>-1</w:t>
            </w:r>
            <w:r>
              <w:rPr>
                <w:sz w:val="17"/>
                <w:szCs w:val="17"/>
              </w:rPr>
              <w:t>0 478</w:t>
            </w:r>
          </w:p>
        </w:tc>
        <w:tc>
          <w:tcPr>
            <w:tcW w:w="1559" w:type="dxa"/>
            <w:tcBorders>
              <w:top w:val="nil"/>
              <w:left w:val="nil"/>
              <w:bottom w:val="single" w:sz="4" w:space="0" w:color="FFFFFF"/>
              <w:right w:val="single" w:sz="4" w:space="0" w:color="FFFFFF"/>
            </w:tcBorders>
            <w:shd w:val="clear" w:color="auto" w:fill="FAFAFA"/>
            <w:vAlign w:val="center"/>
          </w:tcPr>
          <w:p w14:paraId="522A32F7" w14:textId="77777777" w:rsidR="009D1A60" w:rsidRDefault="00000000">
            <w:pPr>
              <w:spacing w:after="0" w:line="240" w:lineRule="auto"/>
              <w:jc w:val="right"/>
              <w:rPr>
                <w:rFonts w:eastAsia="Arial" w:cs="Arial"/>
                <w:sz w:val="17"/>
                <w:szCs w:val="17"/>
              </w:rPr>
            </w:pPr>
            <w:r>
              <w:rPr>
                <w:color w:val="000000"/>
                <w:sz w:val="17"/>
                <w:szCs w:val="17"/>
              </w:rPr>
              <w:t>-4 144</w:t>
            </w:r>
          </w:p>
        </w:tc>
      </w:tr>
      <w:tr w:rsidR="009D1A60" w14:paraId="20541774"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CFC27FC" w14:textId="77777777" w:rsidR="009D1A60" w:rsidRDefault="00000000">
            <w:pPr>
              <w:spacing w:after="0" w:line="240" w:lineRule="auto"/>
              <w:jc w:val="left"/>
              <w:rPr>
                <w:rFonts w:eastAsia="Arial" w:cs="Arial"/>
                <w:sz w:val="17"/>
                <w:szCs w:val="17"/>
              </w:rPr>
            </w:pPr>
            <w:r>
              <w:rPr>
                <w:rFonts w:eastAsia="Arial" w:cs="Arial"/>
                <w:sz w:val="17"/>
                <w:szCs w:val="17"/>
              </w:rPr>
              <w:t>Non-controlling interests</w:t>
            </w:r>
          </w:p>
        </w:tc>
        <w:tc>
          <w:tcPr>
            <w:tcW w:w="1134" w:type="dxa"/>
            <w:tcBorders>
              <w:top w:val="nil"/>
              <w:left w:val="nil"/>
              <w:bottom w:val="single" w:sz="4" w:space="0" w:color="FFFFFF"/>
              <w:right w:val="single" w:sz="4" w:space="0" w:color="FFFFFF"/>
            </w:tcBorders>
            <w:shd w:val="clear" w:color="auto" w:fill="FAFAFA"/>
            <w:vAlign w:val="center"/>
          </w:tcPr>
          <w:p w14:paraId="5096C623"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433C1384" w14:textId="77777777" w:rsidR="009D1A60" w:rsidRDefault="00000000">
            <w:pPr>
              <w:spacing w:after="0" w:line="240" w:lineRule="auto"/>
              <w:jc w:val="right"/>
              <w:rPr>
                <w:rFonts w:eastAsia="Arial" w:cs="Arial"/>
                <w:sz w:val="17"/>
                <w:szCs w:val="17"/>
              </w:rPr>
            </w:pPr>
            <w:r>
              <w:rPr>
                <w:color w:val="000000"/>
                <w:sz w:val="17"/>
                <w:szCs w:val="17"/>
              </w:rPr>
              <w:t>-17</w:t>
            </w:r>
          </w:p>
        </w:tc>
        <w:tc>
          <w:tcPr>
            <w:tcW w:w="1559" w:type="dxa"/>
            <w:tcBorders>
              <w:top w:val="nil"/>
              <w:left w:val="nil"/>
              <w:bottom w:val="single" w:sz="4" w:space="0" w:color="FFFFFF"/>
              <w:right w:val="single" w:sz="4" w:space="0" w:color="FFFFFF"/>
            </w:tcBorders>
            <w:shd w:val="clear" w:color="auto" w:fill="FAFAFA"/>
            <w:vAlign w:val="center"/>
          </w:tcPr>
          <w:p w14:paraId="72C590E2" w14:textId="77777777" w:rsidR="009D1A60" w:rsidRDefault="00000000">
            <w:pPr>
              <w:spacing w:after="0" w:line="240" w:lineRule="auto"/>
              <w:jc w:val="right"/>
              <w:rPr>
                <w:rFonts w:eastAsia="Arial" w:cs="Arial"/>
                <w:sz w:val="17"/>
                <w:szCs w:val="17"/>
              </w:rPr>
            </w:pPr>
            <w:r>
              <w:rPr>
                <w:color w:val="000000"/>
                <w:sz w:val="17"/>
                <w:szCs w:val="17"/>
              </w:rPr>
              <w:t>-92</w:t>
            </w:r>
          </w:p>
        </w:tc>
      </w:tr>
      <w:tr w:rsidR="009D1A60" w14:paraId="2FBC137E" w14:textId="77777777">
        <w:trPr>
          <w:trHeight w:val="45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5147F9A"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comprehensive income (expense) for the period</w:t>
            </w:r>
          </w:p>
        </w:tc>
        <w:tc>
          <w:tcPr>
            <w:tcW w:w="1134" w:type="dxa"/>
            <w:tcBorders>
              <w:top w:val="nil"/>
              <w:left w:val="nil"/>
              <w:bottom w:val="single" w:sz="4" w:space="0" w:color="FFFFFF"/>
              <w:right w:val="single" w:sz="4" w:space="0" w:color="FFFFFF"/>
            </w:tcBorders>
            <w:shd w:val="clear" w:color="auto" w:fill="FAFAFA"/>
            <w:vAlign w:val="center"/>
          </w:tcPr>
          <w:p w14:paraId="0E701535" w14:textId="77777777" w:rsidR="009D1A60" w:rsidRDefault="00000000">
            <w:pPr>
              <w:spacing w:after="0" w:line="240" w:lineRule="auto"/>
              <w:jc w:val="center"/>
              <w:rPr>
                <w:rFonts w:eastAsia="Arial" w:cs="Arial"/>
                <w:b/>
                <w:color w:val="5E6EC8"/>
                <w:sz w:val="17"/>
                <w:szCs w:val="17"/>
              </w:rPr>
            </w:pPr>
            <w:r>
              <w:rPr>
                <w:rFonts w:eastAsia="Arial" w:cs="Arial"/>
                <w:b/>
                <w:color w:val="5E6EC8"/>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7CEA590F" w14:textId="77777777" w:rsidR="009D1A60" w:rsidRDefault="00000000">
            <w:pPr>
              <w:spacing w:after="0" w:line="240" w:lineRule="auto"/>
              <w:jc w:val="right"/>
              <w:rPr>
                <w:rFonts w:eastAsia="Arial" w:cs="Arial"/>
                <w:b/>
                <w:color w:val="5E6EC8"/>
                <w:sz w:val="17"/>
                <w:szCs w:val="17"/>
              </w:rPr>
            </w:pPr>
            <w:r>
              <w:rPr>
                <w:b/>
                <w:color w:val="5E6EC8"/>
                <w:sz w:val="17"/>
                <w:szCs w:val="17"/>
              </w:rPr>
              <w:t>-10 495</w:t>
            </w:r>
          </w:p>
        </w:tc>
        <w:tc>
          <w:tcPr>
            <w:tcW w:w="1559" w:type="dxa"/>
            <w:tcBorders>
              <w:top w:val="nil"/>
              <w:left w:val="nil"/>
              <w:bottom w:val="single" w:sz="4" w:space="0" w:color="FFFFFF"/>
              <w:right w:val="single" w:sz="4" w:space="0" w:color="FFFFFF"/>
            </w:tcBorders>
            <w:shd w:val="clear" w:color="auto" w:fill="FAFAFA"/>
            <w:vAlign w:val="center"/>
          </w:tcPr>
          <w:p w14:paraId="4567873D" w14:textId="77777777" w:rsidR="009D1A60" w:rsidRDefault="00000000">
            <w:pPr>
              <w:spacing w:after="0" w:line="240" w:lineRule="auto"/>
              <w:jc w:val="right"/>
              <w:rPr>
                <w:rFonts w:eastAsia="Arial" w:cs="Arial"/>
                <w:b/>
                <w:color w:val="5E6EC8"/>
                <w:sz w:val="17"/>
                <w:szCs w:val="17"/>
              </w:rPr>
            </w:pPr>
            <w:r>
              <w:rPr>
                <w:b/>
                <w:color w:val="5E6EC8"/>
                <w:sz w:val="17"/>
                <w:szCs w:val="17"/>
              </w:rPr>
              <w:t>-4 236</w:t>
            </w:r>
          </w:p>
        </w:tc>
      </w:tr>
      <w:tr w:rsidR="009D1A60" w14:paraId="5AF8E0E8"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5D448491"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289E8692"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649D44FC" w14:textId="77777777" w:rsidR="009D1A60" w:rsidRDefault="00000000">
            <w:pPr>
              <w:spacing w:after="0" w:line="240" w:lineRule="auto"/>
              <w:jc w:val="right"/>
              <w:rPr>
                <w:rFonts w:eastAsia="Arial" w:cs="Arial"/>
                <w:sz w:val="17"/>
                <w:szCs w:val="17"/>
              </w:rPr>
            </w:pPr>
            <w:r>
              <w:rPr>
                <w:rFonts w:eastAsia="Arial" w:cs="Arial"/>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006C6F5D" w14:textId="77777777" w:rsidR="009D1A60" w:rsidRDefault="00000000">
            <w:pPr>
              <w:spacing w:after="0" w:line="240" w:lineRule="auto"/>
              <w:jc w:val="right"/>
              <w:rPr>
                <w:rFonts w:eastAsia="Arial" w:cs="Arial"/>
                <w:sz w:val="17"/>
                <w:szCs w:val="17"/>
              </w:rPr>
            </w:pPr>
            <w:r>
              <w:rPr>
                <w:rFonts w:eastAsia="Arial" w:cs="Arial"/>
                <w:sz w:val="17"/>
                <w:szCs w:val="17"/>
              </w:rPr>
              <w:t> </w:t>
            </w:r>
          </w:p>
        </w:tc>
      </w:tr>
      <w:tr w:rsidR="009D1A60" w14:paraId="2DFE97B9"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18D8FEE0" w14:textId="77777777" w:rsidR="009D1A60" w:rsidRDefault="00000000">
            <w:pPr>
              <w:spacing w:after="0" w:line="240" w:lineRule="auto"/>
              <w:jc w:val="left"/>
              <w:rPr>
                <w:rFonts w:eastAsia="Arial" w:cs="Arial"/>
                <w:sz w:val="17"/>
                <w:szCs w:val="17"/>
              </w:rPr>
            </w:pPr>
            <w:r>
              <w:rPr>
                <w:rFonts w:eastAsia="Arial" w:cs="Arial"/>
                <w:sz w:val="17"/>
                <w:szCs w:val="17"/>
              </w:rPr>
              <w:t>Profit (Loss) per share (EUR)</w:t>
            </w:r>
          </w:p>
        </w:tc>
        <w:tc>
          <w:tcPr>
            <w:tcW w:w="1134" w:type="dxa"/>
            <w:tcBorders>
              <w:top w:val="nil"/>
              <w:left w:val="nil"/>
              <w:bottom w:val="single" w:sz="4" w:space="0" w:color="FFFFFF"/>
              <w:right w:val="single" w:sz="4" w:space="0" w:color="FFFFFF"/>
            </w:tcBorders>
            <w:shd w:val="clear" w:color="auto" w:fill="FAFAFA"/>
            <w:vAlign w:val="center"/>
          </w:tcPr>
          <w:p w14:paraId="57B6871A"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4</w:t>
            </w:r>
          </w:p>
        </w:tc>
        <w:tc>
          <w:tcPr>
            <w:tcW w:w="1559" w:type="dxa"/>
            <w:tcBorders>
              <w:top w:val="nil"/>
              <w:left w:val="nil"/>
              <w:bottom w:val="single" w:sz="4" w:space="0" w:color="FFFFFF"/>
              <w:right w:val="single" w:sz="4" w:space="0" w:color="FFFFFF"/>
            </w:tcBorders>
            <w:shd w:val="clear" w:color="auto" w:fill="FAFAFA"/>
            <w:vAlign w:val="center"/>
          </w:tcPr>
          <w:p w14:paraId="1069E556" w14:textId="77777777" w:rsidR="009D1A60" w:rsidRDefault="00000000">
            <w:pPr>
              <w:spacing w:after="0" w:line="240" w:lineRule="auto"/>
              <w:jc w:val="right"/>
              <w:rPr>
                <w:rFonts w:eastAsia="Arial" w:cs="Arial"/>
                <w:sz w:val="17"/>
                <w:szCs w:val="17"/>
              </w:rPr>
            </w:pPr>
            <w:r>
              <w:rPr>
                <w:rFonts w:eastAsia="Arial" w:cs="Arial"/>
                <w:sz w:val="17"/>
                <w:szCs w:val="17"/>
              </w:rPr>
              <w:t>-0.</w:t>
            </w:r>
            <w:r>
              <w:rPr>
                <w:sz w:val="17"/>
                <w:szCs w:val="17"/>
              </w:rPr>
              <w:t>29</w:t>
            </w:r>
          </w:p>
        </w:tc>
        <w:tc>
          <w:tcPr>
            <w:tcW w:w="1559" w:type="dxa"/>
            <w:tcBorders>
              <w:top w:val="nil"/>
              <w:left w:val="nil"/>
              <w:bottom w:val="single" w:sz="4" w:space="0" w:color="FFFFFF"/>
              <w:right w:val="single" w:sz="4" w:space="0" w:color="FFFFFF"/>
            </w:tcBorders>
            <w:shd w:val="clear" w:color="auto" w:fill="FAFAFA"/>
            <w:vAlign w:val="center"/>
          </w:tcPr>
          <w:p w14:paraId="498FD581" w14:textId="77777777" w:rsidR="009D1A60" w:rsidRDefault="00000000">
            <w:pPr>
              <w:spacing w:after="0" w:line="240" w:lineRule="auto"/>
              <w:jc w:val="right"/>
              <w:rPr>
                <w:rFonts w:eastAsia="Arial" w:cs="Arial"/>
                <w:sz w:val="17"/>
                <w:szCs w:val="17"/>
              </w:rPr>
            </w:pPr>
            <w:r>
              <w:rPr>
                <w:rFonts w:eastAsia="Arial" w:cs="Arial"/>
                <w:sz w:val="17"/>
                <w:szCs w:val="17"/>
              </w:rPr>
              <w:t>-0.09</w:t>
            </w:r>
          </w:p>
        </w:tc>
      </w:tr>
      <w:tr w:rsidR="009D1A60" w14:paraId="06A525A3"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1B0F503A" w14:textId="77777777" w:rsidR="009D1A60" w:rsidRDefault="00000000">
            <w:pPr>
              <w:spacing w:after="0" w:line="240" w:lineRule="auto"/>
              <w:jc w:val="left"/>
              <w:rPr>
                <w:rFonts w:eastAsia="Arial" w:cs="Arial"/>
                <w:sz w:val="17"/>
                <w:szCs w:val="17"/>
              </w:rPr>
            </w:pPr>
            <w:r>
              <w:rPr>
                <w:rFonts w:eastAsia="Arial" w:cs="Arial"/>
                <w:sz w:val="17"/>
                <w:szCs w:val="17"/>
              </w:rPr>
              <w:t> </w:t>
            </w:r>
          </w:p>
        </w:tc>
        <w:tc>
          <w:tcPr>
            <w:tcW w:w="1134" w:type="dxa"/>
            <w:tcBorders>
              <w:top w:val="nil"/>
              <w:left w:val="nil"/>
              <w:bottom w:val="single" w:sz="4" w:space="0" w:color="FFFFFF"/>
              <w:right w:val="single" w:sz="4" w:space="0" w:color="FFFFFF"/>
            </w:tcBorders>
            <w:shd w:val="clear" w:color="auto" w:fill="FAFAFA"/>
            <w:vAlign w:val="center"/>
          </w:tcPr>
          <w:p w14:paraId="35858781"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 </w:t>
            </w:r>
          </w:p>
        </w:tc>
        <w:tc>
          <w:tcPr>
            <w:tcW w:w="1559" w:type="dxa"/>
            <w:tcBorders>
              <w:top w:val="nil"/>
              <w:left w:val="nil"/>
              <w:bottom w:val="single" w:sz="4" w:space="0" w:color="FFFFFF"/>
              <w:right w:val="single" w:sz="4" w:space="0" w:color="FFFFFF"/>
            </w:tcBorders>
            <w:shd w:val="clear" w:color="auto" w:fill="FAFAFA"/>
            <w:vAlign w:val="center"/>
          </w:tcPr>
          <w:p w14:paraId="5EAC2FCF" w14:textId="77777777" w:rsidR="009D1A60" w:rsidRDefault="009D1A60">
            <w:pPr>
              <w:spacing w:after="0" w:line="240" w:lineRule="auto"/>
              <w:jc w:val="right"/>
              <w:rPr>
                <w:rFonts w:eastAsia="Arial" w:cs="Arial"/>
                <w:sz w:val="17"/>
                <w:szCs w:val="17"/>
              </w:rPr>
            </w:pPr>
          </w:p>
        </w:tc>
        <w:tc>
          <w:tcPr>
            <w:tcW w:w="1559" w:type="dxa"/>
            <w:tcBorders>
              <w:top w:val="nil"/>
              <w:left w:val="nil"/>
              <w:bottom w:val="single" w:sz="4" w:space="0" w:color="FFFFFF"/>
              <w:right w:val="single" w:sz="4" w:space="0" w:color="FFFFFF"/>
            </w:tcBorders>
            <w:shd w:val="clear" w:color="auto" w:fill="FAFAFA"/>
            <w:vAlign w:val="center"/>
          </w:tcPr>
          <w:p w14:paraId="0EB31123" w14:textId="77777777" w:rsidR="009D1A60" w:rsidRDefault="009D1A60">
            <w:pPr>
              <w:spacing w:after="0" w:line="240" w:lineRule="auto"/>
              <w:jc w:val="right"/>
              <w:rPr>
                <w:rFonts w:eastAsia="Arial" w:cs="Arial"/>
                <w:sz w:val="17"/>
                <w:szCs w:val="17"/>
              </w:rPr>
            </w:pPr>
          </w:p>
        </w:tc>
      </w:tr>
      <w:tr w:rsidR="009D1A60" w14:paraId="3DCA4B53" w14:textId="77777777">
        <w:trPr>
          <w:trHeight w:val="285"/>
        </w:trPr>
        <w:tc>
          <w:tcPr>
            <w:tcW w:w="5382" w:type="dxa"/>
            <w:tcBorders>
              <w:top w:val="nil"/>
              <w:left w:val="single" w:sz="4" w:space="0" w:color="FFFFFF"/>
              <w:bottom w:val="single" w:sz="4" w:space="0" w:color="FFFFFF"/>
              <w:right w:val="single" w:sz="4" w:space="0" w:color="FFFFFF"/>
            </w:tcBorders>
            <w:shd w:val="clear" w:color="auto" w:fill="FAFAFA"/>
            <w:vAlign w:val="center"/>
          </w:tcPr>
          <w:p w14:paraId="08A1A15B" w14:textId="77777777" w:rsidR="009D1A60" w:rsidRDefault="00000000">
            <w:pPr>
              <w:spacing w:after="0" w:line="240" w:lineRule="auto"/>
              <w:jc w:val="left"/>
              <w:rPr>
                <w:rFonts w:eastAsia="Arial" w:cs="Arial"/>
                <w:sz w:val="17"/>
                <w:szCs w:val="17"/>
              </w:rPr>
            </w:pPr>
            <w:r>
              <w:rPr>
                <w:rFonts w:eastAsia="Arial" w:cs="Arial"/>
                <w:sz w:val="17"/>
                <w:szCs w:val="17"/>
              </w:rPr>
              <w:t>Diluted profit (loss) per share (EUR)</w:t>
            </w:r>
          </w:p>
        </w:tc>
        <w:tc>
          <w:tcPr>
            <w:tcW w:w="1134" w:type="dxa"/>
            <w:tcBorders>
              <w:top w:val="nil"/>
              <w:left w:val="nil"/>
              <w:bottom w:val="single" w:sz="4" w:space="0" w:color="FFFFFF"/>
              <w:right w:val="single" w:sz="4" w:space="0" w:color="FFFFFF"/>
            </w:tcBorders>
            <w:shd w:val="clear" w:color="auto" w:fill="FAFAFA"/>
            <w:vAlign w:val="center"/>
          </w:tcPr>
          <w:p w14:paraId="3BB7C9F2" w14:textId="77777777" w:rsidR="009D1A60" w:rsidRDefault="00000000">
            <w:pPr>
              <w:spacing w:after="0" w:line="240" w:lineRule="auto"/>
              <w:jc w:val="center"/>
              <w:rPr>
                <w:rFonts w:eastAsia="Arial" w:cs="Arial"/>
                <w:color w:val="000000"/>
                <w:sz w:val="17"/>
                <w:szCs w:val="17"/>
              </w:rPr>
            </w:pPr>
            <w:r>
              <w:rPr>
                <w:rFonts w:eastAsia="Arial" w:cs="Arial"/>
                <w:color w:val="000000"/>
                <w:sz w:val="17"/>
                <w:szCs w:val="17"/>
              </w:rPr>
              <w:t>4</w:t>
            </w:r>
          </w:p>
        </w:tc>
        <w:tc>
          <w:tcPr>
            <w:tcW w:w="1559" w:type="dxa"/>
            <w:tcBorders>
              <w:top w:val="nil"/>
              <w:left w:val="nil"/>
              <w:bottom w:val="single" w:sz="4" w:space="0" w:color="FFFFFF"/>
              <w:right w:val="single" w:sz="4" w:space="0" w:color="FFFFFF"/>
            </w:tcBorders>
            <w:shd w:val="clear" w:color="auto" w:fill="FAFAFA"/>
            <w:vAlign w:val="center"/>
          </w:tcPr>
          <w:p w14:paraId="14CB10FF" w14:textId="77777777" w:rsidR="009D1A60" w:rsidRDefault="00000000">
            <w:pPr>
              <w:spacing w:after="0" w:line="240" w:lineRule="auto"/>
              <w:jc w:val="right"/>
              <w:rPr>
                <w:rFonts w:eastAsia="Arial" w:cs="Arial"/>
                <w:sz w:val="17"/>
                <w:szCs w:val="17"/>
              </w:rPr>
            </w:pPr>
            <w:r>
              <w:rPr>
                <w:rFonts w:eastAsia="Arial" w:cs="Arial"/>
                <w:sz w:val="17"/>
                <w:szCs w:val="17"/>
              </w:rPr>
              <w:t>-0.</w:t>
            </w:r>
            <w:r>
              <w:rPr>
                <w:sz w:val="17"/>
                <w:szCs w:val="17"/>
              </w:rPr>
              <w:t>29</w:t>
            </w:r>
          </w:p>
        </w:tc>
        <w:tc>
          <w:tcPr>
            <w:tcW w:w="1559" w:type="dxa"/>
            <w:tcBorders>
              <w:top w:val="nil"/>
              <w:left w:val="nil"/>
              <w:bottom w:val="single" w:sz="4" w:space="0" w:color="FFFFFF"/>
              <w:right w:val="single" w:sz="4" w:space="0" w:color="FFFFFF"/>
            </w:tcBorders>
            <w:shd w:val="clear" w:color="auto" w:fill="FAFAFA"/>
            <w:vAlign w:val="center"/>
          </w:tcPr>
          <w:p w14:paraId="4D57D66F" w14:textId="77777777" w:rsidR="009D1A60" w:rsidRDefault="00000000">
            <w:pPr>
              <w:spacing w:after="0" w:line="240" w:lineRule="auto"/>
              <w:jc w:val="right"/>
              <w:rPr>
                <w:rFonts w:eastAsia="Arial" w:cs="Arial"/>
                <w:sz w:val="17"/>
                <w:szCs w:val="17"/>
              </w:rPr>
            </w:pPr>
            <w:r>
              <w:rPr>
                <w:rFonts w:eastAsia="Arial" w:cs="Arial"/>
                <w:sz w:val="17"/>
                <w:szCs w:val="17"/>
              </w:rPr>
              <w:t>-0.09</w:t>
            </w:r>
          </w:p>
        </w:tc>
      </w:tr>
    </w:tbl>
    <w:p w14:paraId="14B87151" w14:textId="77777777" w:rsidR="009D1A60" w:rsidRDefault="009D1A60"/>
    <w:p w14:paraId="02DFF2D1" w14:textId="77777777" w:rsidR="009D1A60" w:rsidRDefault="009D1A60">
      <w:pPr>
        <w:pStyle w:val="Heading2"/>
      </w:pPr>
    </w:p>
    <w:p w14:paraId="6472ECDA" w14:textId="77777777" w:rsidR="009D1A60" w:rsidRDefault="00000000">
      <w:pPr>
        <w:pStyle w:val="Heading2"/>
      </w:pPr>
      <w:bookmarkStart w:id="17" w:name="_heading=h.bh86xjwhdodg" w:colFirst="0" w:colLast="0"/>
      <w:bookmarkStart w:id="18" w:name="_Toc112873380"/>
      <w:bookmarkEnd w:id="17"/>
      <w:r>
        <w:t>Consolidated Statement of Changes in Equity</w:t>
      </w:r>
      <w:bookmarkEnd w:id="18"/>
    </w:p>
    <w:tbl>
      <w:tblPr>
        <w:tblStyle w:val="af"/>
        <w:tblW w:w="9878" w:type="dxa"/>
        <w:tblLayout w:type="fixed"/>
        <w:tblLook w:val="0400" w:firstRow="0" w:lastRow="0" w:firstColumn="0" w:lastColumn="0" w:noHBand="0" w:noVBand="1"/>
      </w:tblPr>
      <w:tblGrid>
        <w:gridCol w:w="2122"/>
        <w:gridCol w:w="992"/>
        <w:gridCol w:w="802"/>
        <w:gridCol w:w="850"/>
        <w:gridCol w:w="851"/>
        <w:gridCol w:w="850"/>
        <w:gridCol w:w="851"/>
        <w:gridCol w:w="765"/>
        <w:gridCol w:w="945"/>
        <w:gridCol w:w="850"/>
      </w:tblGrid>
      <w:tr w:rsidR="009D1A60" w14:paraId="183A8A58" w14:textId="77777777">
        <w:trPr>
          <w:trHeight w:val="684"/>
        </w:trPr>
        <w:tc>
          <w:tcPr>
            <w:tcW w:w="2122"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27F5587E"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EUR '000</w:t>
            </w:r>
          </w:p>
        </w:tc>
        <w:tc>
          <w:tcPr>
            <w:tcW w:w="992" w:type="dxa"/>
            <w:tcBorders>
              <w:top w:val="single" w:sz="4" w:space="0" w:color="FFFFFF"/>
              <w:left w:val="nil"/>
              <w:bottom w:val="single" w:sz="4" w:space="0" w:color="FFFFFF"/>
              <w:right w:val="single" w:sz="4" w:space="0" w:color="FFFFFF"/>
            </w:tcBorders>
            <w:shd w:val="clear" w:color="auto" w:fill="363270"/>
            <w:vAlign w:val="center"/>
          </w:tcPr>
          <w:p w14:paraId="0A509678"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Share capital</w:t>
            </w:r>
          </w:p>
        </w:tc>
        <w:tc>
          <w:tcPr>
            <w:tcW w:w="802" w:type="dxa"/>
            <w:tcBorders>
              <w:top w:val="single" w:sz="4" w:space="0" w:color="FFFFFF"/>
              <w:left w:val="nil"/>
              <w:bottom w:val="single" w:sz="4" w:space="0" w:color="FFFFFF"/>
              <w:right w:val="single" w:sz="4" w:space="0" w:color="FFFFFF"/>
            </w:tcBorders>
            <w:shd w:val="clear" w:color="auto" w:fill="363270"/>
            <w:vAlign w:val="center"/>
          </w:tcPr>
          <w:p w14:paraId="50A93204"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Share premium</w:t>
            </w:r>
          </w:p>
        </w:tc>
        <w:tc>
          <w:tcPr>
            <w:tcW w:w="850" w:type="dxa"/>
            <w:tcBorders>
              <w:top w:val="single" w:sz="4" w:space="0" w:color="FFFFFF"/>
              <w:left w:val="nil"/>
              <w:bottom w:val="single" w:sz="4" w:space="0" w:color="FFFFFF"/>
              <w:right w:val="single" w:sz="4" w:space="0" w:color="FFFFFF"/>
            </w:tcBorders>
            <w:shd w:val="clear" w:color="auto" w:fill="363270"/>
            <w:vAlign w:val="center"/>
          </w:tcPr>
          <w:p w14:paraId="05F094AE"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Treasury shares</w:t>
            </w:r>
          </w:p>
        </w:tc>
        <w:tc>
          <w:tcPr>
            <w:tcW w:w="851" w:type="dxa"/>
            <w:tcBorders>
              <w:top w:val="single" w:sz="4" w:space="0" w:color="FFFFFF"/>
              <w:left w:val="nil"/>
              <w:bottom w:val="single" w:sz="4" w:space="0" w:color="FFFFFF"/>
              <w:right w:val="single" w:sz="4" w:space="0" w:color="FFFFFF"/>
            </w:tcBorders>
            <w:shd w:val="clear" w:color="auto" w:fill="363270"/>
            <w:vAlign w:val="center"/>
          </w:tcPr>
          <w:p w14:paraId="798486CA"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Statutory capital reserve</w:t>
            </w:r>
          </w:p>
        </w:tc>
        <w:tc>
          <w:tcPr>
            <w:tcW w:w="850" w:type="dxa"/>
            <w:tcBorders>
              <w:top w:val="single" w:sz="4" w:space="0" w:color="FFFFFF"/>
              <w:left w:val="nil"/>
              <w:bottom w:val="single" w:sz="4" w:space="0" w:color="FFFFFF"/>
              <w:right w:val="single" w:sz="4" w:space="0" w:color="FFFFFF"/>
            </w:tcBorders>
            <w:shd w:val="clear" w:color="auto" w:fill="363270"/>
            <w:vAlign w:val="center"/>
          </w:tcPr>
          <w:p w14:paraId="6C33DA55" w14:textId="77777777" w:rsidR="009D1A60" w:rsidRDefault="00000000">
            <w:pPr>
              <w:spacing w:after="0" w:line="240" w:lineRule="auto"/>
              <w:jc w:val="center"/>
              <w:rPr>
                <w:rFonts w:eastAsia="Arial" w:cs="Arial"/>
                <w:color w:val="FFFFFF"/>
                <w:sz w:val="17"/>
                <w:szCs w:val="17"/>
              </w:rPr>
            </w:pPr>
            <w:proofErr w:type="spellStart"/>
            <w:r>
              <w:rPr>
                <w:rFonts w:eastAsia="Arial" w:cs="Arial"/>
                <w:color w:val="FFFFFF"/>
                <w:sz w:val="17"/>
                <w:szCs w:val="17"/>
              </w:rPr>
              <w:t>Unrea-lised</w:t>
            </w:r>
            <w:proofErr w:type="spellEnd"/>
            <w:r>
              <w:rPr>
                <w:rFonts w:eastAsia="Arial" w:cs="Arial"/>
                <w:color w:val="FFFFFF"/>
                <w:sz w:val="17"/>
                <w:szCs w:val="17"/>
              </w:rPr>
              <w:t xml:space="preserve"> currency differ.</w:t>
            </w:r>
          </w:p>
        </w:tc>
        <w:tc>
          <w:tcPr>
            <w:tcW w:w="851" w:type="dxa"/>
            <w:tcBorders>
              <w:top w:val="single" w:sz="4" w:space="0" w:color="FFFFFF"/>
              <w:left w:val="nil"/>
              <w:bottom w:val="single" w:sz="4" w:space="0" w:color="FFFFFF"/>
              <w:right w:val="single" w:sz="4" w:space="0" w:color="FFFFFF"/>
            </w:tcBorders>
            <w:shd w:val="clear" w:color="auto" w:fill="363270"/>
            <w:vAlign w:val="center"/>
          </w:tcPr>
          <w:p w14:paraId="1C4BDEE6"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Retained earnings (-loss)</w:t>
            </w:r>
          </w:p>
        </w:tc>
        <w:tc>
          <w:tcPr>
            <w:tcW w:w="765" w:type="dxa"/>
            <w:tcBorders>
              <w:top w:val="single" w:sz="4" w:space="0" w:color="FFFFFF"/>
              <w:left w:val="nil"/>
              <w:bottom w:val="single" w:sz="4" w:space="0" w:color="FFFFFF"/>
              <w:right w:val="single" w:sz="4" w:space="0" w:color="FFFFFF"/>
            </w:tcBorders>
            <w:shd w:val="clear" w:color="auto" w:fill="363270"/>
            <w:vAlign w:val="center"/>
          </w:tcPr>
          <w:p w14:paraId="25B2E650"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Total</w:t>
            </w:r>
          </w:p>
        </w:tc>
        <w:tc>
          <w:tcPr>
            <w:tcW w:w="945" w:type="dxa"/>
            <w:tcBorders>
              <w:top w:val="single" w:sz="4" w:space="0" w:color="FFFFFF"/>
              <w:left w:val="nil"/>
              <w:bottom w:val="single" w:sz="4" w:space="0" w:color="FFFFFF"/>
              <w:right w:val="single" w:sz="4" w:space="0" w:color="FFFFFF"/>
            </w:tcBorders>
            <w:shd w:val="clear" w:color="auto" w:fill="363270"/>
            <w:vAlign w:val="center"/>
          </w:tcPr>
          <w:p w14:paraId="5B3A4CD9"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Non-contr. interests</w:t>
            </w:r>
          </w:p>
        </w:tc>
        <w:tc>
          <w:tcPr>
            <w:tcW w:w="850" w:type="dxa"/>
            <w:tcBorders>
              <w:top w:val="single" w:sz="4" w:space="0" w:color="FFFFFF"/>
              <w:left w:val="nil"/>
              <w:bottom w:val="single" w:sz="4" w:space="0" w:color="FFFFFF"/>
              <w:right w:val="single" w:sz="4" w:space="0" w:color="FFFFFF"/>
            </w:tcBorders>
            <w:shd w:val="clear" w:color="auto" w:fill="363270"/>
            <w:vAlign w:val="center"/>
          </w:tcPr>
          <w:p w14:paraId="66A30D1A" w14:textId="77777777" w:rsidR="009D1A60" w:rsidRDefault="00000000">
            <w:pPr>
              <w:spacing w:after="0" w:line="240" w:lineRule="auto"/>
              <w:jc w:val="center"/>
              <w:rPr>
                <w:rFonts w:eastAsia="Arial" w:cs="Arial"/>
                <w:color w:val="FFFFFF"/>
                <w:sz w:val="17"/>
                <w:szCs w:val="17"/>
              </w:rPr>
            </w:pPr>
            <w:r>
              <w:rPr>
                <w:rFonts w:eastAsia="Arial" w:cs="Arial"/>
                <w:color w:val="FFFFFF"/>
                <w:sz w:val="17"/>
                <w:szCs w:val="17"/>
              </w:rPr>
              <w:t>Total equity</w:t>
            </w:r>
          </w:p>
        </w:tc>
      </w:tr>
      <w:tr w:rsidR="009D1A60" w14:paraId="6E914DC7" w14:textId="77777777">
        <w:trPr>
          <w:trHeight w:val="228"/>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18DA1B07"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 xml:space="preserve">Balance at 30.06.2020 </w:t>
            </w:r>
          </w:p>
        </w:tc>
        <w:tc>
          <w:tcPr>
            <w:tcW w:w="992" w:type="dxa"/>
            <w:tcBorders>
              <w:top w:val="nil"/>
              <w:left w:val="nil"/>
              <w:bottom w:val="nil"/>
              <w:right w:val="nil"/>
            </w:tcBorders>
            <w:shd w:val="clear" w:color="auto" w:fill="FAFAFA"/>
            <w:vAlign w:val="center"/>
          </w:tcPr>
          <w:p w14:paraId="024B92D8" w14:textId="77777777" w:rsidR="009D1A60" w:rsidRDefault="00000000">
            <w:pPr>
              <w:spacing w:after="0" w:line="240" w:lineRule="auto"/>
              <w:jc w:val="right"/>
              <w:rPr>
                <w:rFonts w:eastAsia="Arial" w:cs="Arial"/>
                <w:b/>
                <w:color w:val="5E6EC8"/>
                <w:sz w:val="17"/>
                <w:szCs w:val="17"/>
              </w:rPr>
            </w:pPr>
            <w:r>
              <w:rPr>
                <w:b/>
                <w:color w:val="5E6EC8"/>
                <w:sz w:val="16"/>
                <w:szCs w:val="16"/>
              </w:rPr>
              <w:t>7 737</w:t>
            </w:r>
          </w:p>
        </w:tc>
        <w:tc>
          <w:tcPr>
            <w:tcW w:w="802" w:type="dxa"/>
            <w:tcBorders>
              <w:top w:val="nil"/>
              <w:left w:val="nil"/>
              <w:bottom w:val="nil"/>
              <w:right w:val="nil"/>
            </w:tcBorders>
            <w:shd w:val="clear" w:color="auto" w:fill="FAFAFA"/>
            <w:vAlign w:val="center"/>
          </w:tcPr>
          <w:p w14:paraId="284D1DE5" w14:textId="77777777" w:rsidR="009D1A60" w:rsidRDefault="00000000">
            <w:pPr>
              <w:spacing w:after="0" w:line="240" w:lineRule="auto"/>
              <w:jc w:val="right"/>
              <w:rPr>
                <w:rFonts w:eastAsia="Arial" w:cs="Arial"/>
                <w:b/>
                <w:color w:val="5E6EC8"/>
                <w:sz w:val="17"/>
                <w:szCs w:val="17"/>
              </w:rPr>
            </w:pPr>
            <w:r>
              <w:rPr>
                <w:b/>
                <w:color w:val="5E6EC8"/>
                <w:sz w:val="16"/>
                <w:szCs w:val="16"/>
              </w:rPr>
              <w:t>14 007</w:t>
            </w:r>
          </w:p>
        </w:tc>
        <w:tc>
          <w:tcPr>
            <w:tcW w:w="850" w:type="dxa"/>
            <w:tcBorders>
              <w:top w:val="nil"/>
              <w:left w:val="nil"/>
              <w:bottom w:val="nil"/>
              <w:right w:val="nil"/>
            </w:tcBorders>
            <w:shd w:val="clear" w:color="auto" w:fill="FAFAFA"/>
            <w:vAlign w:val="center"/>
          </w:tcPr>
          <w:p w14:paraId="3180A13A" w14:textId="77777777" w:rsidR="009D1A60" w:rsidRDefault="00000000">
            <w:pPr>
              <w:spacing w:after="0" w:line="240" w:lineRule="auto"/>
              <w:jc w:val="right"/>
              <w:rPr>
                <w:rFonts w:eastAsia="Arial" w:cs="Arial"/>
                <w:b/>
                <w:color w:val="5E6EC8"/>
                <w:sz w:val="17"/>
                <w:szCs w:val="17"/>
              </w:rPr>
            </w:pPr>
            <w:r>
              <w:rPr>
                <w:b/>
                <w:color w:val="5E6EC8"/>
                <w:sz w:val="16"/>
                <w:szCs w:val="16"/>
              </w:rPr>
              <w:t>-390</w:t>
            </w:r>
          </w:p>
        </w:tc>
        <w:tc>
          <w:tcPr>
            <w:tcW w:w="851" w:type="dxa"/>
            <w:tcBorders>
              <w:top w:val="nil"/>
              <w:left w:val="nil"/>
              <w:bottom w:val="nil"/>
              <w:right w:val="nil"/>
            </w:tcBorders>
            <w:shd w:val="clear" w:color="auto" w:fill="FAFAFA"/>
            <w:vAlign w:val="center"/>
          </w:tcPr>
          <w:p w14:paraId="2EB6000B" w14:textId="77777777" w:rsidR="009D1A60" w:rsidRDefault="00000000">
            <w:pPr>
              <w:spacing w:after="0" w:line="240" w:lineRule="auto"/>
              <w:jc w:val="right"/>
              <w:rPr>
                <w:rFonts w:eastAsia="Arial" w:cs="Arial"/>
                <w:b/>
                <w:color w:val="5E6EC8"/>
                <w:sz w:val="17"/>
                <w:szCs w:val="17"/>
              </w:rPr>
            </w:pPr>
            <w:r>
              <w:rPr>
                <w:b/>
                <w:color w:val="5E6EC8"/>
                <w:sz w:val="16"/>
                <w:szCs w:val="16"/>
              </w:rPr>
              <w:t>51</w:t>
            </w:r>
          </w:p>
        </w:tc>
        <w:tc>
          <w:tcPr>
            <w:tcW w:w="850" w:type="dxa"/>
            <w:tcBorders>
              <w:top w:val="nil"/>
              <w:left w:val="nil"/>
              <w:bottom w:val="nil"/>
              <w:right w:val="nil"/>
            </w:tcBorders>
            <w:shd w:val="clear" w:color="auto" w:fill="FAFAFA"/>
            <w:vAlign w:val="center"/>
          </w:tcPr>
          <w:p w14:paraId="172C74E6" w14:textId="77777777" w:rsidR="009D1A60" w:rsidRDefault="00000000">
            <w:pPr>
              <w:spacing w:after="0" w:line="240" w:lineRule="auto"/>
              <w:jc w:val="right"/>
              <w:rPr>
                <w:rFonts w:eastAsia="Arial" w:cs="Arial"/>
                <w:b/>
                <w:color w:val="5E6EC8"/>
                <w:sz w:val="17"/>
                <w:szCs w:val="17"/>
              </w:rPr>
            </w:pPr>
            <w:r>
              <w:rPr>
                <w:b/>
                <w:color w:val="5E6EC8"/>
                <w:sz w:val="16"/>
                <w:szCs w:val="16"/>
              </w:rPr>
              <w:t>-366</w:t>
            </w:r>
          </w:p>
        </w:tc>
        <w:tc>
          <w:tcPr>
            <w:tcW w:w="851" w:type="dxa"/>
            <w:tcBorders>
              <w:top w:val="nil"/>
              <w:left w:val="nil"/>
              <w:bottom w:val="nil"/>
              <w:right w:val="nil"/>
            </w:tcBorders>
            <w:shd w:val="clear" w:color="auto" w:fill="FAFAFA"/>
            <w:vAlign w:val="center"/>
          </w:tcPr>
          <w:p w14:paraId="1F8D594C" w14:textId="77777777" w:rsidR="009D1A60" w:rsidRDefault="00000000">
            <w:pPr>
              <w:spacing w:after="0" w:line="240" w:lineRule="auto"/>
              <w:jc w:val="right"/>
              <w:rPr>
                <w:rFonts w:eastAsia="Arial" w:cs="Arial"/>
                <w:b/>
                <w:color w:val="5E6EC8"/>
                <w:sz w:val="17"/>
                <w:szCs w:val="17"/>
              </w:rPr>
            </w:pPr>
            <w:r>
              <w:rPr>
                <w:b/>
                <w:color w:val="5E6EC8"/>
                <w:sz w:val="16"/>
                <w:szCs w:val="16"/>
              </w:rPr>
              <w:t>-1 654</w:t>
            </w:r>
          </w:p>
        </w:tc>
        <w:tc>
          <w:tcPr>
            <w:tcW w:w="765" w:type="dxa"/>
            <w:tcBorders>
              <w:top w:val="nil"/>
              <w:left w:val="nil"/>
              <w:bottom w:val="nil"/>
              <w:right w:val="nil"/>
            </w:tcBorders>
            <w:shd w:val="clear" w:color="auto" w:fill="FAFAFA"/>
            <w:vAlign w:val="center"/>
          </w:tcPr>
          <w:p w14:paraId="0CA785DD" w14:textId="77777777" w:rsidR="009D1A60" w:rsidRDefault="00000000">
            <w:pPr>
              <w:spacing w:after="0" w:line="240" w:lineRule="auto"/>
              <w:jc w:val="right"/>
              <w:rPr>
                <w:rFonts w:eastAsia="Arial" w:cs="Arial"/>
                <w:b/>
                <w:color w:val="5E6EC8"/>
                <w:sz w:val="17"/>
                <w:szCs w:val="17"/>
              </w:rPr>
            </w:pPr>
            <w:r>
              <w:rPr>
                <w:b/>
                <w:color w:val="5E6EC8"/>
                <w:sz w:val="16"/>
                <w:szCs w:val="16"/>
              </w:rPr>
              <w:t>19 385</w:t>
            </w:r>
          </w:p>
        </w:tc>
        <w:tc>
          <w:tcPr>
            <w:tcW w:w="945" w:type="dxa"/>
            <w:tcBorders>
              <w:top w:val="nil"/>
              <w:left w:val="nil"/>
              <w:bottom w:val="nil"/>
              <w:right w:val="nil"/>
            </w:tcBorders>
            <w:shd w:val="clear" w:color="auto" w:fill="FAFAFA"/>
            <w:vAlign w:val="center"/>
          </w:tcPr>
          <w:p w14:paraId="11C72D2E" w14:textId="77777777" w:rsidR="009D1A60" w:rsidRDefault="00000000">
            <w:pPr>
              <w:spacing w:after="0" w:line="240" w:lineRule="auto"/>
              <w:jc w:val="right"/>
              <w:rPr>
                <w:rFonts w:eastAsia="Arial" w:cs="Arial"/>
                <w:b/>
                <w:color w:val="5E6EC8"/>
                <w:sz w:val="17"/>
                <w:szCs w:val="17"/>
              </w:rPr>
            </w:pPr>
            <w:r>
              <w:rPr>
                <w:b/>
                <w:color w:val="5E6EC8"/>
                <w:sz w:val="16"/>
                <w:szCs w:val="16"/>
              </w:rPr>
              <w:t>434</w:t>
            </w:r>
          </w:p>
        </w:tc>
        <w:tc>
          <w:tcPr>
            <w:tcW w:w="850" w:type="dxa"/>
            <w:tcBorders>
              <w:top w:val="nil"/>
              <w:left w:val="nil"/>
              <w:bottom w:val="nil"/>
              <w:right w:val="nil"/>
            </w:tcBorders>
            <w:shd w:val="clear" w:color="auto" w:fill="FAFAFA"/>
            <w:vAlign w:val="center"/>
          </w:tcPr>
          <w:p w14:paraId="211CF28A" w14:textId="77777777" w:rsidR="009D1A60" w:rsidRDefault="00000000">
            <w:pPr>
              <w:spacing w:after="0" w:line="240" w:lineRule="auto"/>
              <w:jc w:val="right"/>
              <w:rPr>
                <w:rFonts w:eastAsia="Arial" w:cs="Arial"/>
                <w:b/>
                <w:color w:val="5E6EC8"/>
                <w:sz w:val="17"/>
                <w:szCs w:val="17"/>
              </w:rPr>
            </w:pPr>
            <w:r>
              <w:rPr>
                <w:b/>
                <w:color w:val="5E6EC8"/>
                <w:sz w:val="16"/>
                <w:szCs w:val="16"/>
              </w:rPr>
              <w:t>19 819</w:t>
            </w:r>
          </w:p>
        </w:tc>
      </w:tr>
      <w:tr w:rsidR="009D1A60" w14:paraId="646D1400" w14:textId="77777777">
        <w:trPr>
          <w:trHeight w:val="408"/>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5761CD98" w14:textId="77777777" w:rsidR="009D1A60" w:rsidRDefault="00000000">
            <w:pPr>
              <w:spacing w:after="0" w:line="240" w:lineRule="auto"/>
              <w:jc w:val="left"/>
              <w:rPr>
                <w:rFonts w:eastAsia="Arial" w:cs="Arial"/>
                <w:color w:val="191919"/>
                <w:sz w:val="17"/>
                <w:szCs w:val="17"/>
              </w:rPr>
            </w:pPr>
            <w:r>
              <w:rPr>
                <w:rFonts w:eastAsia="Arial" w:cs="Arial"/>
                <w:color w:val="191919"/>
                <w:sz w:val="17"/>
                <w:szCs w:val="17"/>
              </w:rPr>
              <w:t>Net profit (loss) for the year</w:t>
            </w:r>
          </w:p>
        </w:tc>
        <w:tc>
          <w:tcPr>
            <w:tcW w:w="992" w:type="dxa"/>
            <w:tcBorders>
              <w:top w:val="single" w:sz="4" w:space="0" w:color="FFFFFF"/>
              <w:left w:val="nil"/>
              <w:bottom w:val="single" w:sz="4" w:space="0" w:color="FFFFFF"/>
              <w:right w:val="single" w:sz="4" w:space="0" w:color="FFFFFF"/>
            </w:tcBorders>
            <w:shd w:val="clear" w:color="auto" w:fill="FAFAFA"/>
            <w:vAlign w:val="center"/>
          </w:tcPr>
          <w:p w14:paraId="5E191543" w14:textId="77777777" w:rsidR="009D1A60" w:rsidRDefault="00000000">
            <w:pPr>
              <w:spacing w:after="0" w:line="240" w:lineRule="auto"/>
              <w:jc w:val="right"/>
              <w:rPr>
                <w:rFonts w:eastAsia="Arial" w:cs="Arial"/>
                <w:sz w:val="17"/>
                <w:szCs w:val="17"/>
              </w:rPr>
            </w:pPr>
            <w:r>
              <w:rPr>
                <w:sz w:val="16"/>
                <w:szCs w:val="16"/>
              </w:rPr>
              <w:t>0</w:t>
            </w:r>
          </w:p>
        </w:tc>
        <w:tc>
          <w:tcPr>
            <w:tcW w:w="802" w:type="dxa"/>
            <w:tcBorders>
              <w:top w:val="single" w:sz="4" w:space="0" w:color="FFFFFF"/>
              <w:left w:val="nil"/>
              <w:bottom w:val="single" w:sz="4" w:space="0" w:color="FFFFFF"/>
              <w:right w:val="single" w:sz="4" w:space="0" w:color="FFFFFF"/>
            </w:tcBorders>
            <w:shd w:val="clear" w:color="auto" w:fill="FAFAFA"/>
            <w:vAlign w:val="center"/>
          </w:tcPr>
          <w:p w14:paraId="03518B67" w14:textId="77777777" w:rsidR="009D1A60" w:rsidRDefault="00000000">
            <w:pPr>
              <w:spacing w:after="0" w:line="240" w:lineRule="auto"/>
              <w:jc w:val="right"/>
              <w:rPr>
                <w:rFonts w:eastAsia="Arial" w:cs="Arial"/>
                <w:sz w:val="17"/>
                <w:szCs w:val="17"/>
              </w:rPr>
            </w:pPr>
            <w:r>
              <w:rPr>
                <w:sz w:val="16"/>
                <w:szCs w:val="16"/>
              </w:rPr>
              <w:t>0</w:t>
            </w:r>
          </w:p>
        </w:tc>
        <w:tc>
          <w:tcPr>
            <w:tcW w:w="850" w:type="dxa"/>
            <w:tcBorders>
              <w:top w:val="single" w:sz="4" w:space="0" w:color="FFFFFF"/>
              <w:left w:val="nil"/>
              <w:bottom w:val="single" w:sz="4" w:space="0" w:color="FFFFFF"/>
              <w:right w:val="single" w:sz="4" w:space="0" w:color="FFFFFF"/>
            </w:tcBorders>
            <w:shd w:val="clear" w:color="auto" w:fill="FAFAFA"/>
            <w:vAlign w:val="center"/>
          </w:tcPr>
          <w:p w14:paraId="6A5D9CA5" w14:textId="77777777" w:rsidR="009D1A60" w:rsidRDefault="00000000">
            <w:pPr>
              <w:spacing w:after="0" w:line="240" w:lineRule="auto"/>
              <w:jc w:val="right"/>
              <w:rPr>
                <w:rFonts w:eastAsia="Arial" w:cs="Arial"/>
                <w:sz w:val="17"/>
                <w:szCs w:val="17"/>
              </w:rPr>
            </w:pPr>
            <w:r>
              <w:rPr>
                <w:sz w:val="16"/>
                <w:szCs w:val="16"/>
              </w:rPr>
              <w:t>0</w:t>
            </w:r>
          </w:p>
        </w:tc>
        <w:tc>
          <w:tcPr>
            <w:tcW w:w="851" w:type="dxa"/>
            <w:tcBorders>
              <w:top w:val="single" w:sz="4" w:space="0" w:color="FFFFFF"/>
              <w:left w:val="nil"/>
              <w:bottom w:val="single" w:sz="4" w:space="0" w:color="FFFFFF"/>
              <w:right w:val="single" w:sz="4" w:space="0" w:color="FFFFFF"/>
            </w:tcBorders>
            <w:shd w:val="clear" w:color="auto" w:fill="FAFAFA"/>
            <w:vAlign w:val="center"/>
          </w:tcPr>
          <w:p w14:paraId="244F68EC" w14:textId="77777777" w:rsidR="009D1A60" w:rsidRDefault="00000000">
            <w:pPr>
              <w:spacing w:after="0" w:line="240" w:lineRule="auto"/>
              <w:jc w:val="right"/>
              <w:rPr>
                <w:rFonts w:eastAsia="Arial" w:cs="Arial"/>
                <w:sz w:val="17"/>
                <w:szCs w:val="17"/>
              </w:rPr>
            </w:pPr>
            <w:r>
              <w:rPr>
                <w:sz w:val="16"/>
                <w:szCs w:val="16"/>
              </w:rPr>
              <w:t>0</w:t>
            </w:r>
          </w:p>
        </w:tc>
        <w:tc>
          <w:tcPr>
            <w:tcW w:w="850" w:type="dxa"/>
            <w:tcBorders>
              <w:top w:val="single" w:sz="4" w:space="0" w:color="FFFFFF"/>
              <w:left w:val="nil"/>
              <w:bottom w:val="single" w:sz="4" w:space="0" w:color="FFFFFF"/>
              <w:right w:val="single" w:sz="4" w:space="0" w:color="FFFFFF"/>
            </w:tcBorders>
            <w:shd w:val="clear" w:color="auto" w:fill="FAFAFA"/>
            <w:vAlign w:val="center"/>
          </w:tcPr>
          <w:p w14:paraId="1578DD56" w14:textId="77777777" w:rsidR="009D1A60" w:rsidRDefault="00000000">
            <w:pPr>
              <w:spacing w:after="0" w:line="240" w:lineRule="auto"/>
              <w:jc w:val="right"/>
              <w:rPr>
                <w:rFonts w:eastAsia="Arial" w:cs="Arial"/>
                <w:sz w:val="17"/>
                <w:szCs w:val="17"/>
              </w:rPr>
            </w:pPr>
            <w:r>
              <w:rPr>
                <w:sz w:val="16"/>
                <w:szCs w:val="16"/>
              </w:rPr>
              <w:t>0</w:t>
            </w:r>
          </w:p>
        </w:tc>
        <w:tc>
          <w:tcPr>
            <w:tcW w:w="851" w:type="dxa"/>
            <w:tcBorders>
              <w:top w:val="single" w:sz="4" w:space="0" w:color="FFFFFF"/>
              <w:left w:val="nil"/>
              <w:bottom w:val="single" w:sz="4" w:space="0" w:color="FFFFFF"/>
              <w:right w:val="single" w:sz="4" w:space="0" w:color="FFFFFF"/>
            </w:tcBorders>
            <w:shd w:val="clear" w:color="auto" w:fill="FAFAFA"/>
            <w:vAlign w:val="center"/>
          </w:tcPr>
          <w:p w14:paraId="58CFD72D" w14:textId="77777777" w:rsidR="009D1A60" w:rsidRDefault="00000000">
            <w:pPr>
              <w:spacing w:after="0" w:line="240" w:lineRule="auto"/>
              <w:jc w:val="right"/>
              <w:rPr>
                <w:rFonts w:eastAsia="Arial" w:cs="Arial"/>
                <w:sz w:val="17"/>
                <w:szCs w:val="17"/>
              </w:rPr>
            </w:pPr>
            <w:r>
              <w:rPr>
                <w:sz w:val="16"/>
                <w:szCs w:val="16"/>
              </w:rPr>
              <w:t>-5 069</w:t>
            </w:r>
          </w:p>
        </w:tc>
        <w:tc>
          <w:tcPr>
            <w:tcW w:w="765" w:type="dxa"/>
            <w:tcBorders>
              <w:top w:val="single" w:sz="4" w:space="0" w:color="FFFFFF"/>
              <w:left w:val="nil"/>
              <w:bottom w:val="single" w:sz="4" w:space="0" w:color="FFFFFF"/>
              <w:right w:val="single" w:sz="4" w:space="0" w:color="FFFFFF"/>
            </w:tcBorders>
            <w:shd w:val="clear" w:color="auto" w:fill="FAFAFA"/>
            <w:vAlign w:val="center"/>
          </w:tcPr>
          <w:p w14:paraId="387EB642" w14:textId="77777777" w:rsidR="009D1A60" w:rsidRDefault="00000000">
            <w:pPr>
              <w:spacing w:after="0" w:line="240" w:lineRule="auto"/>
              <w:jc w:val="right"/>
              <w:rPr>
                <w:rFonts w:eastAsia="Arial" w:cs="Arial"/>
                <w:b/>
                <w:sz w:val="17"/>
                <w:szCs w:val="17"/>
              </w:rPr>
            </w:pPr>
            <w:r>
              <w:rPr>
                <w:b/>
                <w:sz w:val="16"/>
                <w:szCs w:val="16"/>
              </w:rPr>
              <w:t>-5 069</w:t>
            </w:r>
          </w:p>
        </w:tc>
        <w:tc>
          <w:tcPr>
            <w:tcW w:w="945" w:type="dxa"/>
            <w:tcBorders>
              <w:top w:val="single" w:sz="4" w:space="0" w:color="FFFFFF"/>
              <w:left w:val="nil"/>
              <w:bottom w:val="single" w:sz="4" w:space="0" w:color="FFFFFF"/>
              <w:right w:val="single" w:sz="4" w:space="0" w:color="FFFFFF"/>
            </w:tcBorders>
            <w:shd w:val="clear" w:color="auto" w:fill="FAFAFA"/>
            <w:vAlign w:val="center"/>
          </w:tcPr>
          <w:p w14:paraId="7022E4CE" w14:textId="77777777" w:rsidR="009D1A60" w:rsidRDefault="00000000">
            <w:pPr>
              <w:spacing w:after="0" w:line="240" w:lineRule="auto"/>
              <w:jc w:val="right"/>
              <w:rPr>
                <w:rFonts w:eastAsia="Arial" w:cs="Arial"/>
                <w:sz w:val="17"/>
                <w:szCs w:val="17"/>
              </w:rPr>
            </w:pPr>
            <w:r>
              <w:rPr>
                <w:sz w:val="16"/>
                <w:szCs w:val="16"/>
              </w:rPr>
              <w:t>-92</w:t>
            </w:r>
          </w:p>
        </w:tc>
        <w:tc>
          <w:tcPr>
            <w:tcW w:w="850" w:type="dxa"/>
            <w:tcBorders>
              <w:top w:val="single" w:sz="4" w:space="0" w:color="FFFFFF"/>
              <w:left w:val="nil"/>
              <w:bottom w:val="single" w:sz="4" w:space="0" w:color="FFFFFF"/>
              <w:right w:val="single" w:sz="4" w:space="0" w:color="FFFFFF"/>
            </w:tcBorders>
            <w:shd w:val="clear" w:color="auto" w:fill="FAFAFA"/>
            <w:vAlign w:val="center"/>
          </w:tcPr>
          <w:p w14:paraId="05B0A315" w14:textId="77777777" w:rsidR="009D1A60" w:rsidRDefault="00000000">
            <w:pPr>
              <w:spacing w:after="0" w:line="240" w:lineRule="auto"/>
              <w:jc w:val="right"/>
              <w:rPr>
                <w:rFonts w:eastAsia="Arial" w:cs="Arial"/>
                <w:b/>
                <w:sz w:val="17"/>
                <w:szCs w:val="17"/>
              </w:rPr>
            </w:pPr>
            <w:r>
              <w:rPr>
                <w:b/>
                <w:sz w:val="16"/>
                <w:szCs w:val="16"/>
              </w:rPr>
              <w:t>-5 161</w:t>
            </w:r>
          </w:p>
        </w:tc>
      </w:tr>
      <w:tr w:rsidR="009D1A60" w14:paraId="36EFAA36" w14:textId="77777777">
        <w:trPr>
          <w:trHeight w:val="444"/>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47A526C1" w14:textId="77777777" w:rsidR="009D1A60" w:rsidRDefault="00000000">
            <w:pPr>
              <w:spacing w:after="0" w:line="240" w:lineRule="auto"/>
              <w:jc w:val="left"/>
              <w:rPr>
                <w:rFonts w:eastAsia="Arial" w:cs="Arial"/>
                <w:color w:val="191919"/>
                <w:sz w:val="17"/>
                <w:szCs w:val="17"/>
              </w:rPr>
            </w:pPr>
            <w:r>
              <w:rPr>
                <w:rFonts w:eastAsia="Arial" w:cs="Arial"/>
                <w:color w:val="191919"/>
                <w:sz w:val="17"/>
                <w:szCs w:val="17"/>
              </w:rPr>
              <w:t>Other comprehensive income (expense)</w:t>
            </w:r>
          </w:p>
        </w:tc>
        <w:tc>
          <w:tcPr>
            <w:tcW w:w="992" w:type="dxa"/>
            <w:tcBorders>
              <w:top w:val="nil"/>
              <w:left w:val="nil"/>
              <w:bottom w:val="single" w:sz="4" w:space="0" w:color="FFFFFF"/>
              <w:right w:val="single" w:sz="4" w:space="0" w:color="FFFFFF"/>
            </w:tcBorders>
            <w:shd w:val="clear" w:color="auto" w:fill="FAFAFA"/>
            <w:vAlign w:val="center"/>
          </w:tcPr>
          <w:p w14:paraId="25CCA364" w14:textId="77777777" w:rsidR="009D1A60" w:rsidRDefault="00000000">
            <w:pPr>
              <w:spacing w:after="0" w:line="240" w:lineRule="auto"/>
              <w:jc w:val="right"/>
              <w:rPr>
                <w:rFonts w:eastAsia="Arial" w:cs="Arial"/>
                <w:sz w:val="17"/>
                <w:szCs w:val="17"/>
              </w:rPr>
            </w:pPr>
            <w:r>
              <w:rPr>
                <w:sz w:val="16"/>
                <w:szCs w:val="16"/>
              </w:rPr>
              <w:t>0</w:t>
            </w:r>
          </w:p>
        </w:tc>
        <w:tc>
          <w:tcPr>
            <w:tcW w:w="802" w:type="dxa"/>
            <w:tcBorders>
              <w:top w:val="nil"/>
              <w:left w:val="nil"/>
              <w:bottom w:val="single" w:sz="4" w:space="0" w:color="FFFFFF"/>
              <w:right w:val="single" w:sz="4" w:space="0" w:color="FFFFFF"/>
            </w:tcBorders>
            <w:shd w:val="clear" w:color="auto" w:fill="FAFAFA"/>
            <w:vAlign w:val="center"/>
          </w:tcPr>
          <w:p w14:paraId="36A4EEAC" w14:textId="77777777" w:rsidR="009D1A60" w:rsidRDefault="00000000">
            <w:pPr>
              <w:spacing w:after="0" w:line="240" w:lineRule="auto"/>
              <w:jc w:val="right"/>
              <w:rPr>
                <w:rFonts w:eastAsia="Arial" w:cs="Arial"/>
                <w:sz w:val="17"/>
                <w:szCs w:val="17"/>
              </w:rPr>
            </w:pPr>
            <w:r>
              <w:rPr>
                <w:sz w:val="16"/>
                <w:szCs w:val="16"/>
              </w:rPr>
              <w:t>0</w:t>
            </w:r>
          </w:p>
        </w:tc>
        <w:tc>
          <w:tcPr>
            <w:tcW w:w="850" w:type="dxa"/>
            <w:tcBorders>
              <w:top w:val="nil"/>
              <w:left w:val="nil"/>
              <w:bottom w:val="single" w:sz="4" w:space="0" w:color="FFFFFF"/>
              <w:right w:val="single" w:sz="4" w:space="0" w:color="FFFFFF"/>
            </w:tcBorders>
            <w:shd w:val="clear" w:color="auto" w:fill="FAFAFA"/>
            <w:vAlign w:val="center"/>
          </w:tcPr>
          <w:p w14:paraId="706510ED" w14:textId="77777777" w:rsidR="009D1A60" w:rsidRDefault="00000000">
            <w:pPr>
              <w:spacing w:after="0" w:line="240" w:lineRule="auto"/>
              <w:jc w:val="right"/>
              <w:rPr>
                <w:rFonts w:eastAsia="Arial" w:cs="Arial"/>
                <w:sz w:val="17"/>
                <w:szCs w:val="17"/>
              </w:rPr>
            </w:pPr>
            <w:r>
              <w:rPr>
                <w:sz w:val="16"/>
                <w:szCs w:val="16"/>
              </w:rPr>
              <w:t>0</w:t>
            </w:r>
          </w:p>
        </w:tc>
        <w:tc>
          <w:tcPr>
            <w:tcW w:w="851" w:type="dxa"/>
            <w:tcBorders>
              <w:top w:val="nil"/>
              <w:left w:val="nil"/>
              <w:bottom w:val="single" w:sz="4" w:space="0" w:color="FFFFFF"/>
              <w:right w:val="single" w:sz="4" w:space="0" w:color="FFFFFF"/>
            </w:tcBorders>
            <w:shd w:val="clear" w:color="auto" w:fill="FAFAFA"/>
            <w:vAlign w:val="center"/>
          </w:tcPr>
          <w:p w14:paraId="70474922" w14:textId="77777777" w:rsidR="009D1A60" w:rsidRDefault="00000000">
            <w:pPr>
              <w:spacing w:after="0" w:line="240" w:lineRule="auto"/>
              <w:jc w:val="right"/>
              <w:rPr>
                <w:rFonts w:eastAsia="Arial" w:cs="Arial"/>
                <w:sz w:val="17"/>
                <w:szCs w:val="17"/>
              </w:rPr>
            </w:pPr>
            <w:r>
              <w:rPr>
                <w:sz w:val="16"/>
                <w:szCs w:val="16"/>
              </w:rPr>
              <w:t>0</w:t>
            </w:r>
          </w:p>
        </w:tc>
        <w:tc>
          <w:tcPr>
            <w:tcW w:w="850" w:type="dxa"/>
            <w:tcBorders>
              <w:top w:val="nil"/>
              <w:left w:val="nil"/>
              <w:bottom w:val="single" w:sz="4" w:space="0" w:color="FFFFFF"/>
              <w:right w:val="single" w:sz="4" w:space="0" w:color="FFFFFF"/>
            </w:tcBorders>
            <w:shd w:val="clear" w:color="auto" w:fill="FAFAFA"/>
            <w:vAlign w:val="center"/>
          </w:tcPr>
          <w:p w14:paraId="79CD9310" w14:textId="77777777" w:rsidR="009D1A60" w:rsidRDefault="00000000">
            <w:pPr>
              <w:spacing w:after="0" w:line="240" w:lineRule="auto"/>
              <w:jc w:val="right"/>
              <w:rPr>
                <w:rFonts w:eastAsia="Arial" w:cs="Arial"/>
                <w:sz w:val="17"/>
                <w:szCs w:val="17"/>
              </w:rPr>
            </w:pPr>
            <w:r>
              <w:rPr>
                <w:sz w:val="16"/>
                <w:szCs w:val="16"/>
              </w:rPr>
              <w:t>925</w:t>
            </w:r>
          </w:p>
        </w:tc>
        <w:tc>
          <w:tcPr>
            <w:tcW w:w="851" w:type="dxa"/>
            <w:tcBorders>
              <w:top w:val="nil"/>
              <w:left w:val="nil"/>
              <w:bottom w:val="single" w:sz="4" w:space="0" w:color="FFFFFF"/>
              <w:right w:val="single" w:sz="4" w:space="0" w:color="FFFFFF"/>
            </w:tcBorders>
            <w:shd w:val="clear" w:color="auto" w:fill="FAFAFA"/>
            <w:vAlign w:val="center"/>
          </w:tcPr>
          <w:p w14:paraId="5E8FB470" w14:textId="77777777" w:rsidR="009D1A60" w:rsidRDefault="00000000">
            <w:pPr>
              <w:spacing w:after="0" w:line="240" w:lineRule="auto"/>
              <w:jc w:val="right"/>
              <w:rPr>
                <w:rFonts w:eastAsia="Arial" w:cs="Arial"/>
                <w:sz w:val="17"/>
                <w:szCs w:val="17"/>
              </w:rPr>
            </w:pPr>
            <w:r>
              <w:rPr>
                <w:sz w:val="16"/>
                <w:szCs w:val="16"/>
              </w:rPr>
              <w:t>0</w:t>
            </w:r>
          </w:p>
        </w:tc>
        <w:tc>
          <w:tcPr>
            <w:tcW w:w="765" w:type="dxa"/>
            <w:tcBorders>
              <w:top w:val="nil"/>
              <w:left w:val="nil"/>
              <w:bottom w:val="single" w:sz="4" w:space="0" w:color="FFFFFF"/>
              <w:right w:val="single" w:sz="4" w:space="0" w:color="FFFFFF"/>
            </w:tcBorders>
            <w:shd w:val="clear" w:color="auto" w:fill="FAFAFA"/>
            <w:vAlign w:val="center"/>
          </w:tcPr>
          <w:p w14:paraId="4A0A0E9E" w14:textId="77777777" w:rsidR="009D1A60" w:rsidRDefault="00000000">
            <w:pPr>
              <w:spacing w:after="0" w:line="240" w:lineRule="auto"/>
              <w:jc w:val="right"/>
              <w:rPr>
                <w:rFonts w:eastAsia="Arial" w:cs="Arial"/>
                <w:b/>
                <w:sz w:val="17"/>
                <w:szCs w:val="17"/>
              </w:rPr>
            </w:pPr>
            <w:r>
              <w:rPr>
                <w:b/>
                <w:sz w:val="16"/>
                <w:szCs w:val="16"/>
              </w:rPr>
              <w:t>925</w:t>
            </w:r>
          </w:p>
        </w:tc>
        <w:tc>
          <w:tcPr>
            <w:tcW w:w="945" w:type="dxa"/>
            <w:tcBorders>
              <w:top w:val="nil"/>
              <w:left w:val="nil"/>
              <w:bottom w:val="single" w:sz="4" w:space="0" w:color="FFFFFF"/>
              <w:right w:val="single" w:sz="4" w:space="0" w:color="FFFFFF"/>
            </w:tcBorders>
            <w:shd w:val="clear" w:color="auto" w:fill="FAFAFA"/>
            <w:vAlign w:val="center"/>
          </w:tcPr>
          <w:p w14:paraId="7EDFACBE" w14:textId="77777777" w:rsidR="009D1A60" w:rsidRDefault="00000000">
            <w:pPr>
              <w:spacing w:after="0" w:line="240" w:lineRule="auto"/>
              <w:jc w:val="right"/>
              <w:rPr>
                <w:rFonts w:eastAsia="Arial" w:cs="Arial"/>
                <w:sz w:val="17"/>
                <w:szCs w:val="17"/>
              </w:rPr>
            </w:pPr>
            <w:r>
              <w:rPr>
                <w:sz w:val="16"/>
                <w:szCs w:val="16"/>
              </w:rPr>
              <w:t>0</w:t>
            </w:r>
          </w:p>
        </w:tc>
        <w:tc>
          <w:tcPr>
            <w:tcW w:w="850" w:type="dxa"/>
            <w:tcBorders>
              <w:top w:val="nil"/>
              <w:left w:val="nil"/>
              <w:bottom w:val="single" w:sz="4" w:space="0" w:color="FFFFFF"/>
              <w:right w:val="single" w:sz="4" w:space="0" w:color="FFFFFF"/>
            </w:tcBorders>
            <w:shd w:val="clear" w:color="auto" w:fill="FAFAFA"/>
            <w:vAlign w:val="center"/>
          </w:tcPr>
          <w:p w14:paraId="65F3040F" w14:textId="77777777" w:rsidR="009D1A60" w:rsidRDefault="00000000">
            <w:pPr>
              <w:spacing w:after="0" w:line="240" w:lineRule="auto"/>
              <w:jc w:val="right"/>
              <w:rPr>
                <w:rFonts w:eastAsia="Arial" w:cs="Arial"/>
                <w:b/>
                <w:sz w:val="17"/>
                <w:szCs w:val="17"/>
              </w:rPr>
            </w:pPr>
            <w:r>
              <w:rPr>
                <w:b/>
                <w:sz w:val="16"/>
                <w:szCs w:val="16"/>
              </w:rPr>
              <w:t>925</w:t>
            </w:r>
          </w:p>
        </w:tc>
      </w:tr>
      <w:tr w:rsidR="009D1A60" w14:paraId="12CBA3B8" w14:textId="77777777">
        <w:trPr>
          <w:trHeight w:val="444"/>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2361AFA3" w14:textId="77777777" w:rsidR="009D1A60" w:rsidRDefault="00000000">
            <w:pPr>
              <w:spacing w:after="0" w:line="240" w:lineRule="auto"/>
              <w:jc w:val="left"/>
              <w:rPr>
                <w:rFonts w:eastAsia="Arial" w:cs="Arial"/>
                <w:color w:val="191919"/>
                <w:sz w:val="17"/>
                <w:szCs w:val="17"/>
              </w:rPr>
            </w:pPr>
            <w:r>
              <w:rPr>
                <w:rFonts w:eastAsia="Arial" w:cs="Arial"/>
                <w:color w:val="5E6EC8"/>
                <w:sz w:val="17"/>
                <w:szCs w:val="17"/>
              </w:rPr>
              <w:t>Total comprehensive income (expense) for the period</w:t>
            </w:r>
          </w:p>
        </w:tc>
        <w:tc>
          <w:tcPr>
            <w:tcW w:w="992" w:type="dxa"/>
            <w:tcBorders>
              <w:top w:val="nil"/>
              <w:left w:val="nil"/>
              <w:bottom w:val="nil"/>
              <w:right w:val="nil"/>
            </w:tcBorders>
            <w:shd w:val="clear" w:color="auto" w:fill="FAFAFA"/>
            <w:vAlign w:val="center"/>
          </w:tcPr>
          <w:p w14:paraId="759BC7C5" w14:textId="77777777" w:rsidR="009D1A60" w:rsidRDefault="00000000">
            <w:pPr>
              <w:spacing w:after="0" w:line="240" w:lineRule="auto"/>
              <w:jc w:val="right"/>
              <w:rPr>
                <w:rFonts w:eastAsia="Arial" w:cs="Arial"/>
                <w:color w:val="5E6EC8"/>
                <w:sz w:val="17"/>
                <w:szCs w:val="17"/>
              </w:rPr>
            </w:pPr>
            <w:r>
              <w:rPr>
                <w:color w:val="5E6EC8"/>
                <w:sz w:val="16"/>
                <w:szCs w:val="16"/>
              </w:rPr>
              <w:t>0</w:t>
            </w:r>
          </w:p>
        </w:tc>
        <w:tc>
          <w:tcPr>
            <w:tcW w:w="802" w:type="dxa"/>
            <w:tcBorders>
              <w:top w:val="nil"/>
              <w:left w:val="nil"/>
              <w:bottom w:val="nil"/>
              <w:right w:val="nil"/>
            </w:tcBorders>
            <w:shd w:val="clear" w:color="auto" w:fill="FAFAFA"/>
            <w:vAlign w:val="center"/>
          </w:tcPr>
          <w:p w14:paraId="744BBC4F" w14:textId="77777777" w:rsidR="009D1A60" w:rsidRDefault="00000000">
            <w:pPr>
              <w:spacing w:after="0" w:line="240" w:lineRule="auto"/>
              <w:jc w:val="right"/>
              <w:rPr>
                <w:rFonts w:eastAsia="Arial" w:cs="Arial"/>
                <w:color w:val="5E6EC8"/>
                <w:sz w:val="17"/>
                <w:szCs w:val="17"/>
              </w:rPr>
            </w:pPr>
            <w:r>
              <w:rPr>
                <w:color w:val="5E6EC8"/>
                <w:sz w:val="16"/>
                <w:szCs w:val="16"/>
              </w:rPr>
              <w:t>0</w:t>
            </w:r>
          </w:p>
        </w:tc>
        <w:tc>
          <w:tcPr>
            <w:tcW w:w="850" w:type="dxa"/>
            <w:tcBorders>
              <w:top w:val="nil"/>
              <w:left w:val="nil"/>
              <w:bottom w:val="nil"/>
              <w:right w:val="nil"/>
            </w:tcBorders>
            <w:shd w:val="clear" w:color="auto" w:fill="FAFAFA"/>
            <w:vAlign w:val="center"/>
          </w:tcPr>
          <w:p w14:paraId="18842AB2" w14:textId="77777777" w:rsidR="009D1A60" w:rsidRDefault="00000000">
            <w:pPr>
              <w:spacing w:after="0" w:line="240" w:lineRule="auto"/>
              <w:jc w:val="right"/>
              <w:rPr>
                <w:rFonts w:eastAsia="Arial" w:cs="Arial"/>
                <w:color w:val="5E6EC8"/>
                <w:sz w:val="17"/>
                <w:szCs w:val="17"/>
              </w:rPr>
            </w:pPr>
            <w:r>
              <w:rPr>
                <w:color w:val="5E6EC8"/>
                <w:sz w:val="16"/>
                <w:szCs w:val="16"/>
              </w:rPr>
              <w:t>0</w:t>
            </w:r>
          </w:p>
        </w:tc>
        <w:tc>
          <w:tcPr>
            <w:tcW w:w="851" w:type="dxa"/>
            <w:tcBorders>
              <w:top w:val="nil"/>
              <w:left w:val="nil"/>
              <w:bottom w:val="nil"/>
              <w:right w:val="nil"/>
            </w:tcBorders>
            <w:shd w:val="clear" w:color="auto" w:fill="FAFAFA"/>
            <w:vAlign w:val="center"/>
          </w:tcPr>
          <w:p w14:paraId="2166BC38" w14:textId="77777777" w:rsidR="009D1A60" w:rsidRDefault="00000000">
            <w:pPr>
              <w:spacing w:after="0" w:line="240" w:lineRule="auto"/>
              <w:jc w:val="right"/>
              <w:rPr>
                <w:rFonts w:eastAsia="Arial" w:cs="Arial"/>
                <w:color w:val="5E6EC8"/>
                <w:sz w:val="17"/>
                <w:szCs w:val="17"/>
              </w:rPr>
            </w:pPr>
            <w:r>
              <w:rPr>
                <w:color w:val="5E6EC8"/>
                <w:sz w:val="16"/>
                <w:szCs w:val="16"/>
              </w:rPr>
              <w:t>0</w:t>
            </w:r>
          </w:p>
        </w:tc>
        <w:tc>
          <w:tcPr>
            <w:tcW w:w="850" w:type="dxa"/>
            <w:tcBorders>
              <w:top w:val="nil"/>
              <w:left w:val="nil"/>
              <w:bottom w:val="nil"/>
              <w:right w:val="nil"/>
            </w:tcBorders>
            <w:shd w:val="clear" w:color="auto" w:fill="FAFAFA"/>
            <w:vAlign w:val="center"/>
          </w:tcPr>
          <w:p w14:paraId="7D4F63BE" w14:textId="77777777" w:rsidR="009D1A60" w:rsidRDefault="00000000">
            <w:pPr>
              <w:spacing w:after="0" w:line="240" w:lineRule="auto"/>
              <w:jc w:val="right"/>
              <w:rPr>
                <w:rFonts w:eastAsia="Arial" w:cs="Arial"/>
                <w:color w:val="5E6EC8"/>
                <w:sz w:val="17"/>
                <w:szCs w:val="17"/>
              </w:rPr>
            </w:pPr>
            <w:r>
              <w:rPr>
                <w:color w:val="5E6EC8"/>
                <w:sz w:val="16"/>
                <w:szCs w:val="16"/>
              </w:rPr>
              <w:t>925</w:t>
            </w:r>
          </w:p>
        </w:tc>
        <w:tc>
          <w:tcPr>
            <w:tcW w:w="851" w:type="dxa"/>
            <w:tcBorders>
              <w:top w:val="nil"/>
              <w:left w:val="nil"/>
              <w:bottom w:val="nil"/>
              <w:right w:val="nil"/>
            </w:tcBorders>
            <w:shd w:val="clear" w:color="auto" w:fill="FAFAFA"/>
            <w:vAlign w:val="center"/>
          </w:tcPr>
          <w:p w14:paraId="69B26117" w14:textId="77777777" w:rsidR="009D1A60" w:rsidRDefault="00000000">
            <w:pPr>
              <w:spacing w:after="0" w:line="240" w:lineRule="auto"/>
              <w:jc w:val="right"/>
              <w:rPr>
                <w:rFonts w:eastAsia="Arial" w:cs="Arial"/>
                <w:color w:val="5E6EC8"/>
                <w:sz w:val="17"/>
                <w:szCs w:val="17"/>
              </w:rPr>
            </w:pPr>
            <w:r>
              <w:rPr>
                <w:color w:val="5E6EC8"/>
                <w:sz w:val="16"/>
                <w:szCs w:val="16"/>
              </w:rPr>
              <w:t>-5 069</w:t>
            </w:r>
          </w:p>
        </w:tc>
        <w:tc>
          <w:tcPr>
            <w:tcW w:w="765" w:type="dxa"/>
            <w:tcBorders>
              <w:top w:val="nil"/>
              <w:left w:val="nil"/>
              <w:bottom w:val="nil"/>
              <w:right w:val="nil"/>
            </w:tcBorders>
            <w:shd w:val="clear" w:color="auto" w:fill="FAFAFA"/>
            <w:vAlign w:val="center"/>
          </w:tcPr>
          <w:p w14:paraId="7B438CF0" w14:textId="77777777" w:rsidR="009D1A60" w:rsidRDefault="00000000">
            <w:pPr>
              <w:spacing w:after="0" w:line="240" w:lineRule="auto"/>
              <w:jc w:val="right"/>
              <w:rPr>
                <w:rFonts w:eastAsia="Arial" w:cs="Arial"/>
                <w:b/>
                <w:color w:val="5E6EC8"/>
                <w:sz w:val="17"/>
                <w:szCs w:val="17"/>
              </w:rPr>
            </w:pPr>
            <w:r>
              <w:rPr>
                <w:b/>
                <w:color w:val="5E6EC8"/>
                <w:sz w:val="16"/>
                <w:szCs w:val="16"/>
              </w:rPr>
              <w:t>-4 144</w:t>
            </w:r>
          </w:p>
        </w:tc>
        <w:tc>
          <w:tcPr>
            <w:tcW w:w="945" w:type="dxa"/>
            <w:tcBorders>
              <w:top w:val="nil"/>
              <w:left w:val="nil"/>
              <w:bottom w:val="nil"/>
              <w:right w:val="nil"/>
            </w:tcBorders>
            <w:shd w:val="clear" w:color="auto" w:fill="FAFAFA"/>
            <w:vAlign w:val="center"/>
          </w:tcPr>
          <w:p w14:paraId="6982CE5E" w14:textId="77777777" w:rsidR="009D1A60" w:rsidRDefault="00000000">
            <w:pPr>
              <w:spacing w:after="0" w:line="240" w:lineRule="auto"/>
              <w:jc w:val="right"/>
              <w:rPr>
                <w:rFonts w:eastAsia="Arial" w:cs="Arial"/>
                <w:color w:val="5E6EC8"/>
                <w:sz w:val="17"/>
                <w:szCs w:val="17"/>
              </w:rPr>
            </w:pPr>
            <w:r>
              <w:rPr>
                <w:color w:val="5E6EC8"/>
                <w:sz w:val="16"/>
                <w:szCs w:val="16"/>
              </w:rPr>
              <w:t>-92</w:t>
            </w:r>
          </w:p>
        </w:tc>
        <w:tc>
          <w:tcPr>
            <w:tcW w:w="850" w:type="dxa"/>
            <w:tcBorders>
              <w:top w:val="nil"/>
              <w:left w:val="nil"/>
              <w:bottom w:val="nil"/>
              <w:right w:val="nil"/>
            </w:tcBorders>
            <w:shd w:val="clear" w:color="auto" w:fill="FAFAFA"/>
            <w:vAlign w:val="center"/>
          </w:tcPr>
          <w:p w14:paraId="5A33DDAA" w14:textId="77777777" w:rsidR="009D1A60" w:rsidRDefault="00000000">
            <w:pPr>
              <w:spacing w:after="0" w:line="240" w:lineRule="auto"/>
              <w:jc w:val="right"/>
              <w:rPr>
                <w:rFonts w:eastAsia="Arial" w:cs="Arial"/>
                <w:b/>
                <w:color w:val="5E6EC8"/>
                <w:sz w:val="17"/>
                <w:szCs w:val="17"/>
              </w:rPr>
            </w:pPr>
            <w:r>
              <w:rPr>
                <w:b/>
                <w:color w:val="5E6EC8"/>
                <w:sz w:val="16"/>
                <w:szCs w:val="16"/>
              </w:rPr>
              <w:t>-4 236</w:t>
            </w:r>
          </w:p>
        </w:tc>
      </w:tr>
      <w:tr w:rsidR="009D1A60" w14:paraId="68592D9A" w14:textId="77777777">
        <w:trPr>
          <w:trHeight w:val="228"/>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29547EF8" w14:textId="77777777" w:rsidR="009D1A60" w:rsidRDefault="00000000">
            <w:pPr>
              <w:spacing w:after="0" w:line="240" w:lineRule="auto"/>
              <w:jc w:val="left"/>
              <w:rPr>
                <w:rFonts w:eastAsia="Arial" w:cs="Arial"/>
                <w:b/>
                <w:color w:val="5E6EC8"/>
                <w:sz w:val="17"/>
                <w:szCs w:val="17"/>
              </w:rPr>
            </w:pPr>
            <w:r>
              <w:rPr>
                <w:rFonts w:eastAsia="Arial" w:cs="Arial"/>
                <w:color w:val="191919"/>
                <w:sz w:val="17"/>
                <w:szCs w:val="17"/>
              </w:rPr>
              <w:t>Increase of subsidiary's share capital</w:t>
            </w:r>
          </w:p>
        </w:tc>
        <w:tc>
          <w:tcPr>
            <w:tcW w:w="992" w:type="dxa"/>
            <w:tcBorders>
              <w:top w:val="nil"/>
              <w:left w:val="nil"/>
              <w:bottom w:val="nil"/>
              <w:right w:val="nil"/>
            </w:tcBorders>
            <w:shd w:val="clear" w:color="auto" w:fill="FAFAFA"/>
            <w:vAlign w:val="center"/>
          </w:tcPr>
          <w:p w14:paraId="2997C19E"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802" w:type="dxa"/>
            <w:tcBorders>
              <w:top w:val="nil"/>
              <w:left w:val="nil"/>
              <w:bottom w:val="nil"/>
              <w:right w:val="nil"/>
            </w:tcBorders>
            <w:shd w:val="clear" w:color="auto" w:fill="FAFAFA"/>
            <w:vAlign w:val="center"/>
          </w:tcPr>
          <w:p w14:paraId="3DEB95DA"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850" w:type="dxa"/>
            <w:tcBorders>
              <w:top w:val="nil"/>
              <w:left w:val="nil"/>
              <w:bottom w:val="nil"/>
              <w:right w:val="nil"/>
            </w:tcBorders>
            <w:shd w:val="clear" w:color="auto" w:fill="FAFAFA"/>
            <w:vAlign w:val="center"/>
          </w:tcPr>
          <w:p w14:paraId="11E0A2AA"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851" w:type="dxa"/>
            <w:tcBorders>
              <w:top w:val="nil"/>
              <w:left w:val="nil"/>
              <w:bottom w:val="nil"/>
              <w:right w:val="nil"/>
            </w:tcBorders>
            <w:shd w:val="clear" w:color="auto" w:fill="FAFAFA"/>
            <w:vAlign w:val="center"/>
          </w:tcPr>
          <w:p w14:paraId="71CD1EC2"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850" w:type="dxa"/>
            <w:tcBorders>
              <w:top w:val="nil"/>
              <w:left w:val="nil"/>
              <w:bottom w:val="nil"/>
              <w:right w:val="nil"/>
            </w:tcBorders>
            <w:shd w:val="clear" w:color="auto" w:fill="FAFAFA"/>
            <w:vAlign w:val="center"/>
          </w:tcPr>
          <w:p w14:paraId="6521F1DC"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851" w:type="dxa"/>
            <w:tcBorders>
              <w:top w:val="nil"/>
              <w:left w:val="nil"/>
              <w:bottom w:val="nil"/>
              <w:right w:val="nil"/>
            </w:tcBorders>
            <w:shd w:val="clear" w:color="auto" w:fill="FAFAFA"/>
            <w:vAlign w:val="center"/>
          </w:tcPr>
          <w:p w14:paraId="624868A6"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765" w:type="dxa"/>
            <w:tcBorders>
              <w:top w:val="nil"/>
              <w:left w:val="nil"/>
              <w:bottom w:val="nil"/>
              <w:right w:val="nil"/>
            </w:tcBorders>
            <w:shd w:val="clear" w:color="auto" w:fill="FAFAFA"/>
            <w:vAlign w:val="center"/>
          </w:tcPr>
          <w:p w14:paraId="0EE39F72" w14:textId="77777777" w:rsidR="009D1A60" w:rsidRDefault="00000000">
            <w:pPr>
              <w:spacing w:after="0" w:line="240" w:lineRule="auto"/>
              <w:jc w:val="right"/>
              <w:rPr>
                <w:rFonts w:eastAsia="Arial" w:cs="Arial"/>
                <w:b/>
                <w:color w:val="5E6EC8"/>
                <w:sz w:val="17"/>
                <w:szCs w:val="17"/>
              </w:rPr>
            </w:pPr>
            <w:r>
              <w:rPr>
                <w:rFonts w:eastAsia="Arial" w:cs="Arial"/>
                <w:b/>
                <w:sz w:val="17"/>
                <w:szCs w:val="17"/>
              </w:rPr>
              <w:t>191</w:t>
            </w:r>
          </w:p>
        </w:tc>
        <w:tc>
          <w:tcPr>
            <w:tcW w:w="945" w:type="dxa"/>
            <w:tcBorders>
              <w:top w:val="nil"/>
              <w:left w:val="nil"/>
              <w:bottom w:val="nil"/>
              <w:right w:val="nil"/>
            </w:tcBorders>
            <w:shd w:val="clear" w:color="auto" w:fill="FAFAFA"/>
            <w:vAlign w:val="center"/>
          </w:tcPr>
          <w:p w14:paraId="4D68848C" w14:textId="77777777" w:rsidR="009D1A60" w:rsidRDefault="00000000">
            <w:pPr>
              <w:spacing w:after="0" w:line="240" w:lineRule="auto"/>
              <w:jc w:val="right"/>
              <w:rPr>
                <w:rFonts w:eastAsia="Arial" w:cs="Arial"/>
                <w:b/>
                <w:color w:val="5E6EC8"/>
                <w:sz w:val="17"/>
                <w:szCs w:val="17"/>
              </w:rPr>
            </w:pPr>
            <w:r>
              <w:rPr>
                <w:rFonts w:eastAsia="Arial" w:cs="Arial"/>
                <w:sz w:val="17"/>
                <w:szCs w:val="17"/>
              </w:rPr>
              <w:t>0</w:t>
            </w:r>
          </w:p>
        </w:tc>
        <w:tc>
          <w:tcPr>
            <w:tcW w:w="850" w:type="dxa"/>
            <w:tcBorders>
              <w:top w:val="nil"/>
              <w:left w:val="nil"/>
              <w:bottom w:val="nil"/>
              <w:right w:val="nil"/>
            </w:tcBorders>
            <w:shd w:val="clear" w:color="auto" w:fill="FAFAFA"/>
            <w:vAlign w:val="center"/>
          </w:tcPr>
          <w:p w14:paraId="3DB1C82D" w14:textId="77777777" w:rsidR="009D1A60" w:rsidRDefault="00000000">
            <w:pPr>
              <w:spacing w:after="0" w:line="240" w:lineRule="auto"/>
              <w:jc w:val="right"/>
              <w:rPr>
                <w:rFonts w:eastAsia="Arial" w:cs="Arial"/>
                <w:b/>
                <w:color w:val="5E6EC8"/>
                <w:sz w:val="17"/>
                <w:szCs w:val="17"/>
              </w:rPr>
            </w:pPr>
            <w:r>
              <w:rPr>
                <w:rFonts w:eastAsia="Arial" w:cs="Arial"/>
                <w:b/>
                <w:sz w:val="17"/>
                <w:szCs w:val="17"/>
              </w:rPr>
              <w:t>191</w:t>
            </w:r>
          </w:p>
        </w:tc>
      </w:tr>
      <w:tr w:rsidR="009D1A60" w14:paraId="7BA9697D" w14:textId="77777777">
        <w:trPr>
          <w:trHeight w:val="408"/>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4037632F" w14:textId="77777777" w:rsidR="009D1A60" w:rsidRDefault="00000000">
            <w:pPr>
              <w:spacing w:after="0" w:line="240" w:lineRule="auto"/>
              <w:jc w:val="left"/>
              <w:rPr>
                <w:rFonts w:eastAsia="Arial" w:cs="Arial"/>
                <w:color w:val="191919"/>
                <w:sz w:val="17"/>
                <w:szCs w:val="17"/>
              </w:rPr>
            </w:pPr>
            <w:r>
              <w:rPr>
                <w:rFonts w:eastAsia="Arial" w:cs="Arial"/>
                <w:b/>
                <w:color w:val="5E6EC8"/>
                <w:sz w:val="17"/>
                <w:szCs w:val="17"/>
              </w:rPr>
              <w:t xml:space="preserve">Balance at 30.06.2021 </w:t>
            </w:r>
          </w:p>
        </w:tc>
        <w:tc>
          <w:tcPr>
            <w:tcW w:w="992" w:type="dxa"/>
            <w:tcBorders>
              <w:top w:val="single" w:sz="4" w:space="0" w:color="FFFFFF"/>
              <w:left w:val="nil"/>
              <w:bottom w:val="single" w:sz="4" w:space="0" w:color="FFFFFF"/>
              <w:right w:val="single" w:sz="4" w:space="0" w:color="FFFFFF"/>
            </w:tcBorders>
            <w:shd w:val="clear" w:color="auto" w:fill="FAFAFA"/>
            <w:vAlign w:val="center"/>
          </w:tcPr>
          <w:p w14:paraId="27E4CDAE" w14:textId="77777777" w:rsidR="009D1A60" w:rsidRDefault="00000000">
            <w:pPr>
              <w:spacing w:after="0" w:line="240" w:lineRule="auto"/>
              <w:jc w:val="right"/>
              <w:rPr>
                <w:rFonts w:eastAsia="Arial" w:cs="Arial"/>
                <w:sz w:val="17"/>
                <w:szCs w:val="17"/>
                <w:highlight w:val="yellow"/>
              </w:rPr>
            </w:pPr>
            <w:r>
              <w:rPr>
                <w:b/>
                <w:color w:val="5E6EC8"/>
                <w:sz w:val="16"/>
                <w:szCs w:val="16"/>
              </w:rPr>
              <w:t>7 737</w:t>
            </w:r>
          </w:p>
        </w:tc>
        <w:tc>
          <w:tcPr>
            <w:tcW w:w="802" w:type="dxa"/>
            <w:tcBorders>
              <w:top w:val="single" w:sz="4" w:space="0" w:color="FFFFFF"/>
              <w:left w:val="nil"/>
              <w:bottom w:val="single" w:sz="4" w:space="0" w:color="FFFFFF"/>
              <w:right w:val="single" w:sz="4" w:space="0" w:color="FFFFFF"/>
            </w:tcBorders>
            <w:shd w:val="clear" w:color="auto" w:fill="FAFAFA"/>
            <w:vAlign w:val="center"/>
          </w:tcPr>
          <w:p w14:paraId="0FB34A41" w14:textId="77777777" w:rsidR="009D1A60" w:rsidRDefault="00000000">
            <w:pPr>
              <w:spacing w:after="0" w:line="240" w:lineRule="auto"/>
              <w:jc w:val="right"/>
              <w:rPr>
                <w:rFonts w:eastAsia="Arial" w:cs="Arial"/>
                <w:sz w:val="17"/>
                <w:szCs w:val="17"/>
                <w:highlight w:val="yellow"/>
              </w:rPr>
            </w:pPr>
            <w:r>
              <w:rPr>
                <w:b/>
                <w:color w:val="5E6EC8"/>
                <w:sz w:val="16"/>
                <w:szCs w:val="16"/>
              </w:rPr>
              <w:t>14 007</w:t>
            </w:r>
          </w:p>
        </w:tc>
        <w:tc>
          <w:tcPr>
            <w:tcW w:w="850" w:type="dxa"/>
            <w:tcBorders>
              <w:top w:val="single" w:sz="4" w:space="0" w:color="FFFFFF"/>
              <w:left w:val="nil"/>
              <w:bottom w:val="single" w:sz="4" w:space="0" w:color="FFFFFF"/>
              <w:right w:val="single" w:sz="4" w:space="0" w:color="FFFFFF"/>
            </w:tcBorders>
            <w:shd w:val="clear" w:color="auto" w:fill="FAFAFA"/>
            <w:vAlign w:val="center"/>
          </w:tcPr>
          <w:p w14:paraId="6C34625F" w14:textId="77777777" w:rsidR="009D1A60" w:rsidRDefault="00000000">
            <w:pPr>
              <w:spacing w:after="0" w:line="240" w:lineRule="auto"/>
              <w:jc w:val="right"/>
              <w:rPr>
                <w:rFonts w:eastAsia="Arial" w:cs="Arial"/>
                <w:sz w:val="17"/>
                <w:szCs w:val="17"/>
                <w:highlight w:val="yellow"/>
              </w:rPr>
            </w:pPr>
            <w:r>
              <w:rPr>
                <w:b/>
                <w:color w:val="5E6EC8"/>
                <w:sz w:val="16"/>
                <w:szCs w:val="16"/>
              </w:rPr>
              <w:t>-390</w:t>
            </w:r>
          </w:p>
        </w:tc>
        <w:tc>
          <w:tcPr>
            <w:tcW w:w="851" w:type="dxa"/>
            <w:tcBorders>
              <w:top w:val="single" w:sz="4" w:space="0" w:color="FFFFFF"/>
              <w:left w:val="nil"/>
              <w:bottom w:val="single" w:sz="4" w:space="0" w:color="FFFFFF"/>
              <w:right w:val="single" w:sz="4" w:space="0" w:color="FFFFFF"/>
            </w:tcBorders>
            <w:shd w:val="clear" w:color="auto" w:fill="FAFAFA"/>
            <w:vAlign w:val="center"/>
          </w:tcPr>
          <w:p w14:paraId="30AED0A5" w14:textId="77777777" w:rsidR="009D1A60" w:rsidRDefault="00000000">
            <w:pPr>
              <w:spacing w:after="0" w:line="240" w:lineRule="auto"/>
              <w:jc w:val="right"/>
              <w:rPr>
                <w:rFonts w:eastAsia="Arial" w:cs="Arial"/>
                <w:sz w:val="17"/>
                <w:szCs w:val="17"/>
                <w:highlight w:val="yellow"/>
              </w:rPr>
            </w:pPr>
            <w:r>
              <w:rPr>
                <w:b/>
                <w:color w:val="5E6EC8"/>
                <w:sz w:val="16"/>
                <w:szCs w:val="16"/>
              </w:rPr>
              <w:t>51</w:t>
            </w:r>
          </w:p>
        </w:tc>
        <w:tc>
          <w:tcPr>
            <w:tcW w:w="850" w:type="dxa"/>
            <w:tcBorders>
              <w:top w:val="single" w:sz="4" w:space="0" w:color="FFFFFF"/>
              <w:left w:val="nil"/>
              <w:bottom w:val="single" w:sz="4" w:space="0" w:color="FFFFFF"/>
              <w:right w:val="single" w:sz="4" w:space="0" w:color="FFFFFF"/>
            </w:tcBorders>
            <w:shd w:val="clear" w:color="auto" w:fill="FAFAFA"/>
            <w:vAlign w:val="center"/>
          </w:tcPr>
          <w:p w14:paraId="3D8726C7" w14:textId="77777777" w:rsidR="009D1A60" w:rsidRDefault="00000000">
            <w:pPr>
              <w:spacing w:after="0" w:line="240" w:lineRule="auto"/>
              <w:jc w:val="right"/>
              <w:rPr>
                <w:rFonts w:eastAsia="Arial" w:cs="Arial"/>
                <w:sz w:val="17"/>
                <w:szCs w:val="17"/>
                <w:highlight w:val="yellow"/>
              </w:rPr>
            </w:pPr>
            <w:r>
              <w:rPr>
                <w:b/>
                <w:color w:val="5E6EC8"/>
                <w:sz w:val="16"/>
                <w:szCs w:val="16"/>
              </w:rPr>
              <w:t>559</w:t>
            </w:r>
          </w:p>
        </w:tc>
        <w:tc>
          <w:tcPr>
            <w:tcW w:w="851" w:type="dxa"/>
            <w:tcBorders>
              <w:top w:val="single" w:sz="4" w:space="0" w:color="FFFFFF"/>
              <w:left w:val="nil"/>
              <w:bottom w:val="single" w:sz="4" w:space="0" w:color="FFFFFF"/>
              <w:right w:val="single" w:sz="4" w:space="0" w:color="FFFFFF"/>
            </w:tcBorders>
            <w:shd w:val="clear" w:color="auto" w:fill="FAFAFA"/>
            <w:vAlign w:val="center"/>
          </w:tcPr>
          <w:p w14:paraId="04E77C29" w14:textId="77777777" w:rsidR="009D1A60" w:rsidRDefault="00000000">
            <w:pPr>
              <w:spacing w:after="0" w:line="240" w:lineRule="auto"/>
              <w:jc w:val="right"/>
              <w:rPr>
                <w:rFonts w:eastAsia="Arial" w:cs="Arial"/>
                <w:sz w:val="17"/>
                <w:szCs w:val="17"/>
                <w:highlight w:val="yellow"/>
              </w:rPr>
            </w:pPr>
            <w:r>
              <w:rPr>
                <w:b/>
                <w:color w:val="5E6EC8"/>
                <w:sz w:val="16"/>
                <w:szCs w:val="16"/>
              </w:rPr>
              <w:t>-6 723</w:t>
            </w:r>
          </w:p>
        </w:tc>
        <w:tc>
          <w:tcPr>
            <w:tcW w:w="765" w:type="dxa"/>
            <w:tcBorders>
              <w:top w:val="single" w:sz="4" w:space="0" w:color="FFFFFF"/>
              <w:left w:val="nil"/>
              <w:bottom w:val="single" w:sz="4" w:space="0" w:color="FFFFFF"/>
              <w:right w:val="single" w:sz="4" w:space="0" w:color="FFFFFF"/>
            </w:tcBorders>
            <w:shd w:val="clear" w:color="auto" w:fill="FAFAFA"/>
            <w:vAlign w:val="center"/>
          </w:tcPr>
          <w:p w14:paraId="3F92D888" w14:textId="77777777" w:rsidR="009D1A60" w:rsidRDefault="00000000">
            <w:pPr>
              <w:spacing w:after="0" w:line="240" w:lineRule="auto"/>
              <w:jc w:val="right"/>
              <w:rPr>
                <w:rFonts w:eastAsia="Arial" w:cs="Arial"/>
                <w:b/>
                <w:sz w:val="17"/>
                <w:szCs w:val="17"/>
                <w:highlight w:val="yellow"/>
              </w:rPr>
            </w:pPr>
            <w:r>
              <w:rPr>
                <w:b/>
                <w:color w:val="5E6EC8"/>
                <w:sz w:val="16"/>
                <w:szCs w:val="16"/>
              </w:rPr>
              <w:t>15 241</w:t>
            </w:r>
          </w:p>
        </w:tc>
        <w:tc>
          <w:tcPr>
            <w:tcW w:w="945" w:type="dxa"/>
            <w:tcBorders>
              <w:top w:val="single" w:sz="4" w:space="0" w:color="FFFFFF"/>
              <w:left w:val="nil"/>
              <w:bottom w:val="single" w:sz="4" w:space="0" w:color="FFFFFF"/>
              <w:right w:val="single" w:sz="4" w:space="0" w:color="FFFFFF"/>
            </w:tcBorders>
            <w:shd w:val="clear" w:color="auto" w:fill="FAFAFA"/>
            <w:vAlign w:val="center"/>
          </w:tcPr>
          <w:p w14:paraId="7F89B69D" w14:textId="77777777" w:rsidR="009D1A60" w:rsidRDefault="00000000">
            <w:pPr>
              <w:spacing w:after="0" w:line="240" w:lineRule="auto"/>
              <w:jc w:val="right"/>
              <w:rPr>
                <w:rFonts w:eastAsia="Arial" w:cs="Arial"/>
                <w:sz w:val="17"/>
                <w:szCs w:val="17"/>
                <w:highlight w:val="yellow"/>
              </w:rPr>
            </w:pPr>
            <w:r>
              <w:rPr>
                <w:b/>
                <w:color w:val="5E6EC8"/>
                <w:sz w:val="16"/>
                <w:szCs w:val="16"/>
              </w:rPr>
              <w:t>533</w:t>
            </w:r>
          </w:p>
        </w:tc>
        <w:tc>
          <w:tcPr>
            <w:tcW w:w="850" w:type="dxa"/>
            <w:tcBorders>
              <w:top w:val="single" w:sz="4" w:space="0" w:color="FFFFFF"/>
              <w:left w:val="nil"/>
              <w:bottom w:val="single" w:sz="4" w:space="0" w:color="FFFFFF"/>
              <w:right w:val="single" w:sz="4" w:space="0" w:color="FFFFFF"/>
            </w:tcBorders>
            <w:shd w:val="clear" w:color="auto" w:fill="FAFAFA"/>
            <w:vAlign w:val="center"/>
          </w:tcPr>
          <w:p w14:paraId="612FA3BD" w14:textId="77777777" w:rsidR="009D1A60" w:rsidRDefault="00000000">
            <w:pPr>
              <w:spacing w:after="0" w:line="240" w:lineRule="auto"/>
              <w:jc w:val="right"/>
              <w:rPr>
                <w:rFonts w:eastAsia="Arial" w:cs="Arial"/>
                <w:b/>
                <w:sz w:val="17"/>
                <w:szCs w:val="17"/>
                <w:highlight w:val="yellow"/>
              </w:rPr>
            </w:pPr>
            <w:r>
              <w:rPr>
                <w:b/>
                <w:color w:val="5E6EC8"/>
                <w:sz w:val="16"/>
                <w:szCs w:val="16"/>
              </w:rPr>
              <w:t>15 774</w:t>
            </w:r>
          </w:p>
        </w:tc>
      </w:tr>
      <w:tr w:rsidR="009D1A60" w14:paraId="5715B72F" w14:textId="77777777">
        <w:trPr>
          <w:trHeight w:val="444"/>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2D40ECD4" w14:textId="77777777" w:rsidR="009D1A60" w:rsidRDefault="00000000">
            <w:pPr>
              <w:spacing w:after="0" w:line="240" w:lineRule="auto"/>
              <w:jc w:val="left"/>
              <w:rPr>
                <w:rFonts w:eastAsia="Arial" w:cs="Arial"/>
                <w:color w:val="191919"/>
                <w:sz w:val="17"/>
                <w:szCs w:val="17"/>
              </w:rPr>
            </w:pPr>
            <w:r>
              <w:rPr>
                <w:rFonts w:eastAsia="Arial" w:cs="Arial"/>
                <w:color w:val="191919"/>
                <w:sz w:val="17"/>
                <w:szCs w:val="17"/>
              </w:rPr>
              <w:t>Net profit (loss) for the year</w:t>
            </w:r>
          </w:p>
        </w:tc>
        <w:tc>
          <w:tcPr>
            <w:tcW w:w="992" w:type="dxa"/>
            <w:tcBorders>
              <w:top w:val="nil"/>
              <w:left w:val="nil"/>
              <w:bottom w:val="single" w:sz="4" w:space="0" w:color="FFFFFF"/>
              <w:right w:val="single" w:sz="4" w:space="0" w:color="FFFFFF"/>
            </w:tcBorders>
            <w:shd w:val="clear" w:color="auto" w:fill="FAFAFA"/>
            <w:vAlign w:val="center"/>
          </w:tcPr>
          <w:p w14:paraId="2ECA43C7" w14:textId="77777777" w:rsidR="009D1A60" w:rsidRDefault="00000000">
            <w:pPr>
              <w:spacing w:after="0" w:line="240" w:lineRule="auto"/>
              <w:jc w:val="right"/>
              <w:rPr>
                <w:rFonts w:eastAsia="Arial" w:cs="Arial"/>
                <w:sz w:val="17"/>
                <w:szCs w:val="17"/>
                <w:highlight w:val="yellow"/>
              </w:rPr>
            </w:pPr>
            <w:r>
              <w:rPr>
                <w:rFonts w:eastAsia="Arial" w:cs="Arial"/>
                <w:color w:val="000000"/>
                <w:sz w:val="17"/>
                <w:szCs w:val="17"/>
              </w:rPr>
              <w:t>0</w:t>
            </w:r>
          </w:p>
        </w:tc>
        <w:tc>
          <w:tcPr>
            <w:tcW w:w="802" w:type="dxa"/>
            <w:tcBorders>
              <w:top w:val="nil"/>
              <w:left w:val="nil"/>
              <w:bottom w:val="single" w:sz="4" w:space="0" w:color="FFFFFF"/>
              <w:right w:val="single" w:sz="4" w:space="0" w:color="FFFFFF"/>
            </w:tcBorders>
            <w:shd w:val="clear" w:color="auto" w:fill="FAFAFA"/>
            <w:vAlign w:val="center"/>
          </w:tcPr>
          <w:p w14:paraId="2096FD11" w14:textId="77777777" w:rsidR="009D1A60" w:rsidRDefault="00000000">
            <w:pPr>
              <w:spacing w:after="0" w:line="240" w:lineRule="auto"/>
              <w:jc w:val="right"/>
              <w:rPr>
                <w:rFonts w:eastAsia="Arial" w:cs="Arial"/>
                <w:sz w:val="17"/>
                <w:szCs w:val="17"/>
                <w:highlight w:val="yellow"/>
              </w:rPr>
            </w:pPr>
            <w:r>
              <w:rPr>
                <w:rFonts w:eastAsia="Arial" w:cs="Arial"/>
                <w:color w:val="000000"/>
                <w:sz w:val="17"/>
                <w:szCs w:val="17"/>
              </w:rPr>
              <w:t>0</w:t>
            </w:r>
          </w:p>
        </w:tc>
        <w:tc>
          <w:tcPr>
            <w:tcW w:w="850" w:type="dxa"/>
            <w:tcBorders>
              <w:top w:val="nil"/>
              <w:left w:val="nil"/>
              <w:bottom w:val="single" w:sz="4" w:space="0" w:color="FFFFFF"/>
              <w:right w:val="single" w:sz="4" w:space="0" w:color="FFFFFF"/>
            </w:tcBorders>
            <w:shd w:val="clear" w:color="auto" w:fill="FAFAFA"/>
            <w:vAlign w:val="center"/>
          </w:tcPr>
          <w:p w14:paraId="5B772B7F" w14:textId="77777777" w:rsidR="009D1A60" w:rsidRDefault="00000000">
            <w:pPr>
              <w:spacing w:after="0" w:line="240" w:lineRule="auto"/>
              <w:jc w:val="right"/>
              <w:rPr>
                <w:rFonts w:eastAsia="Arial" w:cs="Arial"/>
                <w:sz w:val="17"/>
                <w:szCs w:val="17"/>
                <w:highlight w:val="yellow"/>
              </w:rPr>
            </w:pPr>
            <w:r>
              <w:rPr>
                <w:rFonts w:eastAsia="Arial" w:cs="Arial"/>
                <w:color w:val="000000"/>
                <w:sz w:val="17"/>
                <w:szCs w:val="17"/>
              </w:rPr>
              <w:t>0</w:t>
            </w:r>
          </w:p>
        </w:tc>
        <w:tc>
          <w:tcPr>
            <w:tcW w:w="851" w:type="dxa"/>
            <w:tcBorders>
              <w:top w:val="nil"/>
              <w:left w:val="nil"/>
              <w:bottom w:val="single" w:sz="4" w:space="0" w:color="FFFFFF"/>
              <w:right w:val="single" w:sz="4" w:space="0" w:color="FFFFFF"/>
            </w:tcBorders>
            <w:shd w:val="clear" w:color="auto" w:fill="FAFAFA"/>
            <w:vAlign w:val="center"/>
          </w:tcPr>
          <w:p w14:paraId="05CC9B6E" w14:textId="77777777" w:rsidR="009D1A60" w:rsidRDefault="00000000">
            <w:pPr>
              <w:spacing w:after="0" w:line="240" w:lineRule="auto"/>
              <w:jc w:val="right"/>
              <w:rPr>
                <w:rFonts w:eastAsia="Arial" w:cs="Arial"/>
                <w:sz w:val="17"/>
                <w:szCs w:val="17"/>
                <w:highlight w:val="yellow"/>
              </w:rPr>
            </w:pPr>
            <w:r>
              <w:rPr>
                <w:rFonts w:eastAsia="Arial" w:cs="Arial"/>
                <w:color w:val="000000"/>
                <w:sz w:val="17"/>
                <w:szCs w:val="17"/>
              </w:rPr>
              <w:t>0</w:t>
            </w:r>
          </w:p>
        </w:tc>
        <w:tc>
          <w:tcPr>
            <w:tcW w:w="850" w:type="dxa"/>
            <w:tcBorders>
              <w:top w:val="nil"/>
              <w:left w:val="nil"/>
              <w:bottom w:val="single" w:sz="4" w:space="0" w:color="FFFFFF"/>
              <w:right w:val="single" w:sz="4" w:space="0" w:color="FFFFFF"/>
            </w:tcBorders>
            <w:shd w:val="clear" w:color="auto" w:fill="FAFAFA"/>
            <w:vAlign w:val="center"/>
          </w:tcPr>
          <w:p w14:paraId="15737AD8" w14:textId="77777777" w:rsidR="009D1A60" w:rsidRDefault="00000000">
            <w:pPr>
              <w:spacing w:after="0" w:line="240" w:lineRule="auto"/>
              <w:jc w:val="right"/>
              <w:rPr>
                <w:rFonts w:eastAsia="Arial" w:cs="Arial"/>
                <w:sz w:val="17"/>
                <w:szCs w:val="17"/>
                <w:highlight w:val="yellow"/>
              </w:rPr>
            </w:pPr>
            <w:r>
              <w:rPr>
                <w:rFonts w:eastAsia="Arial" w:cs="Arial"/>
                <w:color w:val="000000"/>
                <w:sz w:val="17"/>
                <w:szCs w:val="17"/>
              </w:rPr>
              <w:t>0</w:t>
            </w:r>
          </w:p>
        </w:tc>
        <w:tc>
          <w:tcPr>
            <w:tcW w:w="851" w:type="dxa"/>
            <w:tcBorders>
              <w:top w:val="nil"/>
              <w:left w:val="nil"/>
              <w:bottom w:val="single" w:sz="4" w:space="0" w:color="FFFFFF"/>
              <w:right w:val="single" w:sz="4" w:space="0" w:color="FFFFFF"/>
            </w:tcBorders>
            <w:shd w:val="clear" w:color="auto" w:fill="FAFAFA"/>
            <w:vAlign w:val="center"/>
          </w:tcPr>
          <w:p w14:paraId="0A3C6692" w14:textId="77777777" w:rsidR="009D1A60" w:rsidRDefault="00000000">
            <w:pPr>
              <w:spacing w:after="0" w:line="240" w:lineRule="auto"/>
              <w:jc w:val="right"/>
              <w:rPr>
                <w:rFonts w:eastAsia="Arial" w:cs="Arial"/>
                <w:sz w:val="17"/>
                <w:szCs w:val="17"/>
                <w:highlight w:val="yellow"/>
              </w:rPr>
            </w:pPr>
            <w:r>
              <w:rPr>
                <w:rFonts w:eastAsia="Arial" w:cs="Arial"/>
                <w:color w:val="000000"/>
                <w:sz w:val="17"/>
                <w:szCs w:val="17"/>
              </w:rPr>
              <w:t>-</w:t>
            </w:r>
            <w:r>
              <w:rPr>
                <w:sz w:val="17"/>
                <w:szCs w:val="17"/>
              </w:rPr>
              <w:t>11 074</w:t>
            </w:r>
          </w:p>
        </w:tc>
        <w:tc>
          <w:tcPr>
            <w:tcW w:w="765" w:type="dxa"/>
            <w:tcBorders>
              <w:top w:val="nil"/>
              <w:left w:val="nil"/>
              <w:bottom w:val="single" w:sz="4" w:space="0" w:color="FFFFFF"/>
              <w:right w:val="single" w:sz="4" w:space="0" w:color="FFFFFF"/>
            </w:tcBorders>
            <w:shd w:val="clear" w:color="auto" w:fill="FAFAFA"/>
            <w:vAlign w:val="center"/>
          </w:tcPr>
          <w:p w14:paraId="4A37A80F" w14:textId="77777777" w:rsidR="009D1A60" w:rsidRDefault="00000000">
            <w:pPr>
              <w:spacing w:after="0" w:line="240" w:lineRule="auto"/>
              <w:jc w:val="right"/>
              <w:rPr>
                <w:rFonts w:eastAsia="Arial" w:cs="Arial"/>
                <w:b/>
                <w:sz w:val="17"/>
                <w:szCs w:val="17"/>
                <w:highlight w:val="yellow"/>
              </w:rPr>
            </w:pPr>
            <w:r>
              <w:rPr>
                <w:rFonts w:eastAsia="Arial" w:cs="Arial"/>
                <w:b/>
                <w:color w:val="000000"/>
                <w:sz w:val="17"/>
                <w:szCs w:val="17"/>
              </w:rPr>
              <w:t>-</w:t>
            </w:r>
            <w:r>
              <w:rPr>
                <w:b/>
                <w:sz w:val="17"/>
                <w:szCs w:val="17"/>
              </w:rPr>
              <w:t>11 074</w:t>
            </w:r>
          </w:p>
        </w:tc>
        <w:tc>
          <w:tcPr>
            <w:tcW w:w="945" w:type="dxa"/>
            <w:tcBorders>
              <w:top w:val="nil"/>
              <w:left w:val="nil"/>
              <w:bottom w:val="single" w:sz="4" w:space="0" w:color="FFFFFF"/>
              <w:right w:val="single" w:sz="4" w:space="0" w:color="FFFFFF"/>
            </w:tcBorders>
            <w:shd w:val="clear" w:color="auto" w:fill="FAFAFA"/>
            <w:vAlign w:val="center"/>
          </w:tcPr>
          <w:p w14:paraId="54372A0E" w14:textId="77777777" w:rsidR="009D1A60" w:rsidRDefault="00000000">
            <w:pPr>
              <w:spacing w:after="0" w:line="240" w:lineRule="auto"/>
              <w:jc w:val="right"/>
              <w:rPr>
                <w:rFonts w:eastAsia="Arial" w:cs="Arial"/>
                <w:sz w:val="17"/>
                <w:szCs w:val="17"/>
                <w:highlight w:val="yellow"/>
              </w:rPr>
            </w:pPr>
            <w:r>
              <w:rPr>
                <w:sz w:val="17"/>
                <w:szCs w:val="17"/>
              </w:rPr>
              <w:t>-17</w:t>
            </w:r>
          </w:p>
        </w:tc>
        <w:tc>
          <w:tcPr>
            <w:tcW w:w="850" w:type="dxa"/>
            <w:tcBorders>
              <w:top w:val="nil"/>
              <w:left w:val="nil"/>
              <w:bottom w:val="single" w:sz="4" w:space="0" w:color="FFFFFF"/>
              <w:right w:val="single" w:sz="4" w:space="0" w:color="FFFFFF"/>
            </w:tcBorders>
            <w:shd w:val="clear" w:color="auto" w:fill="FAFAFA"/>
            <w:vAlign w:val="center"/>
          </w:tcPr>
          <w:p w14:paraId="6355366C" w14:textId="77777777" w:rsidR="009D1A60" w:rsidRDefault="00000000">
            <w:pPr>
              <w:spacing w:after="0" w:line="240" w:lineRule="auto"/>
              <w:jc w:val="right"/>
              <w:rPr>
                <w:rFonts w:eastAsia="Arial" w:cs="Arial"/>
                <w:b/>
                <w:sz w:val="17"/>
                <w:szCs w:val="17"/>
                <w:highlight w:val="yellow"/>
              </w:rPr>
            </w:pPr>
            <w:r>
              <w:rPr>
                <w:rFonts w:eastAsia="Arial" w:cs="Arial"/>
                <w:b/>
                <w:color w:val="000000"/>
                <w:sz w:val="17"/>
                <w:szCs w:val="17"/>
              </w:rPr>
              <w:t>-</w:t>
            </w:r>
            <w:r>
              <w:rPr>
                <w:b/>
                <w:sz w:val="17"/>
                <w:szCs w:val="17"/>
              </w:rPr>
              <w:t>11 091</w:t>
            </w:r>
          </w:p>
        </w:tc>
      </w:tr>
      <w:tr w:rsidR="009D1A60" w14:paraId="11DC3D50" w14:textId="77777777">
        <w:trPr>
          <w:trHeight w:val="444"/>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772159C4" w14:textId="77777777" w:rsidR="009D1A60" w:rsidRDefault="00000000">
            <w:pPr>
              <w:spacing w:after="0" w:line="240" w:lineRule="auto"/>
              <w:jc w:val="left"/>
              <w:rPr>
                <w:rFonts w:eastAsia="Arial" w:cs="Arial"/>
                <w:color w:val="5E6EC8"/>
                <w:sz w:val="17"/>
                <w:szCs w:val="17"/>
              </w:rPr>
            </w:pPr>
            <w:r>
              <w:rPr>
                <w:rFonts w:eastAsia="Arial" w:cs="Arial"/>
                <w:color w:val="191919"/>
                <w:sz w:val="17"/>
                <w:szCs w:val="17"/>
              </w:rPr>
              <w:t>Other comprehensive income (expense)</w:t>
            </w:r>
          </w:p>
        </w:tc>
        <w:tc>
          <w:tcPr>
            <w:tcW w:w="992" w:type="dxa"/>
            <w:tcBorders>
              <w:top w:val="nil"/>
              <w:left w:val="nil"/>
              <w:bottom w:val="nil"/>
              <w:right w:val="nil"/>
            </w:tcBorders>
            <w:shd w:val="clear" w:color="auto" w:fill="FAFAFA"/>
            <w:vAlign w:val="center"/>
          </w:tcPr>
          <w:p w14:paraId="557DB049" w14:textId="77777777" w:rsidR="009D1A60" w:rsidRDefault="00000000">
            <w:pPr>
              <w:spacing w:after="0" w:line="240" w:lineRule="auto"/>
              <w:jc w:val="right"/>
              <w:rPr>
                <w:rFonts w:eastAsia="Arial" w:cs="Arial"/>
                <w:color w:val="5E6EC8"/>
                <w:sz w:val="17"/>
                <w:szCs w:val="17"/>
                <w:highlight w:val="yellow"/>
              </w:rPr>
            </w:pPr>
            <w:r>
              <w:rPr>
                <w:rFonts w:eastAsia="Arial" w:cs="Arial"/>
                <w:color w:val="000000"/>
                <w:sz w:val="17"/>
                <w:szCs w:val="17"/>
              </w:rPr>
              <w:t>0</w:t>
            </w:r>
          </w:p>
        </w:tc>
        <w:tc>
          <w:tcPr>
            <w:tcW w:w="802" w:type="dxa"/>
            <w:tcBorders>
              <w:top w:val="nil"/>
              <w:left w:val="nil"/>
              <w:bottom w:val="nil"/>
              <w:right w:val="nil"/>
            </w:tcBorders>
            <w:shd w:val="clear" w:color="auto" w:fill="FAFAFA"/>
            <w:vAlign w:val="center"/>
          </w:tcPr>
          <w:p w14:paraId="51E0B291" w14:textId="77777777" w:rsidR="009D1A60" w:rsidRDefault="00000000">
            <w:pPr>
              <w:spacing w:after="0" w:line="240" w:lineRule="auto"/>
              <w:jc w:val="right"/>
              <w:rPr>
                <w:rFonts w:eastAsia="Arial" w:cs="Arial"/>
                <w:color w:val="5E6EC8"/>
                <w:sz w:val="17"/>
                <w:szCs w:val="17"/>
                <w:highlight w:val="yellow"/>
              </w:rPr>
            </w:pPr>
            <w:r>
              <w:rPr>
                <w:rFonts w:eastAsia="Arial" w:cs="Arial"/>
                <w:color w:val="000000"/>
                <w:sz w:val="17"/>
                <w:szCs w:val="17"/>
              </w:rPr>
              <w:t>0</w:t>
            </w:r>
          </w:p>
        </w:tc>
        <w:tc>
          <w:tcPr>
            <w:tcW w:w="850" w:type="dxa"/>
            <w:tcBorders>
              <w:top w:val="nil"/>
              <w:left w:val="nil"/>
              <w:bottom w:val="nil"/>
              <w:right w:val="nil"/>
            </w:tcBorders>
            <w:shd w:val="clear" w:color="auto" w:fill="FAFAFA"/>
            <w:vAlign w:val="center"/>
          </w:tcPr>
          <w:p w14:paraId="342F3A8B" w14:textId="77777777" w:rsidR="009D1A60" w:rsidRDefault="00000000">
            <w:pPr>
              <w:spacing w:after="0" w:line="240" w:lineRule="auto"/>
              <w:jc w:val="right"/>
              <w:rPr>
                <w:rFonts w:eastAsia="Arial" w:cs="Arial"/>
                <w:color w:val="5E6EC8"/>
                <w:sz w:val="17"/>
                <w:szCs w:val="17"/>
                <w:highlight w:val="yellow"/>
              </w:rPr>
            </w:pPr>
            <w:r>
              <w:rPr>
                <w:rFonts w:eastAsia="Arial" w:cs="Arial"/>
                <w:color w:val="000000"/>
                <w:sz w:val="17"/>
                <w:szCs w:val="17"/>
              </w:rPr>
              <w:t>0</w:t>
            </w:r>
          </w:p>
        </w:tc>
        <w:tc>
          <w:tcPr>
            <w:tcW w:w="851" w:type="dxa"/>
            <w:tcBorders>
              <w:top w:val="nil"/>
              <w:left w:val="nil"/>
              <w:bottom w:val="nil"/>
              <w:right w:val="nil"/>
            </w:tcBorders>
            <w:shd w:val="clear" w:color="auto" w:fill="FAFAFA"/>
            <w:vAlign w:val="center"/>
          </w:tcPr>
          <w:p w14:paraId="12E5C67B" w14:textId="77777777" w:rsidR="009D1A60" w:rsidRDefault="00000000">
            <w:pPr>
              <w:spacing w:after="0" w:line="240" w:lineRule="auto"/>
              <w:jc w:val="right"/>
              <w:rPr>
                <w:rFonts w:eastAsia="Arial" w:cs="Arial"/>
                <w:color w:val="5E6EC8"/>
                <w:sz w:val="17"/>
                <w:szCs w:val="17"/>
                <w:highlight w:val="yellow"/>
              </w:rPr>
            </w:pPr>
            <w:r>
              <w:rPr>
                <w:rFonts w:eastAsia="Arial" w:cs="Arial"/>
                <w:color w:val="000000"/>
                <w:sz w:val="17"/>
                <w:szCs w:val="17"/>
              </w:rPr>
              <w:t>0</w:t>
            </w:r>
          </w:p>
        </w:tc>
        <w:tc>
          <w:tcPr>
            <w:tcW w:w="850" w:type="dxa"/>
            <w:tcBorders>
              <w:top w:val="nil"/>
              <w:left w:val="nil"/>
              <w:bottom w:val="nil"/>
              <w:right w:val="nil"/>
            </w:tcBorders>
            <w:shd w:val="clear" w:color="auto" w:fill="FAFAFA"/>
            <w:vAlign w:val="center"/>
          </w:tcPr>
          <w:p w14:paraId="13FC2A50" w14:textId="77777777" w:rsidR="009D1A60" w:rsidRDefault="00000000">
            <w:pPr>
              <w:spacing w:after="0" w:line="240" w:lineRule="auto"/>
              <w:jc w:val="right"/>
              <w:rPr>
                <w:rFonts w:eastAsia="Arial" w:cs="Arial"/>
                <w:color w:val="5E6EC8"/>
                <w:sz w:val="17"/>
                <w:szCs w:val="17"/>
                <w:highlight w:val="yellow"/>
              </w:rPr>
            </w:pPr>
            <w:r>
              <w:rPr>
                <w:sz w:val="17"/>
                <w:szCs w:val="17"/>
              </w:rPr>
              <w:t>596</w:t>
            </w:r>
          </w:p>
        </w:tc>
        <w:tc>
          <w:tcPr>
            <w:tcW w:w="851" w:type="dxa"/>
            <w:tcBorders>
              <w:top w:val="nil"/>
              <w:left w:val="nil"/>
              <w:bottom w:val="nil"/>
              <w:right w:val="nil"/>
            </w:tcBorders>
            <w:shd w:val="clear" w:color="auto" w:fill="FAFAFA"/>
            <w:vAlign w:val="center"/>
          </w:tcPr>
          <w:p w14:paraId="4BEFF96E" w14:textId="77777777" w:rsidR="009D1A60" w:rsidRDefault="00000000">
            <w:pPr>
              <w:spacing w:after="0" w:line="240" w:lineRule="auto"/>
              <w:jc w:val="right"/>
              <w:rPr>
                <w:rFonts w:eastAsia="Arial" w:cs="Arial"/>
                <w:color w:val="5E6EC8"/>
                <w:sz w:val="17"/>
                <w:szCs w:val="17"/>
                <w:highlight w:val="yellow"/>
              </w:rPr>
            </w:pPr>
            <w:r>
              <w:rPr>
                <w:rFonts w:eastAsia="Arial" w:cs="Arial"/>
                <w:color w:val="000000"/>
                <w:sz w:val="17"/>
                <w:szCs w:val="17"/>
              </w:rPr>
              <w:t>0.</w:t>
            </w:r>
          </w:p>
        </w:tc>
        <w:tc>
          <w:tcPr>
            <w:tcW w:w="765" w:type="dxa"/>
            <w:tcBorders>
              <w:top w:val="nil"/>
              <w:left w:val="nil"/>
              <w:bottom w:val="nil"/>
              <w:right w:val="nil"/>
            </w:tcBorders>
            <w:shd w:val="clear" w:color="auto" w:fill="FAFAFA"/>
            <w:vAlign w:val="center"/>
          </w:tcPr>
          <w:p w14:paraId="5040DDE8" w14:textId="77777777" w:rsidR="009D1A60" w:rsidRDefault="00000000">
            <w:pPr>
              <w:spacing w:after="0" w:line="240" w:lineRule="auto"/>
              <w:jc w:val="right"/>
              <w:rPr>
                <w:rFonts w:eastAsia="Arial" w:cs="Arial"/>
                <w:b/>
                <w:color w:val="5E6EC8"/>
                <w:sz w:val="17"/>
                <w:szCs w:val="17"/>
                <w:highlight w:val="yellow"/>
              </w:rPr>
            </w:pPr>
            <w:r>
              <w:rPr>
                <w:b/>
                <w:sz w:val="17"/>
                <w:szCs w:val="17"/>
              </w:rPr>
              <w:t>596</w:t>
            </w:r>
          </w:p>
        </w:tc>
        <w:tc>
          <w:tcPr>
            <w:tcW w:w="945" w:type="dxa"/>
            <w:tcBorders>
              <w:top w:val="nil"/>
              <w:left w:val="nil"/>
              <w:bottom w:val="nil"/>
              <w:right w:val="nil"/>
            </w:tcBorders>
            <w:shd w:val="clear" w:color="auto" w:fill="FAFAFA"/>
            <w:vAlign w:val="center"/>
          </w:tcPr>
          <w:p w14:paraId="638DEB2A" w14:textId="77777777" w:rsidR="009D1A60" w:rsidRDefault="00000000">
            <w:pPr>
              <w:spacing w:after="0" w:line="240" w:lineRule="auto"/>
              <w:jc w:val="right"/>
              <w:rPr>
                <w:rFonts w:eastAsia="Arial" w:cs="Arial"/>
                <w:color w:val="5E6EC8"/>
                <w:sz w:val="17"/>
                <w:szCs w:val="17"/>
                <w:highlight w:val="yellow"/>
              </w:rPr>
            </w:pPr>
            <w:r>
              <w:rPr>
                <w:rFonts w:eastAsia="Arial" w:cs="Arial"/>
                <w:color w:val="000000"/>
                <w:sz w:val="17"/>
                <w:szCs w:val="17"/>
              </w:rPr>
              <w:t>0</w:t>
            </w:r>
          </w:p>
        </w:tc>
        <w:tc>
          <w:tcPr>
            <w:tcW w:w="850" w:type="dxa"/>
            <w:tcBorders>
              <w:top w:val="nil"/>
              <w:left w:val="nil"/>
              <w:bottom w:val="nil"/>
              <w:right w:val="nil"/>
            </w:tcBorders>
            <w:shd w:val="clear" w:color="auto" w:fill="FAFAFA"/>
            <w:vAlign w:val="center"/>
          </w:tcPr>
          <w:p w14:paraId="56839AF3" w14:textId="77777777" w:rsidR="009D1A60" w:rsidRDefault="00000000">
            <w:pPr>
              <w:spacing w:after="0" w:line="240" w:lineRule="auto"/>
              <w:jc w:val="right"/>
              <w:rPr>
                <w:rFonts w:eastAsia="Arial" w:cs="Arial"/>
                <w:b/>
                <w:color w:val="5E6EC8"/>
                <w:sz w:val="17"/>
                <w:szCs w:val="17"/>
                <w:highlight w:val="yellow"/>
              </w:rPr>
            </w:pPr>
            <w:r>
              <w:rPr>
                <w:b/>
                <w:sz w:val="17"/>
                <w:szCs w:val="17"/>
              </w:rPr>
              <w:t>596</w:t>
            </w:r>
          </w:p>
        </w:tc>
      </w:tr>
      <w:tr w:rsidR="009D1A60" w14:paraId="545E8134" w14:textId="77777777">
        <w:trPr>
          <w:trHeight w:val="444"/>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4928E228" w14:textId="77777777" w:rsidR="009D1A60" w:rsidRDefault="00000000">
            <w:pPr>
              <w:spacing w:after="0" w:line="240" w:lineRule="auto"/>
              <w:jc w:val="left"/>
              <w:rPr>
                <w:color w:val="191919"/>
                <w:sz w:val="17"/>
                <w:szCs w:val="17"/>
              </w:rPr>
            </w:pPr>
            <w:r>
              <w:rPr>
                <w:color w:val="5E6EC8"/>
                <w:sz w:val="17"/>
                <w:szCs w:val="17"/>
              </w:rPr>
              <w:t>Total comprehensive income (expense) for the period</w:t>
            </w:r>
          </w:p>
        </w:tc>
        <w:tc>
          <w:tcPr>
            <w:tcW w:w="992" w:type="dxa"/>
            <w:tcBorders>
              <w:top w:val="nil"/>
              <w:left w:val="nil"/>
              <w:bottom w:val="nil"/>
              <w:right w:val="nil"/>
            </w:tcBorders>
            <w:shd w:val="clear" w:color="auto" w:fill="FAFAFA"/>
            <w:vAlign w:val="center"/>
          </w:tcPr>
          <w:p w14:paraId="4078E5EF" w14:textId="77777777" w:rsidR="009D1A60" w:rsidRDefault="00000000">
            <w:pPr>
              <w:spacing w:after="0" w:line="240" w:lineRule="auto"/>
              <w:jc w:val="right"/>
              <w:rPr>
                <w:color w:val="5E6EC8"/>
                <w:sz w:val="17"/>
                <w:szCs w:val="17"/>
              </w:rPr>
            </w:pPr>
            <w:r>
              <w:rPr>
                <w:color w:val="5E6EC8"/>
                <w:sz w:val="16"/>
                <w:szCs w:val="16"/>
              </w:rPr>
              <w:t>0</w:t>
            </w:r>
          </w:p>
        </w:tc>
        <w:tc>
          <w:tcPr>
            <w:tcW w:w="802" w:type="dxa"/>
            <w:tcBorders>
              <w:top w:val="nil"/>
              <w:left w:val="nil"/>
              <w:bottom w:val="nil"/>
              <w:right w:val="nil"/>
            </w:tcBorders>
            <w:shd w:val="clear" w:color="auto" w:fill="FAFAFA"/>
            <w:vAlign w:val="center"/>
          </w:tcPr>
          <w:p w14:paraId="7919CDA6" w14:textId="77777777" w:rsidR="009D1A60" w:rsidRDefault="00000000">
            <w:pPr>
              <w:spacing w:after="0" w:line="240" w:lineRule="auto"/>
              <w:jc w:val="right"/>
              <w:rPr>
                <w:color w:val="5E6EC8"/>
                <w:sz w:val="17"/>
                <w:szCs w:val="17"/>
              </w:rPr>
            </w:pPr>
            <w:r>
              <w:rPr>
                <w:color w:val="5E6EC8"/>
                <w:sz w:val="16"/>
                <w:szCs w:val="16"/>
              </w:rPr>
              <w:t>0</w:t>
            </w:r>
          </w:p>
        </w:tc>
        <w:tc>
          <w:tcPr>
            <w:tcW w:w="850" w:type="dxa"/>
            <w:tcBorders>
              <w:top w:val="nil"/>
              <w:left w:val="nil"/>
              <w:bottom w:val="nil"/>
              <w:right w:val="nil"/>
            </w:tcBorders>
            <w:shd w:val="clear" w:color="auto" w:fill="FAFAFA"/>
            <w:vAlign w:val="center"/>
          </w:tcPr>
          <w:p w14:paraId="6DF3529C" w14:textId="77777777" w:rsidR="009D1A60" w:rsidRDefault="00000000">
            <w:pPr>
              <w:spacing w:after="0" w:line="240" w:lineRule="auto"/>
              <w:jc w:val="right"/>
              <w:rPr>
                <w:color w:val="5E6EC8"/>
                <w:sz w:val="17"/>
                <w:szCs w:val="17"/>
              </w:rPr>
            </w:pPr>
            <w:r>
              <w:rPr>
                <w:color w:val="5E6EC8"/>
                <w:sz w:val="16"/>
                <w:szCs w:val="16"/>
              </w:rPr>
              <w:t>0</w:t>
            </w:r>
          </w:p>
        </w:tc>
        <w:tc>
          <w:tcPr>
            <w:tcW w:w="851" w:type="dxa"/>
            <w:tcBorders>
              <w:top w:val="nil"/>
              <w:left w:val="nil"/>
              <w:bottom w:val="nil"/>
              <w:right w:val="nil"/>
            </w:tcBorders>
            <w:shd w:val="clear" w:color="auto" w:fill="FAFAFA"/>
            <w:vAlign w:val="center"/>
          </w:tcPr>
          <w:p w14:paraId="2AB52DDF" w14:textId="77777777" w:rsidR="009D1A60" w:rsidRDefault="00000000">
            <w:pPr>
              <w:spacing w:after="0" w:line="240" w:lineRule="auto"/>
              <w:jc w:val="right"/>
              <w:rPr>
                <w:color w:val="5E6EC8"/>
                <w:sz w:val="17"/>
                <w:szCs w:val="17"/>
              </w:rPr>
            </w:pPr>
            <w:r>
              <w:rPr>
                <w:color w:val="5E6EC8"/>
                <w:sz w:val="16"/>
                <w:szCs w:val="16"/>
              </w:rPr>
              <w:t>0</w:t>
            </w:r>
          </w:p>
        </w:tc>
        <w:tc>
          <w:tcPr>
            <w:tcW w:w="850" w:type="dxa"/>
            <w:tcBorders>
              <w:top w:val="nil"/>
              <w:left w:val="nil"/>
              <w:bottom w:val="nil"/>
              <w:right w:val="nil"/>
            </w:tcBorders>
            <w:shd w:val="clear" w:color="auto" w:fill="FAFAFA"/>
            <w:vAlign w:val="center"/>
          </w:tcPr>
          <w:p w14:paraId="03AD9FF4" w14:textId="77777777" w:rsidR="009D1A60" w:rsidRDefault="00000000">
            <w:pPr>
              <w:spacing w:after="0" w:line="240" w:lineRule="auto"/>
              <w:jc w:val="right"/>
              <w:rPr>
                <w:color w:val="5E6EC8"/>
                <w:sz w:val="17"/>
                <w:szCs w:val="17"/>
              </w:rPr>
            </w:pPr>
            <w:r>
              <w:rPr>
                <w:color w:val="5E6EC8"/>
                <w:sz w:val="16"/>
                <w:szCs w:val="16"/>
              </w:rPr>
              <w:t>596</w:t>
            </w:r>
          </w:p>
        </w:tc>
        <w:tc>
          <w:tcPr>
            <w:tcW w:w="851" w:type="dxa"/>
            <w:tcBorders>
              <w:top w:val="nil"/>
              <w:left w:val="nil"/>
              <w:bottom w:val="nil"/>
              <w:right w:val="nil"/>
            </w:tcBorders>
            <w:shd w:val="clear" w:color="auto" w:fill="FAFAFA"/>
            <w:vAlign w:val="center"/>
          </w:tcPr>
          <w:p w14:paraId="36DE023F" w14:textId="77777777" w:rsidR="009D1A60" w:rsidRDefault="00000000">
            <w:pPr>
              <w:spacing w:after="0" w:line="240" w:lineRule="auto"/>
              <w:jc w:val="right"/>
              <w:rPr>
                <w:color w:val="5E6EC8"/>
                <w:sz w:val="17"/>
                <w:szCs w:val="17"/>
              </w:rPr>
            </w:pPr>
            <w:r>
              <w:rPr>
                <w:color w:val="5E6EC8"/>
                <w:sz w:val="16"/>
                <w:szCs w:val="16"/>
              </w:rPr>
              <w:t>-11 074</w:t>
            </w:r>
          </w:p>
        </w:tc>
        <w:tc>
          <w:tcPr>
            <w:tcW w:w="765" w:type="dxa"/>
            <w:tcBorders>
              <w:top w:val="nil"/>
              <w:left w:val="nil"/>
              <w:bottom w:val="nil"/>
              <w:right w:val="nil"/>
            </w:tcBorders>
            <w:shd w:val="clear" w:color="auto" w:fill="FAFAFA"/>
            <w:vAlign w:val="center"/>
          </w:tcPr>
          <w:p w14:paraId="7E0903F9" w14:textId="77777777" w:rsidR="009D1A60" w:rsidRDefault="00000000">
            <w:pPr>
              <w:spacing w:after="0" w:line="240" w:lineRule="auto"/>
              <w:jc w:val="right"/>
              <w:rPr>
                <w:b/>
                <w:color w:val="5E6EC8"/>
                <w:sz w:val="17"/>
                <w:szCs w:val="17"/>
              </w:rPr>
            </w:pPr>
            <w:r>
              <w:rPr>
                <w:b/>
                <w:color w:val="5E6EC8"/>
                <w:sz w:val="16"/>
                <w:szCs w:val="16"/>
              </w:rPr>
              <w:t>-10 478</w:t>
            </w:r>
          </w:p>
        </w:tc>
        <w:tc>
          <w:tcPr>
            <w:tcW w:w="945" w:type="dxa"/>
            <w:tcBorders>
              <w:top w:val="nil"/>
              <w:left w:val="nil"/>
              <w:bottom w:val="nil"/>
              <w:right w:val="nil"/>
            </w:tcBorders>
            <w:shd w:val="clear" w:color="auto" w:fill="FAFAFA"/>
            <w:vAlign w:val="center"/>
          </w:tcPr>
          <w:p w14:paraId="3AEA6689" w14:textId="77777777" w:rsidR="009D1A60" w:rsidRDefault="00000000">
            <w:pPr>
              <w:spacing w:after="0" w:line="240" w:lineRule="auto"/>
              <w:jc w:val="right"/>
              <w:rPr>
                <w:color w:val="5E6EC8"/>
                <w:sz w:val="17"/>
                <w:szCs w:val="17"/>
              </w:rPr>
            </w:pPr>
            <w:r>
              <w:rPr>
                <w:color w:val="5E6EC8"/>
                <w:sz w:val="16"/>
                <w:szCs w:val="16"/>
              </w:rPr>
              <w:t>-17</w:t>
            </w:r>
          </w:p>
        </w:tc>
        <w:tc>
          <w:tcPr>
            <w:tcW w:w="850" w:type="dxa"/>
            <w:tcBorders>
              <w:top w:val="nil"/>
              <w:left w:val="nil"/>
              <w:bottom w:val="nil"/>
              <w:right w:val="nil"/>
            </w:tcBorders>
            <w:shd w:val="clear" w:color="auto" w:fill="FAFAFA"/>
            <w:vAlign w:val="center"/>
          </w:tcPr>
          <w:p w14:paraId="4D6C7201" w14:textId="77777777" w:rsidR="009D1A60" w:rsidRDefault="00000000">
            <w:pPr>
              <w:spacing w:after="0" w:line="240" w:lineRule="auto"/>
              <w:jc w:val="right"/>
              <w:rPr>
                <w:b/>
                <w:color w:val="5E6EC8"/>
                <w:sz w:val="17"/>
                <w:szCs w:val="17"/>
              </w:rPr>
            </w:pPr>
            <w:r>
              <w:rPr>
                <w:b/>
                <w:color w:val="5E6EC8"/>
                <w:sz w:val="16"/>
                <w:szCs w:val="16"/>
              </w:rPr>
              <w:t>-10 495</w:t>
            </w:r>
          </w:p>
        </w:tc>
      </w:tr>
      <w:tr w:rsidR="009D1A60" w14:paraId="3A3C0D45" w14:textId="77777777">
        <w:trPr>
          <w:trHeight w:val="444"/>
        </w:trPr>
        <w:tc>
          <w:tcPr>
            <w:tcW w:w="2122" w:type="dxa"/>
            <w:tcBorders>
              <w:top w:val="nil"/>
              <w:left w:val="single" w:sz="4" w:space="0" w:color="FFFFFF"/>
              <w:bottom w:val="single" w:sz="4" w:space="0" w:color="FFFFFF"/>
              <w:right w:val="single" w:sz="4" w:space="0" w:color="FFFFFF"/>
            </w:tcBorders>
            <w:shd w:val="clear" w:color="auto" w:fill="FAFAFA"/>
            <w:vAlign w:val="center"/>
          </w:tcPr>
          <w:p w14:paraId="488F96DC" w14:textId="77777777" w:rsidR="009D1A60" w:rsidRDefault="00000000">
            <w:pPr>
              <w:spacing w:after="0" w:line="240" w:lineRule="auto"/>
              <w:jc w:val="left"/>
              <w:rPr>
                <w:rFonts w:eastAsia="Arial" w:cs="Arial"/>
                <w:color w:val="191919"/>
                <w:sz w:val="17"/>
                <w:szCs w:val="17"/>
              </w:rPr>
            </w:pPr>
            <w:r>
              <w:rPr>
                <w:rFonts w:eastAsia="Arial" w:cs="Arial"/>
                <w:color w:val="191919"/>
                <w:sz w:val="17"/>
                <w:szCs w:val="17"/>
              </w:rPr>
              <w:t>Correction of subsidiary’s share capital</w:t>
            </w:r>
          </w:p>
        </w:tc>
        <w:tc>
          <w:tcPr>
            <w:tcW w:w="992" w:type="dxa"/>
            <w:tcBorders>
              <w:top w:val="nil"/>
              <w:left w:val="nil"/>
              <w:bottom w:val="nil"/>
              <w:right w:val="nil"/>
            </w:tcBorders>
            <w:shd w:val="clear" w:color="auto" w:fill="FAFAFA"/>
            <w:vAlign w:val="center"/>
          </w:tcPr>
          <w:p w14:paraId="479B5023" w14:textId="77777777" w:rsidR="009D1A60" w:rsidRDefault="00000000">
            <w:pPr>
              <w:spacing w:after="0" w:line="240" w:lineRule="auto"/>
              <w:jc w:val="right"/>
              <w:rPr>
                <w:rFonts w:eastAsia="Arial" w:cs="Arial"/>
                <w:color w:val="000000"/>
                <w:sz w:val="17"/>
                <w:szCs w:val="17"/>
              </w:rPr>
            </w:pPr>
            <w:r>
              <w:rPr>
                <w:rFonts w:eastAsia="Arial" w:cs="Arial"/>
                <w:color w:val="000000"/>
                <w:sz w:val="17"/>
                <w:szCs w:val="17"/>
              </w:rPr>
              <w:t>0</w:t>
            </w:r>
          </w:p>
        </w:tc>
        <w:tc>
          <w:tcPr>
            <w:tcW w:w="802" w:type="dxa"/>
            <w:tcBorders>
              <w:top w:val="nil"/>
              <w:left w:val="nil"/>
              <w:bottom w:val="nil"/>
              <w:right w:val="nil"/>
            </w:tcBorders>
            <w:shd w:val="clear" w:color="auto" w:fill="FAFAFA"/>
            <w:vAlign w:val="center"/>
          </w:tcPr>
          <w:p w14:paraId="2C5E1CDE" w14:textId="77777777" w:rsidR="009D1A60" w:rsidRDefault="00000000">
            <w:pPr>
              <w:spacing w:after="0" w:line="240" w:lineRule="auto"/>
              <w:jc w:val="right"/>
              <w:rPr>
                <w:rFonts w:eastAsia="Arial" w:cs="Arial"/>
                <w:color w:val="000000"/>
                <w:sz w:val="17"/>
                <w:szCs w:val="17"/>
              </w:rPr>
            </w:pPr>
            <w:r>
              <w:rPr>
                <w:rFonts w:eastAsia="Arial" w:cs="Arial"/>
                <w:color w:val="000000"/>
                <w:sz w:val="17"/>
                <w:szCs w:val="17"/>
              </w:rPr>
              <w:t>0</w:t>
            </w:r>
          </w:p>
        </w:tc>
        <w:tc>
          <w:tcPr>
            <w:tcW w:w="850" w:type="dxa"/>
            <w:tcBorders>
              <w:top w:val="nil"/>
              <w:left w:val="nil"/>
              <w:bottom w:val="nil"/>
              <w:right w:val="nil"/>
            </w:tcBorders>
            <w:shd w:val="clear" w:color="auto" w:fill="FAFAFA"/>
            <w:vAlign w:val="center"/>
          </w:tcPr>
          <w:p w14:paraId="3186356F" w14:textId="77777777" w:rsidR="009D1A60" w:rsidRDefault="00000000">
            <w:pPr>
              <w:spacing w:after="0" w:line="240" w:lineRule="auto"/>
              <w:jc w:val="right"/>
              <w:rPr>
                <w:rFonts w:eastAsia="Arial" w:cs="Arial"/>
                <w:color w:val="000000"/>
                <w:sz w:val="17"/>
                <w:szCs w:val="17"/>
              </w:rPr>
            </w:pPr>
            <w:r>
              <w:rPr>
                <w:rFonts w:eastAsia="Arial" w:cs="Arial"/>
                <w:color w:val="000000"/>
                <w:sz w:val="17"/>
                <w:szCs w:val="17"/>
              </w:rPr>
              <w:t>0</w:t>
            </w:r>
          </w:p>
        </w:tc>
        <w:tc>
          <w:tcPr>
            <w:tcW w:w="851" w:type="dxa"/>
            <w:tcBorders>
              <w:top w:val="nil"/>
              <w:left w:val="nil"/>
              <w:bottom w:val="nil"/>
              <w:right w:val="nil"/>
            </w:tcBorders>
            <w:shd w:val="clear" w:color="auto" w:fill="FAFAFA"/>
            <w:vAlign w:val="center"/>
          </w:tcPr>
          <w:p w14:paraId="04BCB36D" w14:textId="77777777" w:rsidR="009D1A60" w:rsidRDefault="00000000">
            <w:pPr>
              <w:spacing w:after="0" w:line="240" w:lineRule="auto"/>
              <w:jc w:val="right"/>
              <w:rPr>
                <w:rFonts w:eastAsia="Arial" w:cs="Arial"/>
                <w:color w:val="000000"/>
                <w:sz w:val="17"/>
                <w:szCs w:val="17"/>
              </w:rPr>
            </w:pPr>
            <w:r>
              <w:rPr>
                <w:rFonts w:eastAsia="Arial" w:cs="Arial"/>
                <w:color w:val="000000"/>
                <w:sz w:val="17"/>
                <w:szCs w:val="17"/>
              </w:rPr>
              <w:t>0</w:t>
            </w:r>
          </w:p>
        </w:tc>
        <w:tc>
          <w:tcPr>
            <w:tcW w:w="850" w:type="dxa"/>
            <w:tcBorders>
              <w:top w:val="nil"/>
              <w:left w:val="nil"/>
              <w:bottom w:val="nil"/>
              <w:right w:val="nil"/>
            </w:tcBorders>
            <w:shd w:val="clear" w:color="auto" w:fill="FAFAFA"/>
            <w:vAlign w:val="center"/>
          </w:tcPr>
          <w:p w14:paraId="563C16BE" w14:textId="77777777" w:rsidR="009D1A60" w:rsidRDefault="00000000">
            <w:pPr>
              <w:spacing w:after="0" w:line="240" w:lineRule="auto"/>
              <w:jc w:val="right"/>
              <w:rPr>
                <w:rFonts w:eastAsia="Arial" w:cs="Arial"/>
                <w:color w:val="000000"/>
                <w:sz w:val="17"/>
                <w:szCs w:val="17"/>
              </w:rPr>
            </w:pPr>
            <w:r>
              <w:rPr>
                <w:rFonts w:eastAsia="Arial" w:cs="Arial"/>
                <w:color w:val="000000"/>
                <w:sz w:val="17"/>
                <w:szCs w:val="17"/>
              </w:rPr>
              <w:t>0</w:t>
            </w:r>
          </w:p>
        </w:tc>
        <w:tc>
          <w:tcPr>
            <w:tcW w:w="851" w:type="dxa"/>
            <w:tcBorders>
              <w:top w:val="nil"/>
              <w:left w:val="nil"/>
              <w:bottom w:val="nil"/>
              <w:right w:val="nil"/>
            </w:tcBorders>
            <w:shd w:val="clear" w:color="auto" w:fill="FAFAFA"/>
            <w:vAlign w:val="center"/>
          </w:tcPr>
          <w:p w14:paraId="5A414F10" w14:textId="77777777" w:rsidR="009D1A60" w:rsidRDefault="00000000">
            <w:pPr>
              <w:spacing w:after="0" w:line="240" w:lineRule="auto"/>
              <w:jc w:val="right"/>
              <w:rPr>
                <w:rFonts w:eastAsia="Arial" w:cs="Arial"/>
                <w:color w:val="000000"/>
                <w:sz w:val="17"/>
                <w:szCs w:val="17"/>
              </w:rPr>
            </w:pPr>
            <w:r>
              <w:rPr>
                <w:sz w:val="17"/>
                <w:szCs w:val="17"/>
              </w:rPr>
              <w:t>3 915</w:t>
            </w:r>
          </w:p>
        </w:tc>
        <w:tc>
          <w:tcPr>
            <w:tcW w:w="765" w:type="dxa"/>
            <w:tcBorders>
              <w:top w:val="nil"/>
              <w:left w:val="nil"/>
              <w:bottom w:val="nil"/>
              <w:right w:val="nil"/>
            </w:tcBorders>
            <w:shd w:val="clear" w:color="auto" w:fill="FAFAFA"/>
            <w:vAlign w:val="center"/>
          </w:tcPr>
          <w:p w14:paraId="16830310" w14:textId="77777777" w:rsidR="009D1A60" w:rsidRDefault="00000000">
            <w:pPr>
              <w:spacing w:after="0" w:line="240" w:lineRule="auto"/>
              <w:jc w:val="right"/>
              <w:rPr>
                <w:rFonts w:eastAsia="Arial" w:cs="Arial"/>
                <w:b/>
                <w:color w:val="000000"/>
                <w:sz w:val="17"/>
                <w:szCs w:val="17"/>
              </w:rPr>
            </w:pPr>
            <w:r>
              <w:rPr>
                <w:b/>
                <w:sz w:val="17"/>
                <w:szCs w:val="17"/>
              </w:rPr>
              <w:t>3 915</w:t>
            </w:r>
          </w:p>
        </w:tc>
        <w:tc>
          <w:tcPr>
            <w:tcW w:w="945" w:type="dxa"/>
            <w:tcBorders>
              <w:top w:val="nil"/>
              <w:left w:val="nil"/>
              <w:bottom w:val="nil"/>
              <w:right w:val="nil"/>
            </w:tcBorders>
            <w:shd w:val="clear" w:color="auto" w:fill="FAFAFA"/>
            <w:vAlign w:val="center"/>
          </w:tcPr>
          <w:p w14:paraId="3B194605" w14:textId="77777777" w:rsidR="009D1A60" w:rsidRDefault="00000000">
            <w:pPr>
              <w:spacing w:after="0" w:line="240" w:lineRule="auto"/>
              <w:jc w:val="right"/>
              <w:rPr>
                <w:rFonts w:eastAsia="Arial" w:cs="Arial"/>
                <w:color w:val="000000"/>
                <w:sz w:val="17"/>
                <w:szCs w:val="17"/>
              </w:rPr>
            </w:pPr>
            <w:r>
              <w:rPr>
                <w:rFonts w:eastAsia="Arial" w:cs="Arial"/>
                <w:color w:val="000000"/>
                <w:sz w:val="17"/>
                <w:szCs w:val="17"/>
              </w:rPr>
              <w:t>-</w:t>
            </w:r>
            <w:r>
              <w:rPr>
                <w:sz w:val="17"/>
                <w:szCs w:val="17"/>
              </w:rPr>
              <w:t>317</w:t>
            </w:r>
          </w:p>
        </w:tc>
        <w:tc>
          <w:tcPr>
            <w:tcW w:w="850" w:type="dxa"/>
            <w:tcBorders>
              <w:top w:val="nil"/>
              <w:left w:val="nil"/>
              <w:bottom w:val="nil"/>
              <w:right w:val="nil"/>
            </w:tcBorders>
            <w:shd w:val="clear" w:color="auto" w:fill="FAFAFA"/>
            <w:vAlign w:val="center"/>
          </w:tcPr>
          <w:p w14:paraId="539FF30D" w14:textId="77777777" w:rsidR="009D1A60" w:rsidRDefault="00000000">
            <w:pPr>
              <w:spacing w:after="0" w:line="240" w:lineRule="auto"/>
              <w:jc w:val="right"/>
              <w:rPr>
                <w:rFonts w:eastAsia="Arial" w:cs="Arial"/>
                <w:b/>
                <w:color w:val="000000"/>
                <w:sz w:val="17"/>
                <w:szCs w:val="17"/>
              </w:rPr>
            </w:pPr>
            <w:r>
              <w:rPr>
                <w:b/>
                <w:sz w:val="17"/>
                <w:szCs w:val="17"/>
              </w:rPr>
              <w:t>3 598</w:t>
            </w:r>
          </w:p>
        </w:tc>
      </w:tr>
      <w:tr w:rsidR="009D1A60" w14:paraId="26745FC1" w14:textId="77777777">
        <w:trPr>
          <w:trHeight w:val="228"/>
        </w:trPr>
        <w:tc>
          <w:tcPr>
            <w:tcW w:w="2122" w:type="dxa"/>
            <w:tcBorders>
              <w:top w:val="nil"/>
              <w:left w:val="single" w:sz="4" w:space="0" w:color="FFFFFF"/>
              <w:bottom w:val="nil"/>
              <w:right w:val="single" w:sz="4" w:space="0" w:color="FFFFFF"/>
            </w:tcBorders>
            <w:shd w:val="clear" w:color="auto" w:fill="FAFAFA"/>
            <w:vAlign w:val="center"/>
          </w:tcPr>
          <w:p w14:paraId="2CD5D7D9"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 xml:space="preserve">Balance at 30.06.2022 </w:t>
            </w:r>
          </w:p>
        </w:tc>
        <w:tc>
          <w:tcPr>
            <w:tcW w:w="992" w:type="dxa"/>
            <w:tcBorders>
              <w:top w:val="nil"/>
              <w:left w:val="nil"/>
              <w:bottom w:val="nil"/>
              <w:right w:val="nil"/>
            </w:tcBorders>
            <w:shd w:val="clear" w:color="auto" w:fill="FAFAFA"/>
            <w:vAlign w:val="center"/>
          </w:tcPr>
          <w:p w14:paraId="22C67A1F" w14:textId="77777777" w:rsidR="009D1A60" w:rsidRDefault="00000000">
            <w:pPr>
              <w:spacing w:after="0" w:line="240" w:lineRule="auto"/>
              <w:jc w:val="right"/>
              <w:rPr>
                <w:rFonts w:eastAsia="Arial" w:cs="Arial"/>
                <w:b/>
                <w:color w:val="5E6EC8"/>
                <w:sz w:val="17"/>
                <w:szCs w:val="17"/>
                <w:highlight w:val="yellow"/>
              </w:rPr>
            </w:pPr>
            <w:r>
              <w:rPr>
                <w:rFonts w:eastAsia="Arial" w:cs="Arial"/>
                <w:b/>
                <w:color w:val="5E6EC8"/>
                <w:sz w:val="17"/>
                <w:szCs w:val="17"/>
              </w:rPr>
              <w:t>7</w:t>
            </w:r>
            <w:r>
              <w:rPr>
                <w:b/>
                <w:color w:val="5E6EC8"/>
                <w:sz w:val="17"/>
                <w:szCs w:val="17"/>
              </w:rPr>
              <w:t xml:space="preserve"> </w:t>
            </w:r>
            <w:r>
              <w:rPr>
                <w:rFonts w:eastAsia="Arial" w:cs="Arial"/>
                <w:b/>
                <w:color w:val="5E6EC8"/>
                <w:sz w:val="17"/>
                <w:szCs w:val="17"/>
              </w:rPr>
              <w:t>737</w:t>
            </w:r>
          </w:p>
        </w:tc>
        <w:tc>
          <w:tcPr>
            <w:tcW w:w="802" w:type="dxa"/>
            <w:tcBorders>
              <w:top w:val="nil"/>
              <w:left w:val="nil"/>
              <w:bottom w:val="nil"/>
              <w:right w:val="nil"/>
            </w:tcBorders>
            <w:shd w:val="clear" w:color="auto" w:fill="FAFAFA"/>
            <w:vAlign w:val="center"/>
          </w:tcPr>
          <w:p w14:paraId="3347CC62" w14:textId="77777777" w:rsidR="009D1A60" w:rsidRDefault="00000000">
            <w:pPr>
              <w:spacing w:after="0" w:line="240" w:lineRule="auto"/>
              <w:jc w:val="right"/>
              <w:rPr>
                <w:rFonts w:eastAsia="Arial" w:cs="Arial"/>
                <w:b/>
                <w:color w:val="5E6EC8"/>
                <w:sz w:val="17"/>
                <w:szCs w:val="17"/>
                <w:highlight w:val="yellow"/>
              </w:rPr>
            </w:pPr>
            <w:r>
              <w:rPr>
                <w:rFonts w:eastAsia="Arial" w:cs="Arial"/>
                <w:b/>
                <w:color w:val="5E6EC8"/>
                <w:sz w:val="17"/>
                <w:szCs w:val="17"/>
              </w:rPr>
              <w:t>14</w:t>
            </w:r>
            <w:r>
              <w:rPr>
                <w:b/>
                <w:color w:val="5E6EC8"/>
                <w:sz w:val="17"/>
                <w:szCs w:val="17"/>
              </w:rPr>
              <w:t xml:space="preserve"> </w:t>
            </w:r>
            <w:r>
              <w:rPr>
                <w:rFonts w:eastAsia="Arial" w:cs="Arial"/>
                <w:b/>
                <w:color w:val="5E6EC8"/>
                <w:sz w:val="17"/>
                <w:szCs w:val="17"/>
              </w:rPr>
              <w:t>007</w:t>
            </w:r>
          </w:p>
        </w:tc>
        <w:tc>
          <w:tcPr>
            <w:tcW w:w="850" w:type="dxa"/>
            <w:tcBorders>
              <w:top w:val="nil"/>
              <w:left w:val="nil"/>
              <w:bottom w:val="nil"/>
              <w:right w:val="nil"/>
            </w:tcBorders>
            <w:shd w:val="clear" w:color="auto" w:fill="FAFAFA"/>
            <w:vAlign w:val="center"/>
          </w:tcPr>
          <w:p w14:paraId="64788C43" w14:textId="77777777" w:rsidR="009D1A60" w:rsidRDefault="00000000">
            <w:pPr>
              <w:spacing w:after="0" w:line="240" w:lineRule="auto"/>
              <w:jc w:val="right"/>
              <w:rPr>
                <w:rFonts w:eastAsia="Arial" w:cs="Arial"/>
                <w:b/>
                <w:color w:val="5E6EC8"/>
                <w:sz w:val="17"/>
                <w:szCs w:val="17"/>
                <w:highlight w:val="yellow"/>
              </w:rPr>
            </w:pPr>
            <w:r>
              <w:rPr>
                <w:rFonts w:eastAsia="Arial" w:cs="Arial"/>
                <w:b/>
                <w:color w:val="5E6EC8"/>
                <w:sz w:val="17"/>
                <w:szCs w:val="17"/>
              </w:rPr>
              <w:t>-390</w:t>
            </w:r>
          </w:p>
        </w:tc>
        <w:tc>
          <w:tcPr>
            <w:tcW w:w="851" w:type="dxa"/>
            <w:tcBorders>
              <w:top w:val="nil"/>
              <w:left w:val="nil"/>
              <w:bottom w:val="nil"/>
              <w:right w:val="nil"/>
            </w:tcBorders>
            <w:shd w:val="clear" w:color="auto" w:fill="FAFAFA"/>
            <w:vAlign w:val="center"/>
          </w:tcPr>
          <w:p w14:paraId="7FA9DD2C" w14:textId="77777777" w:rsidR="009D1A60" w:rsidRDefault="00000000">
            <w:pPr>
              <w:spacing w:after="0" w:line="240" w:lineRule="auto"/>
              <w:jc w:val="right"/>
              <w:rPr>
                <w:rFonts w:eastAsia="Arial" w:cs="Arial"/>
                <w:b/>
                <w:color w:val="5E6EC8"/>
                <w:sz w:val="17"/>
                <w:szCs w:val="17"/>
                <w:highlight w:val="yellow"/>
              </w:rPr>
            </w:pPr>
            <w:r>
              <w:rPr>
                <w:rFonts w:eastAsia="Arial" w:cs="Arial"/>
                <w:b/>
                <w:color w:val="5E6EC8"/>
                <w:sz w:val="17"/>
                <w:szCs w:val="17"/>
              </w:rPr>
              <w:t>51</w:t>
            </w:r>
          </w:p>
        </w:tc>
        <w:tc>
          <w:tcPr>
            <w:tcW w:w="850" w:type="dxa"/>
            <w:tcBorders>
              <w:top w:val="nil"/>
              <w:left w:val="nil"/>
              <w:bottom w:val="nil"/>
              <w:right w:val="nil"/>
            </w:tcBorders>
            <w:shd w:val="clear" w:color="auto" w:fill="FAFAFA"/>
            <w:vAlign w:val="center"/>
          </w:tcPr>
          <w:p w14:paraId="3296E456" w14:textId="77777777" w:rsidR="009D1A60" w:rsidRDefault="00000000">
            <w:pPr>
              <w:spacing w:after="0" w:line="240" w:lineRule="auto"/>
              <w:jc w:val="right"/>
              <w:rPr>
                <w:rFonts w:eastAsia="Arial" w:cs="Arial"/>
                <w:b/>
                <w:color w:val="5E6EC8"/>
                <w:sz w:val="17"/>
                <w:szCs w:val="17"/>
                <w:highlight w:val="yellow"/>
              </w:rPr>
            </w:pPr>
            <w:r>
              <w:rPr>
                <w:b/>
                <w:color w:val="5E6EC8"/>
                <w:sz w:val="17"/>
                <w:szCs w:val="17"/>
              </w:rPr>
              <w:t>1 155</w:t>
            </w:r>
          </w:p>
        </w:tc>
        <w:tc>
          <w:tcPr>
            <w:tcW w:w="851" w:type="dxa"/>
            <w:tcBorders>
              <w:top w:val="nil"/>
              <w:left w:val="nil"/>
              <w:bottom w:val="nil"/>
              <w:right w:val="nil"/>
            </w:tcBorders>
            <w:shd w:val="clear" w:color="auto" w:fill="FAFAFA"/>
            <w:vAlign w:val="center"/>
          </w:tcPr>
          <w:p w14:paraId="61C27AC0" w14:textId="77777777" w:rsidR="009D1A60" w:rsidRDefault="00000000">
            <w:pPr>
              <w:spacing w:after="0" w:line="240" w:lineRule="auto"/>
              <w:jc w:val="right"/>
              <w:rPr>
                <w:rFonts w:eastAsia="Arial" w:cs="Arial"/>
                <w:b/>
                <w:color w:val="5E6EC8"/>
                <w:sz w:val="17"/>
                <w:szCs w:val="17"/>
                <w:highlight w:val="yellow"/>
              </w:rPr>
            </w:pPr>
            <w:r>
              <w:rPr>
                <w:rFonts w:eastAsia="Arial" w:cs="Arial"/>
                <w:b/>
                <w:color w:val="5E6EC8"/>
                <w:sz w:val="17"/>
                <w:szCs w:val="17"/>
              </w:rPr>
              <w:t>-1</w:t>
            </w:r>
            <w:r>
              <w:rPr>
                <w:b/>
                <w:color w:val="5E6EC8"/>
                <w:sz w:val="17"/>
                <w:szCs w:val="17"/>
              </w:rPr>
              <w:t>3 882</w:t>
            </w:r>
          </w:p>
        </w:tc>
        <w:tc>
          <w:tcPr>
            <w:tcW w:w="765" w:type="dxa"/>
            <w:tcBorders>
              <w:top w:val="nil"/>
              <w:left w:val="nil"/>
              <w:bottom w:val="nil"/>
              <w:right w:val="nil"/>
            </w:tcBorders>
            <w:shd w:val="clear" w:color="auto" w:fill="FAFAFA"/>
            <w:vAlign w:val="center"/>
          </w:tcPr>
          <w:p w14:paraId="7CEC0AD6" w14:textId="77777777" w:rsidR="009D1A60" w:rsidRDefault="00000000">
            <w:pPr>
              <w:spacing w:after="0" w:line="240" w:lineRule="auto"/>
              <w:jc w:val="right"/>
              <w:rPr>
                <w:rFonts w:eastAsia="Arial" w:cs="Arial"/>
                <w:b/>
                <w:color w:val="5E6EC8"/>
                <w:sz w:val="17"/>
                <w:szCs w:val="17"/>
                <w:highlight w:val="yellow"/>
              </w:rPr>
            </w:pPr>
            <w:r>
              <w:rPr>
                <w:b/>
                <w:color w:val="5E6EC8"/>
                <w:sz w:val="17"/>
                <w:szCs w:val="17"/>
              </w:rPr>
              <w:t>8 678</w:t>
            </w:r>
          </w:p>
        </w:tc>
        <w:tc>
          <w:tcPr>
            <w:tcW w:w="945" w:type="dxa"/>
            <w:tcBorders>
              <w:top w:val="nil"/>
              <w:left w:val="nil"/>
              <w:bottom w:val="nil"/>
              <w:right w:val="nil"/>
            </w:tcBorders>
            <w:shd w:val="clear" w:color="auto" w:fill="FAFAFA"/>
            <w:vAlign w:val="center"/>
          </w:tcPr>
          <w:p w14:paraId="0668B3F3" w14:textId="77777777" w:rsidR="009D1A60" w:rsidRDefault="00000000">
            <w:pPr>
              <w:spacing w:after="0" w:line="240" w:lineRule="auto"/>
              <w:jc w:val="right"/>
              <w:rPr>
                <w:rFonts w:eastAsia="Arial" w:cs="Arial"/>
                <w:b/>
                <w:color w:val="5E6EC8"/>
                <w:sz w:val="17"/>
                <w:szCs w:val="17"/>
                <w:highlight w:val="yellow"/>
              </w:rPr>
            </w:pPr>
            <w:r>
              <w:rPr>
                <w:b/>
                <w:color w:val="5E6EC8"/>
                <w:sz w:val="17"/>
                <w:szCs w:val="17"/>
              </w:rPr>
              <w:t>199</w:t>
            </w:r>
          </w:p>
        </w:tc>
        <w:tc>
          <w:tcPr>
            <w:tcW w:w="850" w:type="dxa"/>
            <w:tcBorders>
              <w:top w:val="nil"/>
              <w:left w:val="nil"/>
              <w:bottom w:val="nil"/>
              <w:right w:val="nil"/>
            </w:tcBorders>
            <w:shd w:val="clear" w:color="auto" w:fill="FAFAFA"/>
            <w:vAlign w:val="center"/>
          </w:tcPr>
          <w:p w14:paraId="79CC1CA8" w14:textId="77777777" w:rsidR="009D1A60" w:rsidRDefault="00000000">
            <w:pPr>
              <w:spacing w:after="0" w:line="240" w:lineRule="auto"/>
              <w:jc w:val="right"/>
              <w:rPr>
                <w:rFonts w:eastAsia="Arial" w:cs="Arial"/>
                <w:b/>
                <w:color w:val="5E6EC8"/>
                <w:sz w:val="17"/>
                <w:szCs w:val="17"/>
                <w:highlight w:val="yellow"/>
              </w:rPr>
            </w:pPr>
            <w:r>
              <w:rPr>
                <w:b/>
                <w:color w:val="5E6EC8"/>
                <w:sz w:val="17"/>
                <w:szCs w:val="17"/>
              </w:rPr>
              <w:t>8 877</w:t>
            </w:r>
          </w:p>
        </w:tc>
      </w:tr>
    </w:tbl>
    <w:p w14:paraId="598A395E" w14:textId="77777777" w:rsidR="009D1A60" w:rsidRDefault="009D1A60"/>
    <w:p w14:paraId="26C7A537" w14:textId="77777777" w:rsidR="009D1A60" w:rsidRDefault="00000000">
      <w:r>
        <w:t>Additional information in Note 4.</w:t>
      </w:r>
      <w:bookmarkStart w:id="19" w:name="bookmark=id.3whwml4" w:colFirst="0" w:colLast="0"/>
      <w:bookmarkEnd w:id="19"/>
    </w:p>
    <w:p w14:paraId="5419EF31" w14:textId="77777777" w:rsidR="009D1A60" w:rsidRDefault="00000000">
      <w:pPr>
        <w:spacing w:line="259" w:lineRule="auto"/>
        <w:jc w:val="left"/>
      </w:pPr>
      <w:r>
        <w:br w:type="page"/>
      </w:r>
    </w:p>
    <w:p w14:paraId="01FA1E32" w14:textId="77777777" w:rsidR="009D1A60" w:rsidRDefault="00000000">
      <w:pPr>
        <w:pStyle w:val="Heading2"/>
      </w:pPr>
      <w:bookmarkStart w:id="20" w:name="_Toc112873381"/>
      <w:r>
        <w:lastRenderedPageBreak/>
        <w:t>Notes to the Interim Report</w:t>
      </w:r>
      <w:bookmarkEnd w:id="20"/>
    </w:p>
    <w:p w14:paraId="73650D26" w14:textId="77777777" w:rsidR="009D1A60" w:rsidRDefault="00000000">
      <w:pPr>
        <w:pStyle w:val="Heading3"/>
        <w:numPr>
          <w:ilvl w:val="0"/>
          <w:numId w:val="1"/>
        </w:numPr>
        <w:ind w:hanging="360"/>
      </w:pPr>
      <w:bookmarkStart w:id="21" w:name="_Toc112873382"/>
      <w:r>
        <w:t>Summary of Material Accounting Policies</w:t>
      </w:r>
      <w:bookmarkEnd w:id="21"/>
    </w:p>
    <w:p w14:paraId="06B6525D" w14:textId="77777777" w:rsidR="009D1A60" w:rsidRDefault="00000000">
      <w:pPr>
        <w:rPr>
          <w:color w:val="000000"/>
        </w:rPr>
      </w:pPr>
      <w:r>
        <w:rPr>
          <w:color w:val="000000"/>
        </w:rPr>
        <w:t xml:space="preserve">AS </w:t>
      </w:r>
      <w:proofErr w:type="spellStart"/>
      <w:r>
        <w:rPr>
          <w:color w:val="000000"/>
        </w:rPr>
        <w:t>PRFoods</w:t>
      </w:r>
      <w:proofErr w:type="spellEnd"/>
      <w:r>
        <w:rPr>
          <w:color w:val="000000"/>
        </w:rPr>
        <w:t xml:space="preserve"> is a company incorporated in Estonia. The interim financial statements compiled as per </w:t>
      </w:r>
      <w:r>
        <w:t>30.06.2022</w:t>
      </w:r>
      <w:r>
        <w:rPr>
          <w:color w:val="000000"/>
        </w:rPr>
        <w:t xml:space="preserve"> incorporate results of AS </w:t>
      </w:r>
      <w:proofErr w:type="spellStart"/>
      <w:r>
        <w:rPr>
          <w:color w:val="000000"/>
        </w:rPr>
        <w:t>PRFoods</w:t>
      </w:r>
      <w:proofErr w:type="spellEnd"/>
      <w:r>
        <w:rPr>
          <w:color w:val="000000"/>
        </w:rPr>
        <w:t xml:space="preserve"> (hereinafter Parent Company) and companies directly and indirectly held by it: </w:t>
      </w:r>
      <w:proofErr w:type="spellStart"/>
      <w:r>
        <w:rPr>
          <w:color w:val="000000"/>
        </w:rPr>
        <w:t>Saaremere</w:t>
      </w:r>
      <w:proofErr w:type="spellEnd"/>
      <w:r>
        <w:rPr>
          <w:color w:val="000000"/>
        </w:rPr>
        <w:t xml:space="preserve"> Kala AS. </w:t>
      </w:r>
      <w:proofErr w:type="spellStart"/>
      <w:r>
        <w:rPr>
          <w:color w:val="000000"/>
        </w:rPr>
        <w:t>Redstorm</w:t>
      </w:r>
      <w:proofErr w:type="spellEnd"/>
      <w:r>
        <w:rPr>
          <w:color w:val="000000"/>
        </w:rPr>
        <w:t xml:space="preserve"> OÜ and </w:t>
      </w:r>
      <w:proofErr w:type="spellStart"/>
      <w:r>
        <w:rPr>
          <w:color w:val="000000"/>
        </w:rPr>
        <w:t>Saare</w:t>
      </w:r>
      <w:proofErr w:type="spellEnd"/>
      <w:r>
        <w:rPr>
          <w:color w:val="000000"/>
        </w:rPr>
        <w:t xml:space="preserve"> Kala </w:t>
      </w:r>
      <w:proofErr w:type="spellStart"/>
      <w:r>
        <w:rPr>
          <w:color w:val="000000"/>
        </w:rPr>
        <w:t>Tootmine</w:t>
      </w:r>
      <w:proofErr w:type="spellEnd"/>
      <w:r>
        <w:rPr>
          <w:color w:val="000000"/>
        </w:rPr>
        <w:t xml:space="preserve"> OÜ in Estonia. </w:t>
      </w:r>
      <w:proofErr w:type="spellStart"/>
      <w:r>
        <w:rPr>
          <w:color w:val="000000"/>
        </w:rPr>
        <w:t>Heimon</w:t>
      </w:r>
      <w:proofErr w:type="spellEnd"/>
      <w:r>
        <w:rPr>
          <w:color w:val="000000"/>
        </w:rPr>
        <w:t xml:space="preserve"> Kala Oy in Finland (01.07.21-28.02.22). </w:t>
      </w:r>
      <w:proofErr w:type="spellStart"/>
      <w:r>
        <w:rPr>
          <w:color w:val="000000"/>
        </w:rPr>
        <w:t>Överumans</w:t>
      </w:r>
      <w:proofErr w:type="spellEnd"/>
      <w:r>
        <w:rPr>
          <w:color w:val="000000"/>
        </w:rPr>
        <w:t xml:space="preserve"> Fisk AB in Sweden. and JRJ &amp; PRF Ltd. John Ross Jr (Aberdeen) Ltd. </w:t>
      </w:r>
      <w:proofErr w:type="spellStart"/>
      <w:r>
        <w:rPr>
          <w:color w:val="000000"/>
        </w:rPr>
        <w:t>Coln</w:t>
      </w:r>
      <w:proofErr w:type="spellEnd"/>
      <w:r>
        <w:rPr>
          <w:color w:val="000000"/>
        </w:rPr>
        <w:t xml:space="preserve"> Valley Smokery Ltd in the United Kingdom (hereinafter also referred to as the Group). The Group has a stake in associate companies: Competence </w:t>
      </w:r>
      <w:proofErr w:type="spellStart"/>
      <w:r>
        <w:rPr>
          <w:color w:val="000000"/>
        </w:rPr>
        <w:t>Center</w:t>
      </w:r>
      <w:proofErr w:type="spellEnd"/>
      <w:r>
        <w:rPr>
          <w:color w:val="000000"/>
        </w:rPr>
        <w:t xml:space="preserve"> of Food and Fermentation Technologies AS and </w:t>
      </w:r>
      <w:proofErr w:type="spellStart"/>
      <w:r>
        <w:rPr>
          <w:color w:val="000000"/>
        </w:rPr>
        <w:t>Avamere</w:t>
      </w:r>
      <w:proofErr w:type="spellEnd"/>
      <w:r>
        <w:rPr>
          <w:color w:val="000000"/>
        </w:rPr>
        <w:t xml:space="preserve"> </w:t>
      </w:r>
      <w:proofErr w:type="spellStart"/>
      <w:r>
        <w:rPr>
          <w:color w:val="000000"/>
        </w:rPr>
        <w:t>Kalakasvatus</w:t>
      </w:r>
      <w:proofErr w:type="spellEnd"/>
      <w:r>
        <w:rPr>
          <w:color w:val="000000"/>
        </w:rPr>
        <w:t xml:space="preserve"> OÜ. JRJ &amp; PRF Ltd. John Ross Jr (Aberdeen) Ltd. </w:t>
      </w:r>
      <w:proofErr w:type="spellStart"/>
      <w:r>
        <w:rPr>
          <w:color w:val="000000"/>
        </w:rPr>
        <w:t>Coln</w:t>
      </w:r>
      <w:proofErr w:type="spellEnd"/>
      <w:r>
        <w:rPr>
          <w:color w:val="000000"/>
        </w:rPr>
        <w:t xml:space="preserve"> Valley Smokery Ltd are consolidated from 01.07.2017 and </w:t>
      </w:r>
      <w:proofErr w:type="spellStart"/>
      <w:r>
        <w:rPr>
          <w:color w:val="000000"/>
        </w:rPr>
        <w:t>Redstorm</w:t>
      </w:r>
      <w:proofErr w:type="spellEnd"/>
      <w:r>
        <w:rPr>
          <w:color w:val="000000"/>
        </w:rPr>
        <w:t xml:space="preserve"> OÜ from 01.07.2018. AS </w:t>
      </w:r>
      <w:proofErr w:type="spellStart"/>
      <w:r>
        <w:rPr>
          <w:color w:val="000000"/>
        </w:rPr>
        <w:t>PRFoods</w:t>
      </w:r>
      <w:proofErr w:type="spellEnd"/>
      <w:r>
        <w:rPr>
          <w:color w:val="000000"/>
        </w:rPr>
        <w:t>’ shares are listed on Nasdaq Tallinn Stock Exchange since 5 May 2010 and the bonds since 6 April 2020.</w:t>
      </w:r>
    </w:p>
    <w:p w14:paraId="1B825F07" w14:textId="77777777" w:rsidR="009D1A60" w:rsidRDefault="00000000">
      <w:r>
        <w:rPr>
          <w:color w:val="000000"/>
        </w:rPr>
        <w:t xml:space="preserve">The Group’s consolidated audited annual report for the financial year that ended on 30 June 2021 is available on </w:t>
      </w:r>
      <w:proofErr w:type="spellStart"/>
      <w:r>
        <w:rPr>
          <w:color w:val="000000"/>
        </w:rPr>
        <w:t>PRFoods</w:t>
      </w:r>
      <w:proofErr w:type="spellEnd"/>
      <w:r>
        <w:rPr>
          <w:color w:val="000000"/>
        </w:rPr>
        <w:t xml:space="preserve">’ </w:t>
      </w:r>
      <w:r>
        <w:t xml:space="preserve">website </w:t>
      </w:r>
      <w:hyperlink r:id="rId37">
        <w:r>
          <w:t>www.prfoods.ee</w:t>
        </w:r>
      </w:hyperlink>
      <w:r>
        <w:t>.</w:t>
      </w:r>
    </w:p>
    <w:p w14:paraId="73844D95" w14:textId="77777777" w:rsidR="009D1A60" w:rsidRDefault="00000000" w:rsidP="00FE2B47">
      <w:pPr>
        <w:pStyle w:val="ENGNormalcapslilla"/>
      </w:pPr>
      <w:r>
        <w:t>Confirmation of Compliance</w:t>
      </w:r>
    </w:p>
    <w:p w14:paraId="35A13641" w14:textId="77777777" w:rsidR="009D1A60" w:rsidRDefault="00000000">
      <w:pPr>
        <w:rPr>
          <w:color w:val="000000"/>
        </w:rPr>
      </w:pPr>
      <w:r>
        <w:rPr>
          <w:color w:val="000000"/>
        </w:rPr>
        <w:t xml:space="preserve">The current unaudited consolidated interim report complies with the requirements of international accounting standards IAS 34 “Interim Financial Reporting” on condensed interim financial statements. </w:t>
      </w:r>
    </w:p>
    <w:p w14:paraId="04AB2F76" w14:textId="77777777" w:rsidR="009D1A60" w:rsidRDefault="00000000">
      <w:pPr>
        <w:rPr>
          <w:color w:val="000000"/>
        </w:rPr>
      </w:pPr>
      <w:r>
        <w:rPr>
          <w:color w:val="000000"/>
        </w:rPr>
        <w:t>While preparing the interim report at hand the same accounting principles as in the audited annual report for the financial year ended on 30.06.2021 were applied. The report does not hold all the information that shall be presented in a full annual report. It should thus be read together with the Group’s audited consolidated annual report for the financial year that ended on 30.06.2021 compiled in accordance with the international finance reporting standards (IFRS) as adopted by the European Union.</w:t>
      </w:r>
    </w:p>
    <w:p w14:paraId="36487F29" w14:textId="77777777" w:rsidR="009D1A60" w:rsidRDefault="00000000">
      <w:pPr>
        <w:rPr>
          <w:color w:val="000000"/>
        </w:rPr>
      </w:pPr>
      <w:r>
        <w:rPr>
          <w:color w:val="000000"/>
        </w:rPr>
        <w:t xml:space="preserve">In the opinion of the management this interim report for the </w:t>
      </w:r>
      <w:r>
        <w:t>12</w:t>
      </w:r>
      <w:r>
        <w:rPr>
          <w:color w:val="000000"/>
        </w:rPr>
        <w:t xml:space="preserve"> months of the financial year </w:t>
      </w:r>
      <w:r>
        <w:t>2021/2022</w:t>
      </w:r>
      <w:r>
        <w:rPr>
          <w:color w:val="000000"/>
        </w:rPr>
        <w:t xml:space="preserve"> of AS </w:t>
      </w:r>
      <w:proofErr w:type="spellStart"/>
      <w:r>
        <w:rPr>
          <w:color w:val="000000"/>
        </w:rPr>
        <w:t>PRFoods</w:t>
      </w:r>
      <w:proofErr w:type="spellEnd"/>
      <w:r>
        <w:rPr>
          <w:color w:val="000000"/>
        </w:rPr>
        <w:t xml:space="preserve"> presents correctly and fairly the financial results of the Group as a going concern. The current interim report is neither audited nor reviewed by auditors in any other way and contains only the consolidated reports of the Group.</w:t>
      </w:r>
    </w:p>
    <w:p w14:paraId="164311B4" w14:textId="77777777" w:rsidR="009D1A60" w:rsidRDefault="00000000" w:rsidP="00FE2B47">
      <w:pPr>
        <w:pStyle w:val="ENGNormalcapslilla"/>
      </w:pPr>
      <w:r>
        <w:t>Basis of Preparation</w:t>
      </w:r>
    </w:p>
    <w:p w14:paraId="260AD6A5" w14:textId="77777777" w:rsidR="009D1A60" w:rsidRDefault="00000000">
      <w:pPr>
        <w:rPr>
          <w:color w:val="000000"/>
        </w:rPr>
      </w:pPr>
      <w:r>
        <w:rPr>
          <w:color w:val="000000"/>
        </w:rPr>
        <w:t>The functional currency is euro. The consolidated interim report is presented in thousands of euros and all numerical indicators have been rounded to the nearest thousand. if not indicated otherwise. In the report. thousand euros is indicated as EUR ‘000.</w:t>
      </w:r>
    </w:p>
    <w:p w14:paraId="08D950E3" w14:textId="77777777" w:rsidR="009D1A60" w:rsidRDefault="009D1A60"/>
    <w:p w14:paraId="1400B8E2" w14:textId="77777777" w:rsidR="009D1A60" w:rsidRDefault="00000000">
      <w:pPr>
        <w:pStyle w:val="Heading3"/>
        <w:numPr>
          <w:ilvl w:val="0"/>
          <w:numId w:val="1"/>
        </w:numPr>
        <w:ind w:hanging="360"/>
      </w:pPr>
      <w:bookmarkStart w:id="22" w:name="_Toc112873383"/>
      <w:r>
        <w:t>Cash and Cash Equivalents</w:t>
      </w:r>
      <w:bookmarkEnd w:id="22"/>
    </w:p>
    <w:tbl>
      <w:tblPr>
        <w:tblStyle w:val="af0"/>
        <w:tblW w:w="9634" w:type="dxa"/>
        <w:tblLayout w:type="fixed"/>
        <w:tblLook w:val="0400" w:firstRow="0" w:lastRow="0" w:firstColumn="0" w:lastColumn="0" w:noHBand="0" w:noVBand="1"/>
      </w:tblPr>
      <w:tblGrid>
        <w:gridCol w:w="6374"/>
        <w:gridCol w:w="1559"/>
        <w:gridCol w:w="1701"/>
      </w:tblGrid>
      <w:tr w:rsidR="009D1A60" w14:paraId="1FC06849" w14:textId="77777777">
        <w:trPr>
          <w:trHeight w:val="345"/>
        </w:trPr>
        <w:tc>
          <w:tcPr>
            <w:tcW w:w="637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7AC17437"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EUR '000</w:t>
            </w:r>
          </w:p>
        </w:tc>
        <w:tc>
          <w:tcPr>
            <w:tcW w:w="1559" w:type="dxa"/>
            <w:tcBorders>
              <w:top w:val="single" w:sz="4" w:space="0" w:color="FFFFFF"/>
              <w:left w:val="nil"/>
              <w:bottom w:val="single" w:sz="4" w:space="0" w:color="FFFFFF"/>
              <w:right w:val="single" w:sz="4" w:space="0" w:color="FFFFFF"/>
            </w:tcBorders>
            <w:shd w:val="clear" w:color="auto" w:fill="363270"/>
            <w:vAlign w:val="center"/>
          </w:tcPr>
          <w:p w14:paraId="6A945212" w14:textId="77777777" w:rsidR="009D1A60" w:rsidRDefault="00000000">
            <w:pPr>
              <w:spacing w:after="0" w:line="240" w:lineRule="auto"/>
              <w:jc w:val="right"/>
              <w:rPr>
                <w:rFonts w:eastAsia="Arial" w:cs="Arial"/>
                <w:color w:val="FFFFFF"/>
                <w:sz w:val="17"/>
                <w:szCs w:val="17"/>
              </w:rPr>
            </w:pPr>
            <w:r>
              <w:rPr>
                <w:color w:val="FFFFFF"/>
                <w:sz w:val="17"/>
                <w:szCs w:val="17"/>
              </w:rPr>
              <w:t>30.06.2022</w:t>
            </w:r>
          </w:p>
        </w:tc>
        <w:tc>
          <w:tcPr>
            <w:tcW w:w="1701" w:type="dxa"/>
            <w:tcBorders>
              <w:top w:val="single" w:sz="4" w:space="0" w:color="FFFFFF"/>
              <w:left w:val="nil"/>
              <w:bottom w:val="single" w:sz="4" w:space="0" w:color="FFFFFF"/>
              <w:right w:val="single" w:sz="4" w:space="0" w:color="FFFFFF"/>
            </w:tcBorders>
            <w:shd w:val="clear" w:color="auto" w:fill="363270"/>
            <w:vAlign w:val="center"/>
          </w:tcPr>
          <w:p w14:paraId="571D728D" w14:textId="77777777" w:rsidR="009D1A60" w:rsidRDefault="00000000">
            <w:pPr>
              <w:spacing w:after="0" w:line="240" w:lineRule="auto"/>
              <w:jc w:val="right"/>
              <w:rPr>
                <w:rFonts w:eastAsia="Arial" w:cs="Arial"/>
                <w:color w:val="FFFFFF"/>
                <w:sz w:val="17"/>
                <w:szCs w:val="17"/>
              </w:rPr>
            </w:pPr>
            <w:r>
              <w:rPr>
                <w:color w:val="FFFFFF"/>
                <w:sz w:val="17"/>
                <w:szCs w:val="17"/>
              </w:rPr>
              <w:t>30.06.2021</w:t>
            </w:r>
          </w:p>
        </w:tc>
      </w:tr>
      <w:tr w:rsidR="009D1A60" w14:paraId="3C146DA1" w14:textId="77777777">
        <w:trPr>
          <w:trHeight w:val="345"/>
        </w:trPr>
        <w:tc>
          <w:tcPr>
            <w:tcW w:w="6374" w:type="dxa"/>
            <w:tcBorders>
              <w:top w:val="nil"/>
              <w:left w:val="single" w:sz="4" w:space="0" w:color="FFFFFF"/>
              <w:bottom w:val="single" w:sz="4" w:space="0" w:color="FFFFFF"/>
              <w:right w:val="single" w:sz="4" w:space="0" w:color="FFFFFF"/>
            </w:tcBorders>
            <w:shd w:val="clear" w:color="auto" w:fill="FAFAFA"/>
            <w:vAlign w:val="center"/>
          </w:tcPr>
          <w:p w14:paraId="336D82ED" w14:textId="77777777" w:rsidR="009D1A60" w:rsidRDefault="00000000">
            <w:pPr>
              <w:spacing w:after="0" w:line="240" w:lineRule="auto"/>
              <w:jc w:val="left"/>
              <w:rPr>
                <w:rFonts w:eastAsia="Arial" w:cs="Arial"/>
                <w:sz w:val="17"/>
                <w:szCs w:val="17"/>
              </w:rPr>
            </w:pPr>
            <w:r>
              <w:rPr>
                <w:rFonts w:eastAsia="Arial" w:cs="Arial"/>
                <w:sz w:val="17"/>
                <w:szCs w:val="17"/>
              </w:rPr>
              <w:t>Cash on hand</w:t>
            </w:r>
          </w:p>
        </w:tc>
        <w:tc>
          <w:tcPr>
            <w:tcW w:w="1559" w:type="dxa"/>
            <w:tcBorders>
              <w:top w:val="nil"/>
              <w:left w:val="nil"/>
              <w:bottom w:val="single" w:sz="4" w:space="0" w:color="FFFFFF"/>
              <w:right w:val="single" w:sz="4" w:space="0" w:color="FFFFFF"/>
            </w:tcBorders>
            <w:shd w:val="clear" w:color="auto" w:fill="FAFAFA"/>
            <w:vAlign w:val="center"/>
          </w:tcPr>
          <w:p w14:paraId="0B447FBD" w14:textId="77777777" w:rsidR="009D1A60" w:rsidRDefault="00000000">
            <w:pPr>
              <w:spacing w:after="0" w:line="240" w:lineRule="auto"/>
              <w:jc w:val="right"/>
              <w:rPr>
                <w:sz w:val="17"/>
                <w:szCs w:val="17"/>
              </w:rPr>
            </w:pPr>
            <w:r>
              <w:rPr>
                <w:sz w:val="17"/>
                <w:szCs w:val="17"/>
              </w:rPr>
              <w:t>1</w:t>
            </w:r>
          </w:p>
        </w:tc>
        <w:tc>
          <w:tcPr>
            <w:tcW w:w="1701" w:type="dxa"/>
            <w:tcBorders>
              <w:top w:val="nil"/>
              <w:left w:val="nil"/>
              <w:bottom w:val="single" w:sz="4" w:space="0" w:color="FFFFFF"/>
              <w:right w:val="single" w:sz="4" w:space="0" w:color="FFFFFF"/>
            </w:tcBorders>
            <w:shd w:val="clear" w:color="auto" w:fill="FAFAFA"/>
            <w:vAlign w:val="center"/>
          </w:tcPr>
          <w:p w14:paraId="5DE52DA1" w14:textId="77777777" w:rsidR="009D1A60" w:rsidRDefault="00000000">
            <w:pPr>
              <w:spacing w:after="0" w:line="240" w:lineRule="auto"/>
              <w:jc w:val="right"/>
              <w:rPr>
                <w:sz w:val="17"/>
                <w:szCs w:val="17"/>
              </w:rPr>
            </w:pPr>
            <w:r>
              <w:rPr>
                <w:sz w:val="17"/>
                <w:szCs w:val="17"/>
              </w:rPr>
              <w:t>14</w:t>
            </w:r>
          </w:p>
        </w:tc>
      </w:tr>
      <w:tr w:rsidR="009D1A60" w14:paraId="657A6CCB" w14:textId="77777777">
        <w:trPr>
          <w:trHeight w:val="345"/>
        </w:trPr>
        <w:tc>
          <w:tcPr>
            <w:tcW w:w="6374" w:type="dxa"/>
            <w:tcBorders>
              <w:top w:val="nil"/>
              <w:left w:val="single" w:sz="4" w:space="0" w:color="FFFFFF"/>
              <w:bottom w:val="single" w:sz="4" w:space="0" w:color="FFFFFF"/>
              <w:right w:val="single" w:sz="4" w:space="0" w:color="FFFFFF"/>
            </w:tcBorders>
            <w:shd w:val="clear" w:color="auto" w:fill="FAFAFA"/>
            <w:vAlign w:val="center"/>
          </w:tcPr>
          <w:p w14:paraId="76BE81CB" w14:textId="77777777" w:rsidR="009D1A60" w:rsidRDefault="00000000">
            <w:pPr>
              <w:spacing w:after="0" w:line="240" w:lineRule="auto"/>
              <w:jc w:val="left"/>
              <w:rPr>
                <w:rFonts w:eastAsia="Arial" w:cs="Arial"/>
                <w:sz w:val="17"/>
                <w:szCs w:val="17"/>
              </w:rPr>
            </w:pPr>
            <w:r>
              <w:rPr>
                <w:rFonts w:eastAsia="Arial" w:cs="Arial"/>
                <w:sz w:val="17"/>
                <w:szCs w:val="17"/>
              </w:rPr>
              <w:t>Bank accounts</w:t>
            </w:r>
          </w:p>
        </w:tc>
        <w:tc>
          <w:tcPr>
            <w:tcW w:w="1559" w:type="dxa"/>
            <w:tcBorders>
              <w:top w:val="nil"/>
              <w:left w:val="nil"/>
              <w:bottom w:val="single" w:sz="4" w:space="0" w:color="FFFFFF"/>
              <w:right w:val="single" w:sz="4" w:space="0" w:color="FFFFFF"/>
            </w:tcBorders>
            <w:shd w:val="clear" w:color="auto" w:fill="FAFAFA"/>
            <w:vAlign w:val="center"/>
          </w:tcPr>
          <w:p w14:paraId="05862D74" w14:textId="77777777" w:rsidR="009D1A60" w:rsidRDefault="00000000">
            <w:pPr>
              <w:spacing w:after="0" w:line="240" w:lineRule="auto"/>
              <w:jc w:val="right"/>
              <w:rPr>
                <w:sz w:val="17"/>
                <w:szCs w:val="17"/>
              </w:rPr>
            </w:pPr>
            <w:r>
              <w:rPr>
                <w:sz w:val="17"/>
                <w:szCs w:val="17"/>
              </w:rPr>
              <w:t>117</w:t>
            </w:r>
          </w:p>
        </w:tc>
        <w:tc>
          <w:tcPr>
            <w:tcW w:w="1701" w:type="dxa"/>
            <w:tcBorders>
              <w:top w:val="nil"/>
              <w:left w:val="nil"/>
              <w:bottom w:val="single" w:sz="4" w:space="0" w:color="FFFFFF"/>
              <w:right w:val="single" w:sz="4" w:space="0" w:color="FFFFFF"/>
            </w:tcBorders>
            <w:shd w:val="clear" w:color="auto" w:fill="FAFAFA"/>
            <w:vAlign w:val="center"/>
          </w:tcPr>
          <w:p w14:paraId="078A736A" w14:textId="77777777" w:rsidR="009D1A60" w:rsidRDefault="00000000">
            <w:pPr>
              <w:spacing w:after="0" w:line="240" w:lineRule="auto"/>
              <w:jc w:val="right"/>
              <w:rPr>
                <w:sz w:val="17"/>
                <w:szCs w:val="17"/>
              </w:rPr>
            </w:pPr>
            <w:r>
              <w:rPr>
                <w:sz w:val="17"/>
                <w:szCs w:val="17"/>
              </w:rPr>
              <w:t>2 486</w:t>
            </w:r>
          </w:p>
        </w:tc>
      </w:tr>
      <w:tr w:rsidR="009D1A60" w14:paraId="68B51F4A" w14:textId="77777777">
        <w:trPr>
          <w:trHeight w:val="345"/>
        </w:trPr>
        <w:tc>
          <w:tcPr>
            <w:tcW w:w="6374" w:type="dxa"/>
            <w:tcBorders>
              <w:top w:val="nil"/>
              <w:left w:val="single" w:sz="4" w:space="0" w:color="FFFFFF"/>
              <w:bottom w:val="single" w:sz="4" w:space="0" w:color="FFFFFF"/>
              <w:right w:val="single" w:sz="4" w:space="0" w:color="FFFFFF"/>
            </w:tcBorders>
            <w:shd w:val="clear" w:color="auto" w:fill="FAFAFA"/>
            <w:vAlign w:val="center"/>
          </w:tcPr>
          <w:p w14:paraId="24AC85EF" w14:textId="77777777" w:rsidR="009D1A60" w:rsidRDefault="00000000">
            <w:pPr>
              <w:spacing w:after="0" w:line="240" w:lineRule="auto"/>
              <w:jc w:val="left"/>
              <w:rPr>
                <w:rFonts w:eastAsia="Arial" w:cs="Arial"/>
                <w:color w:val="5E6EC8"/>
                <w:sz w:val="17"/>
                <w:szCs w:val="17"/>
              </w:rPr>
            </w:pPr>
            <w:r>
              <w:rPr>
                <w:rFonts w:eastAsia="Arial" w:cs="Arial"/>
                <w:color w:val="5E6EC8"/>
                <w:sz w:val="17"/>
                <w:szCs w:val="17"/>
              </w:rPr>
              <w:t>Total cash and cash equivalents</w:t>
            </w:r>
          </w:p>
        </w:tc>
        <w:tc>
          <w:tcPr>
            <w:tcW w:w="1559" w:type="dxa"/>
            <w:tcBorders>
              <w:top w:val="nil"/>
              <w:left w:val="nil"/>
              <w:bottom w:val="single" w:sz="4" w:space="0" w:color="FFFFFF"/>
              <w:right w:val="single" w:sz="4" w:space="0" w:color="FFFFFF"/>
            </w:tcBorders>
            <w:shd w:val="clear" w:color="auto" w:fill="FAFAFA"/>
            <w:vAlign w:val="center"/>
          </w:tcPr>
          <w:p w14:paraId="099AE1AB" w14:textId="77777777" w:rsidR="009D1A60" w:rsidRDefault="00000000">
            <w:pPr>
              <w:spacing w:after="0" w:line="240" w:lineRule="auto"/>
              <w:jc w:val="right"/>
              <w:rPr>
                <w:color w:val="5E6EC8"/>
                <w:sz w:val="17"/>
                <w:szCs w:val="17"/>
              </w:rPr>
            </w:pPr>
            <w:r>
              <w:rPr>
                <w:color w:val="5E6EC8"/>
                <w:sz w:val="17"/>
                <w:szCs w:val="17"/>
              </w:rPr>
              <w:t>118</w:t>
            </w:r>
          </w:p>
        </w:tc>
        <w:tc>
          <w:tcPr>
            <w:tcW w:w="1701" w:type="dxa"/>
            <w:tcBorders>
              <w:top w:val="nil"/>
              <w:left w:val="nil"/>
              <w:bottom w:val="single" w:sz="4" w:space="0" w:color="FFFFFF"/>
              <w:right w:val="single" w:sz="4" w:space="0" w:color="FFFFFF"/>
            </w:tcBorders>
            <w:shd w:val="clear" w:color="auto" w:fill="FAFAFA"/>
            <w:vAlign w:val="center"/>
          </w:tcPr>
          <w:p w14:paraId="15D0074F" w14:textId="77777777" w:rsidR="009D1A60" w:rsidRDefault="00000000">
            <w:pPr>
              <w:spacing w:after="0" w:line="240" w:lineRule="auto"/>
              <w:jc w:val="right"/>
              <w:rPr>
                <w:color w:val="5E6EC8"/>
                <w:sz w:val="17"/>
                <w:szCs w:val="17"/>
              </w:rPr>
            </w:pPr>
            <w:r>
              <w:rPr>
                <w:color w:val="5E6EC8"/>
                <w:sz w:val="17"/>
                <w:szCs w:val="17"/>
              </w:rPr>
              <w:t>2 500</w:t>
            </w:r>
          </w:p>
        </w:tc>
      </w:tr>
    </w:tbl>
    <w:p w14:paraId="077E3F90" w14:textId="77777777" w:rsidR="009D1A60" w:rsidRDefault="009D1A60">
      <w:pPr>
        <w:spacing w:after="0" w:line="240" w:lineRule="auto"/>
        <w:jc w:val="left"/>
      </w:pPr>
    </w:p>
    <w:p w14:paraId="11593D73" w14:textId="77777777" w:rsidR="009D1A60" w:rsidRDefault="009D1A60">
      <w:pPr>
        <w:spacing w:after="0" w:line="240" w:lineRule="auto"/>
        <w:jc w:val="left"/>
      </w:pPr>
    </w:p>
    <w:p w14:paraId="279718DB" w14:textId="77777777" w:rsidR="009D1A60" w:rsidRDefault="009D1A60">
      <w:pPr>
        <w:spacing w:after="0" w:line="240" w:lineRule="auto"/>
        <w:jc w:val="left"/>
      </w:pPr>
    </w:p>
    <w:p w14:paraId="6AA14640" w14:textId="77777777" w:rsidR="009D1A60" w:rsidRDefault="009D1A60">
      <w:pPr>
        <w:spacing w:after="0" w:line="240" w:lineRule="auto"/>
        <w:jc w:val="left"/>
      </w:pPr>
    </w:p>
    <w:p w14:paraId="4810E409" w14:textId="77777777" w:rsidR="009D1A60" w:rsidRDefault="009D1A60">
      <w:pPr>
        <w:spacing w:after="0" w:line="240" w:lineRule="auto"/>
        <w:jc w:val="left"/>
      </w:pPr>
    </w:p>
    <w:p w14:paraId="4B08FE7E" w14:textId="77777777" w:rsidR="009D1A60" w:rsidRDefault="009D1A60">
      <w:pPr>
        <w:spacing w:after="0" w:line="240" w:lineRule="auto"/>
        <w:jc w:val="left"/>
      </w:pPr>
    </w:p>
    <w:p w14:paraId="3317FDB8" w14:textId="2741F48A" w:rsidR="009D1A60" w:rsidRDefault="009D1A60">
      <w:pPr>
        <w:spacing w:after="0" w:line="240" w:lineRule="auto"/>
        <w:jc w:val="left"/>
      </w:pPr>
    </w:p>
    <w:p w14:paraId="284F1CB0" w14:textId="77777777" w:rsidR="00FE2B47" w:rsidRDefault="00FE2B47">
      <w:pPr>
        <w:spacing w:after="0" w:line="240" w:lineRule="auto"/>
        <w:jc w:val="left"/>
      </w:pPr>
    </w:p>
    <w:p w14:paraId="3A6D3C6F" w14:textId="77777777" w:rsidR="009D1A60" w:rsidRDefault="009D1A60">
      <w:pPr>
        <w:spacing w:after="0" w:line="240" w:lineRule="auto"/>
        <w:jc w:val="left"/>
      </w:pPr>
    </w:p>
    <w:p w14:paraId="0BB437D5" w14:textId="77777777" w:rsidR="009D1A60" w:rsidRDefault="00000000">
      <w:pPr>
        <w:pStyle w:val="Heading3"/>
        <w:numPr>
          <w:ilvl w:val="0"/>
          <w:numId w:val="1"/>
        </w:numPr>
        <w:ind w:hanging="360"/>
      </w:pPr>
      <w:bookmarkStart w:id="23" w:name="_Toc112873384"/>
      <w:r>
        <w:lastRenderedPageBreak/>
        <w:t>Biological Assets</w:t>
      </w:r>
      <w:bookmarkEnd w:id="23"/>
    </w:p>
    <w:tbl>
      <w:tblPr>
        <w:tblStyle w:val="af1"/>
        <w:tblW w:w="9629" w:type="dxa"/>
        <w:tblLayout w:type="fixed"/>
        <w:tblLook w:val="0400" w:firstRow="0" w:lastRow="0" w:firstColumn="0" w:lastColumn="0" w:noHBand="0" w:noVBand="1"/>
      </w:tblPr>
      <w:tblGrid>
        <w:gridCol w:w="6369"/>
        <w:gridCol w:w="1559"/>
        <w:gridCol w:w="1701"/>
      </w:tblGrid>
      <w:tr w:rsidR="009D1A60" w14:paraId="1CD4B88C" w14:textId="77777777">
        <w:trPr>
          <w:trHeight w:val="346"/>
        </w:trPr>
        <w:tc>
          <w:tcPr>
            <w:tcW w:w="6369"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1BCEA120"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EUR ’000</w:t>
            </w:r>
          </w:p>
        </w:tc>
        <w:tc>
          <w:tcPr>
            <w:tcW w:w="1559" w:type="dxa"/>
            <w:tcBorders>
              <w:top w:val="single" w:sz="8" w:space="0" w:color="FFFFFF"/>
              <w:left w:val="nil"/>
              <w:bottom w:val="single" w:sz="8" w:space="0" w:color="FFFFFF"/>
              <w:right w:val="single" w:sz="8" w:space="0" w:color="FFFFFF"/>
            </w:tcBorders>
            <w:shd w:val="clear" w:color="auto" w:fill="363270"/>
            <w:vAlign w:val="center"/>
          </w:tcPr>
          <w:p w14:paraId="61080BAF" w14:textId="77777777" w:rsidR="009D1A60" w:rsidRDefault="00000000">
            <w:pPr>
              <w:spacing w:after="0" w:line="240" w:lineRule="auto"/>
              <w:jc w:val="right"/>
              <w:rPr>
                <w:rFonts w:eastAsia="Arial" w:cs="Arial"/>
                <w:color w:val="FFFFFF"/>
                <w:sz w:val="17"/>
                <w:szCs w:val="17"/>
              </w:rPr>
            </w:pPr>
            <w:r>
              <w:rPr>
                <w:color w:val="FFFFFF"/>
                <w:sz w:val="17"/>
                <w:szCs w:val="17"/>
              </w:rPr>
              <w:t>30.06.2022</w:t>
            </w:r>
          </w:p>
        </w:tc>
        <w:tc>
          <w:tcPr>
            <w:tcW w:w="1701" w:type="dxa"/>
            <w:tcBorders>
              <w:top w:val="single" w:sz="8" w:space="0" w:color="FFFFFF"/>
              <w:left w:val="nil"/>
              <w:bottom w:val="single" w:sz="8" w:space="0" w:color="FFFFFF"/>
              <w:right w:val="single" w:sz="8" w:space="0" w:color="FFFFFF"/>
            </w:tcBorders>
            <w:shd w:val="clear" w:color="auto" w:fill="363270"/>
            <w:vAlign w:val="center"/>
          </w:tcPr>
          <w:p w14:paraId="0CB52839" w14:textId="77777777" w:rsidR="009D1A60" w:rsidRDefault="00000000">
            <w:pPr>
              <w:spacing w:after="0" w:line="240" w:lineRule="auto"/>
              <w:jc w:val="right"/>
              <w:rPr>
                <w:rFonts w:eastAsia="Arial" w:cs="Arial"/>
                <w:color w:val="FFFFFF"/>
                <w:sz w:val="17"/>
                <w:szCs w:val="17"/>
              </w:rPr>
            </w:pPr>
            <w:r>
              <w:rPr>
                <w:color w:val="FFFFFF"/>
                <w:sz w:val="17"/>
                <w:szCs w:val="17"/>
              </w:rPr>
              <w:t>30.06.2021</w:t>
            </w:r>
          </w:p>
        </w:tc>
      </w:tr>
      <w:tr w:rsidR="009D1A60" w14:paraId="54CDE710" w14:textId="77777777">
        <w:trPr>
          <w:trHeight w:val="346"/>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27B8A249"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Fry</w:t>
            </w:r>
          </w:p>
        </w:tc>
        <w:tc>
          <w:tcPr>
            <w:tcW w:w="1559" w:type="dxa"/>
            <w:tcBorders>
              <w:top w:val="nil"/>
              <w:left w:val="nil"/>
              <w:bottom w:val="single" w:sz="8" w:space="0" w:color="FFFFFF"/>
              <w:right w:val="single" w:sz="8" w:space="0" w:color="FFFFFF"/>
            </w:tcBorders>
            <w:shd w:val="clear" w:color="auto" w:fill="FAFAFA"/>
            <w:vAlign w:val="center"/>
          </w:tcPr>
          <w:p w14:paraId="713692AC" w14:textId="77777777" w:rsidR="009D1A60" w:rsidRDefault="00000000">
            <w:pPr>
              <w:spacing w:after="0" w:line="240" w:lineRule="auto"/>
              <w:jc w:val="right"/>
              <w:rPr>
                <w:sz w:val="17"/>
                <w:szCs w:val="17"/>
              </w:rPr>
            </w:pPr>
            <w:r>
              <w:rPr>
                <w:sz w:val="17"/>
                <w:szCs w:val="17"/>
              </w:rPr>
              <w:t>401</w:t>
            </w:r>
          </w:p>
        </w:tc>
        <w:tc>
          <w:tcPr>
            <w:tcW w:w="1701" w:type="dxa"/>
            <w:tcBorders>
              <w:top w:val="nil"/>
              <w:left w:val="nil"/>
              <w:bottom w:val="single" w:sz="8" w:space="0" w:color="FFFFFF"/>
              <w:right w:val="single" w:sz="8" w:space="0" w:color="FFFFFF"/>
            </w:tcBorders>
            <w:shd w:val="clear" w:color="auto" w:fill="FAFAFA"/>
            <w:vAlign w:val="center"/>
          </w:tcPr>
          <w:p w14:paraId="55A5CD9D" w14:textId="77777777" w:rsidR="009D1A60" w:rsidRDefault="00000000">
            <w:pPr>
              <w:spacing w:after="0" w:line="240" w:lineRule="auto"/>
              <w:jc w:val="right"/>
              <w:rPr>
                <w:sz w:val="17"/>
                <w:szCs w:val="17"/>
              </w:rPr>
            </w:pPr>
            <w:r>
              <w:rPr>
                <w:sz w:val="17"/>
                <w:szCs w:val="17"/>
              </w:rPr>
              <w:t>737</w:t>
            </w:r>
          </w:p>
        </w:tc>
      </w:tr>
      <w:tr w:rsidR="009D1A60" w14:paraId="69A33F62" w14:textId="77777777">
        <w:trPr>
          <w:trHeight w:val="346"/>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7A262148"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Juveniles</w:t>
            </w:r>
          </w:p>
        </w:tc>
        <w:tc>
          <w:tcPr>
            <w:tcW w:w="1559" w:type="dxa"/>
            <w:tcBorders>
              <w:top w:val="nil"/>
              <w:left w:val="nil"/>
              <w:bottom w:val="single" w:sz="8" w:space="0" w:color="FFFFFF"/>
              <w:right w:val="single" w:sz="8" w:space="0" w:color="FFFFFF"/>
            </w:tcBorders>
            <w:shd w:val="clear" w:color="auto" w:fill="FAFAFA"/>
            <w:vAlign w:val="center"/>
          </w:tcPr>
          <w:p w14:paraId="23D7CA82" w14:textId="77777777" w:rsidR="009D1A60" w:rsidRDefault="00000000">
            <w:pPr>
              <w:spacing w:after="0" w:line="240" w:lineRule="auto"/>
              <w:jc w:val="right"/>
              <w:rPr>
                <w:sz w:val="17"/>
                <w:szCs w:val="17"/>
              </w:rPr>
            </w:pPr>
            <w:r>
              <w:rPr>
                <w:sz w:val="17"/>
                <w:szCs w:val="17"/>
              </w:rPr>
              <w:t>1 448</w:t>
            </w:r>
          </w:p>
        </w:tc>
        <w:tc>
          <w:tcPr>
            <w:tcW w:w="1701" w:type="dxa"/>
            <w:tcBorders>
              <w:top w:val="nil"/>
              <w:left w:val="nil"/>
              <w:bottom w:val="single" w:sz="8" w:space="0" w:color="FFFFFF"/>
              <w:right w:val="single" w:sz="8" w:space="0" w:color="FFFFFF"/>
            </w:tcBorders>
            <w:shd w:val="clear" w:color="auto" w:fill="FAFAFA"/>
            <w:vAlign w:val="center"/>
          </w:tcPr>
          <w:p w14:paraId="2880A0BD" w14:textId="77777777" w:rsidR="009D1A60" w:rsidRDefault="00000000">
            <w:pPr>
              <w:spacing w:after="0" w:line="240" w:lineRule="auto"/>
              <w:jc w:val="right"/>
              <w:rPr>
                <w:sz w:val="17"/>
                <w:szCs w:val="17"/>
              </w:rPr>
            </w:pPr>
            <w:r>
              <w:rPr>
                <w:sz w:val="17"/>
                <w:szCs w:val="17"/>
              </w:rPr>
              <w:t>1 673</w:t>
            </w:r>
          </w:p>
        </w:tc>
      </w:tr>
      <w:tr w:rsidR="009D1A60" w14:paraId="5A7A099F" w14:textId="77777777">
        <w:trPr>
          <w:trHeight w:val="346"/>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36C392CE"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Fish suitable for harvesting</w:t>
            </w:r>
          </w:p>
        </w:tc>
        <w:tc>
          <w:tcPr>
            <w:tcW w:w="1559" w:type="dxa"/>
            <w:tcBorders>
              <w:top w:val="nil"/>
              <w:left w:val="nil"/>
              <w:bottom w:val="single" w:sz="8" w:space="0" w:color="FFFFFF"/>
              <w:right w:val="single" w:sz="8" w:space="0" w:color="FFFFFF"/>
            </w:tcBorders>
            <w:shd w:val="clear" w:color="auto" w:fill="FAFAFA"/>
            <w:vAlign w:val="center"/>
          </w:tcPr>
          <w:p w14:paraId="07E3BA83" w14:textId="77777777" w:rsidR="009D1A60" w:rsidRDefault="00000000">
            <w:pPr>
              <w:spacing w:after="0" w:line="240" w:lineRule="auto"/>
              <w:jc w:val="right"/>
              <w:rPr>
                <w:sz w:val="17"/>
                <w:szCs w:val="17"/>
              </w:rPr>
            </w:pPr>
            <w:r>
              <w:rPr>
                <w:sz w:val="17"/>
                <w:szCs w:val="17"/>
              </w:rPr>
              <w:t>1 154</w:t>
            </w:r>
          </w:p>
        </w:tc>
        <w:tc>
          <w:tcPr>
            <w:tcW w:w="1701" w:type="dxa"/>
            <w:tcBorders>
              <w:top w:val="nil"/>
              <w:left w:val="nil"/>
              <w:bottom w:val="single" w:sz="8" w:space="0" w:color="FFFFFF"/>
              <w:right w:val="single" w:sz="8" w:space="0" w:color="FFFFFF"/>
            </w:tcBorders>
            <w:shd w:val="clear" w:color="auto" w:fill="FAFAFA"/>
            <w:vAlign w:val="center"/>
          </w:tcPr>
          <w:p w14:paraId="4676E69E" w14:textId="77777777" w:rsidR="009D1A60" w:rsidRDefault="00000000">
            <w:pPr>
              <w:spacing w:after="0" w:line="240" w:lineRule="auto"/>
              <w:jc w:val="right"/>
              <w:rPr>
                <w:sz w:val="17"/>
                <w:szCs w:val="17"/>
              </w:rPr>
            </w:pPr>
            <w:r>
              <w:rPr>
                <w:sz w:val="17"/>
                <w:szCs w:val="17"/>
              </w:rPr>
              <w:t>2 385</w:t>
            </w:r>
          </w:p>
        </w:tc>
      </w:tr>
      <w:tr w:rsidR="009D1A60" w14:paraId="1748CA4F" w14:textId="77777777">
        <w:trPr>
          <w:trHeight w:val="346"/>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16D00AE1"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 biological assets</w:t>
            </w:r>
          </w:p>
        </w:tc>
        <w:tc>
          <w:tcPr>
            <w:tcW w:w="1559" w:type="dxa"/>
            <w:tcBorders>
              <w:top w:val="nil"/>
              <w:left w:val="nil"/>
              <w:bottom w:val="single" w:sz="8" w:space="0" w:color="FFFFFF"/>
              <w:right w:val="single" w:sz="8" w:space="0" w:color="FFFFFF"/>
            </w:tcBorders>
            <w:shd w:val="clear" w:color="auto" w:fill="FAFAFA"/>
            <w:vAlign w:val="center"/>
          </w:tcPr>
          <w:p w14:paraId="463E25B7" w14:textId="77777777" w:rsidR="009D1A60" w:rsidRDefault="00000000">
            <w:pPr>
              <w:spacing w:after="0" w:line="240" w:lineRule="auto"/>
              <w:jc w:val="right"/>
              <w:rPr>
                <w:b/>
                <w:color w:val="5E6EC8"/>
                <w:sz w:val="17"/>
                <w:szCs w:val="17"/>
              </w:rPr>
            </w:pPr>
            <w:r>
              <w:rPr>
                <w:b/>
                <w:color w:val="5E6EC8"/>
                <w:sz w:val="17"/>
                <w:szCs w:val="17"/>
              </w:rPr>
              <w:t>3 003</w:t>
            </w:r>
          </w:p>
        </w:tc>
        <w:tc>
          <w:tcPr>
            <w:tcW w:w="1701" w:type="dxa"/>
            <w:tcBorders>
              <w:top w:val="nil"/>
              <w:left w:val="nil"/>
              <w:bottom w:val="single" w:sz="8" w:space="0" w:color="FFFFFF"/>
              <w:right w:val="single" w:sz="8" w:space="0" w:color="FFFFFF"/>
            </w:tcBorders>
            <w:shd w:val="clear" w:color="auto" w:fill="FAFAFA"/>
            <w:vAlign w:val="center"/>
          </w:tcPr>
          <w:p w14:paraId="5939BE5D" w14:textId="77777777" w:rsidR="009D1A60" w:rsidRDefault="00000000">
            <w:pPr>
              <w:spacing w:after="0" w:line="240" w:lineRule="auto"/>
              <w:jc w:val="right"/>
              <w:rPr>
                <w:b/>
                <w:color w:val="5E6EC8"/>
                <w:sz w:val="17"/>
                <w:szCs w:val="17"/>
              </w:rPr>
            </w:pPr>
            <w:r>
              <w:rPr>
                <w:b/>
                <w:color w:val="5E6EC8"/>
                <w:sz w:val="17"/>
                <w:szCs w:val="17"/>
              </w:rPr>
              <w:t>4 795</w:t>
            </w:r>
          </w:p>
        </w:tc>
      </w:tr>
    </w:tbl>
    <w:p w14:paraId="5E85E7FA" w14:textId="77777777" w:rsidR="009D1A60" w:rsidRDefault="009D1A60"/>
    <w:p w14:paraId="52215343" w14:textId="77777777" w:rsidR="009D1A60" w:rsidRDefault="00000000">
      <w:pPr>
        <w:rPr>
          <w:b/>
          <w:color w:val="2A2441"/>
          <w:sz w:val="16"/>
          <w:szCs w:val="16"/>
        </w:rPr>
      </w:pPr>
      <w:r>
        <w:t>The Group farms in its fish farms located in Estonia and Sweden rainbow trout (</w:t>
      </w:r>
      <w:r>
        <w:rPr>
          <w:i/>
        </w:rPr>
        <w:t>Oncorhynchus mykiss</w:t>
      </w:r>
      <w:r>
        <w:t>).</w:t>
      </w:r>
    </w:p>
    <w:p w14:paraId="63840B54" w14:textId="77777777" w:rsidR="009D1A60" w:rsidRDefault="00000000" w:rsidP="00FE2B47">
      <w:pPr>
        <w:pStyle w:val="ENGNormalcapslilla"/>
      </w:pPr>
      <w:r>
        <w:t>CHANGE IN BIOLOGICAL ASSETS</w:t>
      </w:r>
    </w:p>
    <w:tbl>
      <w:tblPr>
        <w:tblStyle w:val="af2"/>
        <w:tblW w:w="9488" w:type="dxa"/>
        <w:tblLayout w:type="fixed"/>
        <w:tblLook w:val="0400" w:firstRow="0" w:lastRow="0" w:firstColumn="0" w:lastColumn="0" w:noHBand="0" w:noVBand="1"/>
      </w:tblPr>
      <w:tblGrid>
        <w:gridCol w:w="6369"/>
        <w:gridCol w:w="1559"/>
        <w:gridCol w:w="1560"/>
      </w:tblGrid>
      <w:tr w:rsidR="009D1A60" w14:paraId="59A29FFD" w14:textId="77777777">
        <w:trPr>
          <w:trHeight w:val="312"/>
        </w:trPr>
        <w:tc>
          <w:tcPr>
            <w:tcW w:w="6369"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5BB3751F"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EUR ’000</w:t>
            </w:r>
          </w:p>
        </w:tc>
        <w:tc>
          <w:tcPr>
            <w:tcW w:w="1559"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0EA11DC7" w14:textId="77777777" w:rsidR="009D1A60" w:rsidRDefault="00000000">
            <w:pPr>
              <w:spacing w:after="0" w:line="240" w:lineRule="auto"/>
              <w:jc w:val="right"/>
              <w:rPr>
                <w:rFonts w:eastAsia="Arial" w:cs="Arial"/>
                <w:color w:val="FFFFFF"/>
                <w:sz w:val="17"/>
                <w:szCs w:val="17"/>
              </w:rPr>
            </w:pPr>
            <w:r>
              <w:rPr>
                <w:rFonts w:eastAsia="Arial" w:cs="Arial"/>
                <w:color w:val="FFFFFF"/>
                <w:sz w:val="17"/>
                <w:szCs w:val="17"/>
              </w:rPr>
              <w:t>9m 2021/2022</w:t>
            </w:r>
          </w:p>
        </w:tc>
        <w:tc>
          <w:tcPr>
            <w:tcW w:w="1560" w:type="dxa"/>
            <w:tcBorders>
              <w:top w:val="single" w:sz="4" w:space="0" w:color="FFFFFF"/>
              <w:left w:val="nil"/>
              <w:bottom w:val="single" w:sz="4" w:space="0" w:color="FFFFFF"/>
              <w:right w:val="single" w:sz="4" w:space="0" w:color="FFFFFF"/>
            </w:tcBorders>
            <w:shd w:val="clear" w:color="auto" w:fill="363270"/>
            <w:vAlign w:val="center"/>
          </w:tcPr>
          <w:p w14:paraId="560003E7" w14:textId="77777777" w:rsidR="009D1A60" w:rsidRDefault="00000000">
            <w:pPr>
              <w:spacing w:after="0" w:line="240" w:lineRule="auto"/>
              <w:jc w:val="right"/>
              <w:rPr>
                <w:rFonts w:eastAsia="Arial" w:cs="Arial"/>
                <w:color w:val="FFFFFF"/>
                <w:sz w:val="17"/>
                <w:szCs w:val="17"/>
              </w:rPr>
            </w:pPr>
            <w:r>
              <w:rPr>
                <w:rFonts w:eastAsia="Arial" w:cs="Arial"/>
                <w:color w:val="FFFFFF"/>
                <w:sz w:val="17"/>
                <w:szCs w:val="17"/>
              </w:rPr>
              <w:t>9m 2020/2021</w:t>
            </w:r>
          </w:p>
        </w:tc>
      </w:tr>
      <w:tr w:rsidR="009D1A60" w14:paraId="133C67F4"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4EE09C67" w14:textId="77777777" w:rsidR="009D1A60" w:rsidRDefault="00000000">
            <w:pPr>
              <w:spacing w:after="0" w:line="240" w:lineRule="auto"/>
              <w:jc w:val="left"/>
              <w:rPr>
                <w:rFonts w:eastAsia="Arial" w:cs="Arial"/>
                <w:b/>
                <w:color w:val="5E6EC8"/>
                <w:sz w:val="16"/>
                <w:szCs w:val="16"/>
              </w:rPr>
            </w:pPr>
            <w:r>
              <w:rPr>
                <w:rFonts w:eastAsia="Arial" w:cs="Arial"/>
                <w:b/>
                <w:color w:val="5E6EC8"/>
                <w:sz w:val="16"/>
                <w:szCs w:val="16"/>
              </w:rPr>
              <w:t>Biological assets at beginning of the period</w:t>
            </w:r>
          </w:p>
        </w:tc>
        <w:tc>
          <w:tcPr>
            <w:tcW w:w="1559" w:type="dxa"/>
            <w:tcBorders>
              <w:top w:val="nil"/>
              <w:left w:val="nil"/>
              <w:bottom w:val="single" w:sz="8" w:space="0" w:color="FFFFFF"/>
              <w:right w:val="single" w:sz="8" w:space="0" w:color="FFFFFF"/>
            </w:tcBorders>
            <w:shd w:val="clear" w:color="auto" w:fill="FAFAFA"/>
            <w:vAlign w:val="center"/>
          </w:tcPr>
          <w:p w14:paraId="19DD000D" w14:textId="77777777" w:rsidR="009D1A60" w:rsidRDefault="00000000">
            <w:pPr>
              <w:spacing w:after="0" w:line="240" w:lineRule="auto"/>
              <w:jc w:val="right"/>
              <w:rPr>
                <w:b/>
                <w:color w:val="5E6EC8"/>
                <w:sz w:val="16"/>
                <w:szCs w:val="16"/>
              </w:rPr>
            </w:pPr>
            <w:r>
              <w:rPr>
                <w:b/>
                <w:color w:val="5E6EC8"/>
                <w:sz w:val="16"/>
                <w:szCs w:val="16"/>
              </w:rPr>
              <w:t>4 795</w:t>
            </w:r>
          </w:p>
        </w:tc>
        <w:tc>
          <w:tcPr>
            <w:tcW w:w="1560" w:type="dxa"/>
            <w:tcBorders>
              <w:top w:val="nil"/>
              <w:left w:val="nil"/>
              <w:bottom w:val="single" w:sz="8" w:space="0" w:color="FFFFFF"/>
              <w:right w:val="single" w:sz="8" w:space="0" w:color="FFFFFF"/>
            </w:tcBorders>
            <w:shd w:val="clear" w:color="auto" w:fill="FAFAFA"/>
            <w:vAlign w:val="center"/>
          </w:tcPr>
          <w:p w14:paraId="4E57A406" w14:textId="77777777" w:rsidR="009D1A60" w:rsidRDefault="00000000">
            <w:pPr>
              <w:spacing w:after="0" w:line="240" w:lineRule="auto"/>
              <w:jc w:val="right"/>
              <w:rPr>
                <w:b/>
                <w:color w:val="5E6EC8"/>
                <w:sz w:val="17"/>
                <w:szCs w:val="17"/>
              </w:rPr>
            </w:pPr>
            <w:r>
              <w:rPr>
                <w:b/>
                <w:color w:val="5E6EC8"/>
                <w:sz w:val="16"/>
                <w:szCs w:val="16"/>
              </w:rPr>
              <w:t>4 249</w:t>
            </w:r>
          </w:p>
        </w:tc>
      </w:tr>
      <w:tr w:rsidR="009D1A60" w14:paraId="78A2B1EE"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0F6CB317" w14:textId="77777777" w:rsidR="009D1A60" w:rsidRDefault="00000000">
            <w:pPr>
              <w:spacing w:after="0" w:line="240" w:lineRule="auto"/>
              <w:jc w:val="left"/>
              <w:rPr>
                <w:rFonts w:eastAsia="Arial" w:cs="Arial"/>
                <w:color w:val="000000"/>
                <w:sz w:val="16"/>
                <w:szCs w:val="16"/>
              </w:rPr>
            </w:pPr>
            <w:r>
              <w:rPr>
                <w:rFonts w:eastAsia="Arial" w:cs="Arial"/>
                <w:color w:val="000000"/>
                <w:sz w:val="16"/>
                <w:szCs w:val="16"/>
              </w:rPr>
              <w:t>Purchased</w:t>
            </w:r>
          </w:p>
        </w:tc>
        <w:tc>
          <w:tcPr>
            <w:tcW w:w="1559" w:type="dxa"/>
            <w:tcBorders>
              <w:top w:val="nil"/>
              <w:left w:val="nil"/>
              <w:bottom w:val="single" w:sz="8" w:space="0" w:color="FFFFFF"/>
              <w:right w:val="single" w:sz="8" w:space="0" w:color="FFFFFF"/>
            </w:tcBorders>
            <w:shd w:val="clear" w:color="auto" w:fill="FAFAFA"/>
            <w:vAlign w:val="center"/>
          </w:tcPr>
          <w:p w14:paraId="581F3CB7" w14:textId="77777777" w:rsidR="009D1A60" w:rsidRDefault="00000000">
            <w:pPr>
              <w:spacing w:after="0" w:line="240" w:lineRule="auto"/>
              <w:jc w:val="right"/>
              <w:rPr>
                <w:sz w:val="17"/>
                <w:szCs w:val="17"/>
              </w:rPr>
            </w:pPr>
            <w:r>
              <w:rPr>
                <w:sz w:val="16"/>
                <w:szCs w:val="16"/>
              </w:rPr>
              <w:t>496</w:t>
            </w:r>
          </w:p>
        </w:tc>
        <w:tc>
          <w:tcPr>
            <w:tcW w:w="1560" w:type="dxa"/>
            <w:tcBorders>
              <w:top w:val="nil"/>
              <w:left w:val="nil"/>
              <w:bottom w:val="single" w:sz="8" w:space="0" w:color="FFFFFF"/>
              <w:right w:val="single" w:sz="8" w:space="0" w:color="FFFFFF"/>
            </w:tcBorders>
            <w:shd w:val="clear" w:color="auto" w:fill="FAFAFA"/>
            <w:vAlign w:val="center"/>
          </w:tcPr>
          <w:p w14:paraId="41691DA2" w14:textId="77777777" w:rsidR="009D1A60" w:rsidRDefault="00000000">
            <w:pPr>
              <w:spacing w:after="0" w:line="240" w:lineRule="auto"/>
              <w:jc w:val="right"/>
              <w:rPr>
                <w:sz w:val="17"/>
                <w:szCs w:val="17"/>
              </w:rPr>
            </w:pPr>
            <w:r>
              <w:rPr>
                <w:sz w:val="16"/>
                <w:szCs w:val="16"/>
              </w:rPr>
              <w:t>1 195</w:t>
            </w:r>
          </w:p>
        </w:tc>
      </w:tr>
      <w:tr w:rsidR="009D1A60" w14:paraId="0F2399CB"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1490EEC0" w14:textId="77777777" w:rsidR="009D1A60" w:rsidRDefault="00000000">
            <w:pPr>
              <w:spacing w:after="0" w:line="240" w:lineRule="auto"/>
              <w:jc w:val="left"/>
              <w:rPr>
                <w:rFonts w:eastAsia="Arial" w:cs="Arial"/>
                <w:color w:val="000000"/>
                <w:sz w:val="16"/>
                <w:szCs w:val="16"/>
              </w:rPr>
            </w:pPr>
            <w:r>
              <w:rPr>
                <w:rFonts w:eastAsia="Arial" w:cs="Arial"/>
                <w:color w:val="000000"/>
                <w:sz w:val="16"/>
                <w:szCs w:val="16"/>
              </w:rPr>
              <w:t>Additions</w:t>
            </w:r>
          </w:p>
        </w:tc>
        <w:tc>
          <w:tcPr>
            <w:tcW w:w="1559" w:type="dxa"/>
            <w:tcBorders>
              <w:top w:val="nil"/>
              <w:left w:val="nil"/>
              <w:bottom w:val="single" w:sz="8" w:space="0" w:color="FFFFFF"/>
              <w:right w:val="single" w:sz="8" w:space="0" w:color="FFFFFF"/>
            </w:tcBorders>
            <w:shd w:val="clear" w:color="auto" w:fill="FAFAFA"/>
            <w:vAlign w:val="center"/>
          </w:tcPr>
          <w:p w14:paraId="1723F5D2" w14:textId="77777777" w:rsidR="009D1A60" w:rsidRDefault="00000000">
            <w:pPr>
              <w:spacing w:after="0" w:line="240" w:lineRule="auto"/>
              <w:jc w:val="right"/>
              <w:rPr>
                <w:sz w:val="17"/>
                <w:szCs w:val="17"/>
              </w:rPr>
            </w:pPr>
            <w:r>
              <w:rPr>
                <w:sz w:val="16"/>
                <w:szCs w:val="16"/>
              </w:rPr>
              <w:t>3 842</w:t>
            </w:r>
          </w:p>
        </w:tc>
        <w:tc>
          <w:tcPr>
            <w:tcW w:w="1560" w:type="dxa"/>
            <w:tcBorders>
              <w:top w:val="nil"/>
              <w:left w:val="nil"/>
              <w:bottom w:val="single" w:sz="8" w:space="0" w:color="FFFFFF"/>
              <w:right w:val="single" w:sz="8" w:space="0" w:color="FFFFFF"/>
            </w:tcBorders>
            <w:shd w:val="clear" w:color="auto" w:fill="FAFAFA"/>
            <w:vAlign w:val="center"/>
          </w:tcPr>
          <w:p w14:paraId="599A4A5C" w14:textId="77777777" w:rsidR="009D1A60" w:rsidRDefault="00000000">
            <w:pPr>
              <w:spacing w:after="0" w:line="240" w:lineRule="auto"/>
              <w:jc w:val="right"/>
              <w:rPr>
                <w:sz w:val="17"/>
                <w:szCs w:val="17"/>
              </w:rPr>
            </w:pPr>
            <w:r>
              <w:rPr>
                <w:sz w:val="16"/>
                <w:szCs w:val="16"/>
              </w:rPr>
              <w:t>5 079</w:t>
            </w:r>
          </w:p>
        </w:tc>
      </w:tr>
      <w:tr w:rsidR="009D1A60" w14:paraId="70F89280"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63CFC993" w14:textId="77777777" w:rsidR="009D1A60" w:rsidRDefault="00000000">
            <w:pPr>
              <w:spacing w:after="0" w:line="240" w:lineRule="auto"/>
              <w:jc w:val="left"/>
              <w:rPr>
                <w:rFonts w:eastAsia="Arial" w:cs="Arial"/>
                <w:color w:val="000000"/>
                <w:sz w:val="16"/>
                <w:szCs w:val="16"/>
              </w:rPr>
            </w:pPr>
            <w:r>
              <w:rPr>
                <w:rFonts w:eastAsia="Arial" w:cs="Arial"/>
                <w:color w:val="000000"/>
                <w:sz w:val="16"/>
                <w:szCs w:val="16"/>
              </w:rPr>
              <w:t>Fair value adjustments</w:t>
            </w:r>
          </w:p>
        </w:tc>
        <w:tc>
          <w:tcPr>
            <w:tcW w:w="1559" w:type="dxa"/>
            <w:tcBorders>
              <w:top w:val="nil"/>
              <w:left w:val="nil"/>
              <w:bottom w:val="single" w:sz="8" w:space="0" w:color="FFFFFF"/>
              <w:right w:val="single" w:sz="8" w:space="0" w:color="FFFFFF"/>
            </w:tcBorders>
            <w:shd w:val="clear" w:color="auto" w:fill="FAFAFA"/>
            <w:vAlign w:val="center"/>
          </w:tcPr>
          <w:p w14:paraId="3574FB86" w14:textId="77777777" w:rsidR="009D1A60" w:rsidRDefault="00000000">
            <w:pPr>
              <w:spacing w:after="0" w:line="240" w:lineRule="auto"/>
              <w:jc w:val="right"/>
              <w:rPr>
                <w:sz w:val="17"/>
                <w:szCs w:val="17"/>
              </w:rPr>
            </w:pPr>
            <w:r>
              <w:rPr>
                <w:sz w:val="16"/>
                <w:szCs w:val="16"/>
              </w:rPr>
              <w:t>-166</w:t>
            </w:r>
          </w:p>
        </w:tc>
        <w:tc>
          <w:tcPr>
            <w:tcW w:w="1560" w:type="dxa"/>
            <w:tcBorders>
              <w:top w:val="nil"/>
              <w:left w:val="nil"/>
              <w:bottom w:val="single" w:sz="8" w:space="0" w:color="FFFFFF"/>
              <w:right w:val="single" w:sz="8" w:space="0" w:color="FFFFFF"/>
            </w:tcBorders>
            <w:shd w:val="clear" w:color="auto" w:fill="FAFAFA"/>
            <w:vAlign w:val="center"/>
          </w:tcPr>
          <w:p w14:paraId="63E20577" w14:textId="77777777" w:rsidR="009D1A60" w:rsidRDefault="00000000">
            <w:pPr>
              <w:spacing w:after="0" w:line="240" w:lineRule="auto"/>
              <w:jc w:val="right"/>
              <w:rPr>
                <w:sz w:val="17"/>
                <w:szCs w:val="17"/>
              </w:rPr>
            </w:pPr>
            <w:r>
              <w:rPr>
                <w:sz w:val="16"/>
                <w:szCs w:val="16"/>
              </w:rPr>
              <w:t>311</w:t>
            </w:r>
          </w:p>
        </w:tc>
      </w:tr>
      <w:tr w:rsidR="009D1A60" w14:paraId="708B102A"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0B192466" w14:textId="77777777" w:rsidR="009D1A60" w:rsidRDefault="00000000">
            <w:pPr>
              <w:spacing w:after="0" w:line="240" w:lineRule="auto"/>
              <w:jc w:val="left"/>
              <w:rPr>
                <w:rFonts w:eastAsia="Arial" w:cs="Arial"/>
                <w:color w:val="000000"/>
                <w:sz w:val="16"/>
                <w:szCs w:val="16"/>
              </w:rPr>
            </w:pPr>
            <w:r>
              <w:rPr>
                <w:rFonts w:eastAsia="Arial" w:cs="Arial"/>
                <w:color w:val="000000"/>
                <w:sz w:val="16"/>
                <w:szCs w:val="16"/>
              </w:rPr>
              <w:t>Harvested</w:t>
            </w:r>
          </w:p>
        </w:tc>
        <w:tc>
          <w:tcPr>
            <w:tcW w:w="1559" w:type="dxa"/>
            <w:tcBorders>
              <w:top w:val="nil"/>
              <w:left w:val="nil"/>
              <w:bottom w:val="single" w:sz="8" w:space="0" w:color="FFFFFF"/>
              <w:right w:val="single" w:sz="8" w:space="0" w:color="FFFFFF"/>
            </w:tcBorders>
            <w:shd w:val="clear" w:color="auto" w:fill="FAFAFA"/>
            <w:vAlign w:val="center"/>
          </w:tcPr>
          <w:p w14:paraId="5E96261C" w14:textId="77777777" w:rsidR="009D1A60" w:rsidRDefault="00000000">
            <w:pPr>
              <w:spacing w:after="0" w:line="240" w:lineRule="auto"/>
              <w:jc w:val="right"/>
              <w:rPr>
                <w:sz w:val="17"/>
                <w:szCs w:val="17"/>
              </w:rPr>
            </w:pPr>
            <w:r>
              <w:rPr>
                <w:sz w:val="16"/>
                <w:szCs w:val="16"/>
              </w:rPr>
              <w:t>-4 900</w:t>
            </w:r>
          </w:p>
        </w:tc>
        <w:tc>
          <w:tcPr>
            <w:tcW w:w="1560" w:type="dxa"/>
            <w:tcBorders>
              <w:top w:val="nil"/>
              <w:left w:val="nil"/>
              <w:bottom w:val="single" w:sz="8" w:space="0" w:color="FFFFFF"/>
              <w:right w:val="single" w:sz="8" w:space="0" w:color="FFFFFF"/>
            </w:tcBorders>
            <w:shd w:val="clear" w:color="auto" w:fill="FAFAFA"/>
            <w:vAlign w:val="center"/>
          </w:tcPr>
          <w:p w14:paraId="4140DDD5" w14:textId="77777777" w:rsidR="009D1A60" w:rsidRDefault="00000000">
            <w:pPr>
              <w:spacing w:after="0" w:line="240" w:lineRule="auto"/>
              <w:jc w:val="right"/>
              <w:rPr>
                <w:sz w:val="17"/>
                <w:szCs w:val="17"/>
              </w:rPr>
            </w:pPr>
            <w:r>
              <w:rPr>
                <w:sz w:val="16"/>
                <w:szCs w:val="16"/>
              </w:rPr>
              <w:t>-6 120</w:t>
            </w:r>
          </w:p>
        </w:tc>
      </w:tr>
      <w:tr w:rsidR="009D1A60" w14:paraId="43E95203"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21F808A8" w14:textId="77777777" w:rsidR="009D1A60" w:rsidRDefault="00000000">
            <w:pPr>
              <w:spacing w:after="0" w:line="240" w:lineRule="auto"/>
              <w:jc w:val="left"/>
              <w:rPr>
                <w:rFonts w:eastAsia="Arial" w:cs="Arial"/>
                <w:color w:val="000000"/>
                <w:sz w:val="16"/>
                <w:szCs w:val="16"/>
              </w:rPr>
            </w:pPr>
            <w:r>
              <w:rPr>
                <w:sz w:val="16"/>
                <w:szCs w:val="16"/>
              </w:rPr>
              <w:t>Written off</w:t>
            </w:r>
          </w:p>
        </w:tc>
        <w:tc>
          <w:tcPr>
            <w:tcW w:w="1559" w:type="dxa"/>
            <w:tcBorders>
              <w:top w:val="nil"/>
              <w:left w:val="nil"/>
              <w:bottom w:val="single" w:sz="8" w:space="0" w:color="FFFFFF"/>
              <w:right w:val="single" w:sz="8" w:space="0" w:color="FFFFFF"/>
            </w:tcBorders>
            <w:shd w:val="clear" w:color="auto" w:fill="FAFAFA"/>
            <w:vAlign w:val="center"/>
          </w:tcPr>
          <w:p w14:paraId="4370D000" w14:textId="77777777" w:rsidR="009D1A60" w:rsidRDefault="00000000">
            <w:pPr>
              <w:spacing w:after="0" w:line="240" w:lineRule="auto"/>
              <w:jc w:val="right"/>
              <w:rPr>
                <w:sz w:val="16"/>
                <w:szCs w:val="16"/>
              </w:rPr>
            </w:pPr>
            <w:r>
              <w:rPr>
                <w:sz w:val="16"/>
                <w:szCs w:val="16"/>
              </w:rPr>
              <w:t>-199</w:t>
            </w:r>
          </w:p>
        </w:tc>
        <w:tc>
          <w:tcPr>
            <w:tcW w:w="1560" w:type="dxa"/>
            <w:tcBorders>
              <w:top w:val="nil"/>
              <w:left w:val="nil"/>
              <w:bottom w:val="single" w:sz="8" w:space="0" w:color="FFFFFF"/>
              <w:right w:val="single" w:sz="8" w:space="0" w:color="FFFFFF"/>
            </w:tcBorders>
            <w:shd w:val="clear" w:color="auto" w:fill="FAFAFA"/>
            <w:vAlign w:val="center"/>
          </w:tcPr>
          <w:p w14:paraId="59E867F7" w14:textId="77777777" w:rsidR="009D1A60" w:rsidRDefault="00000000">
            <w:pPr>
              <w:spacing w:after="0" w:line="240" w:lineRule="auto"/>
              <w:jc w:val="right"/>
              <w:rPr>
                <w:sz w:val="16"/>
                <w:szCs w:val="16"/>
              </w:rPr>
            </w:pPr>
            <w:r>
              <w:rPr>
                <w:sz w:val="16"/>
                <w:szCs w:val="16"/>
              </w:rPr>
              <w:t>0</w:t>
            </w:r>
          </w:p>
        </w:tc>
      </w:tr>
      <w:tr w:rsidR="009D1A60" w14:paraId="3C654C63"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68FC0A6A" w14:textId="77777777" w:rsidR="009D1A60" w:rsidRDefault="00000000">
            <w:pPr>
              <w:spacing w:after="0" w:line="240" w:lineRule="auto"/>
              <w:jc w:val="left"/>
              <w:rPr>
                <w:rFonts w:eastAsia="Arial" w:cs="Arial"/>
                <w:color w:val="000000"/>
                <w:sz w:val="16"/>
                <w:szCs w:val="16"/>
              </w:rPr>
            </w:pPr>
            <w:r>
              <w:rPr>
                <w:rFonts w:eastAsia="Arial" w:cs="Arial"/>
                <w:color w:val="000000"/>
                <w:sz w:val="16"/>
                <w:szCs w:val="16"/>
              </w:rPr>
              <w:t>Fry and live fish sold</w:t>
            </w:r>
          </w:p>
        </w:tc>
        <w:tc>
          <w:tcPr>
            <w:tcW w:w="1559" w:type="dxa"/>
            <w:tcBorders>
              <w:top w:val="nil"/>
              <w:left w:val="nil"/>
              <w:bottom w:val="single" w:sz="8" w:space="0" w:color="FFFFFF"/>
              <w:right w:val="single" w:sz="8" w:space="0" w:color="FFFFFF"/>
            </w:tcBorders>
            <w:shd w:val="clear" w:color="auto" w:fill="FAFAFA"/>
            <w:vAlign w:val="center"/>
          </w:tcPr>
          <w:p w14:paraId="28286FBB" w14:textId="77777777" w:rsidR="009D1A60" w:rsidRDefault="00000000">
            <w:pPr>
              <w:spacing w:after="0" w:line="240" w:lineRule="auto"/>
              <w:jc w:val="right"/>
              <w:rPr>
                <w:sz w:val="17"/>
                <w:szCs w:val="17"/>
              </w:rPr>
            </w:pPr>
            <w:r>
              <w:rPr>
                <w:sz w:val="16"/>
                <w:szCs w:val="16"/>
              </w:rPr>
              <w:t>-728</w:t>
            </w:r>
          </w:p>
        </w:tc>
        <w:tc>
          <w:tcPr>
            <w:tcW w:w="1560" w:type="dxa"/>
            <w:tcBorders>
              <w:top w:val="nil"/>
              <w:left w:val="nil"/>
              <w:bottom w:val="single" w:sz="8" w:space="0" w:color="FFFFFF"/>
              <w:right w:val="single" w:sz="8" w:space="0" w:color="FFFFFF"/>
            </w:tcBorders>
            <w:shd w:val="clear" w:color="auto" w:fill="FAFAFA"/>
            <w:vAlign w:val="center"/>
          </w:tcPr>
          <w:p w14:paraId="32533000" w14:textId="77777777" w:rsidR="009D1A60" w:rsidRDefault="00000000">
            <w:pPr>
              <w:spacing w:after="0" w:line="240" w:lineRule="auto"/>
              <w:jc w:val="right"/>
              <w:rPr>
                <w:sz w:val="17"/>
                <w:szCs w:val="17"/>
              </w:rPr>
            </w:pPr>
            <w:r>
              <w:rPr>
                <w:sz w:val="16"/>
                <w:szCs w:val="16"/>
              </w:rPr>
              <w:t>-4</w:t>
            </w:r>
          </w:p>
        </w:tc>
      </w:tr>
      <w:tr w:rsidR="009D1A60" w14:paraId="5F77B2EB"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15304A62" w14:textId="77777777" w:rsidR="009D1A60" w:rsidRDefault="00000000">
            <w:pPr>
              <w:spacing w:after="0" w:line="240" w:lineRule="auto"/>
              <w:jc w:val="left"/>
              <w:rPr>
                <w:rFonts w:eastAsia="Arial" w:cs="Arial"/>
                <w:color w:val="000000"/>
                <w:sz w:val="16"/>
                <w:szCs w:val="16"/>
              </w:rPr>
            </w:pPr>
            <w:r>
              <w:rPr>
                <w:rFonts w:eastAsia="Arial" w:cs="Arial"/>
                <w:color w:val="000000"/>
                <w:sz w:val="16"/>
                <w:szCs w:val="16"/>
              </w:rPr>
              <w:t>Exchange rate differences</w:t>
            </w:r>
          </w:p>
        </w:tc>
        <w:tc>
          <w:tcPr>
            <w:tcW w:w="1559" w:type="dxa"/>
            <w:tcBorders>
              <w:top w:val="nil"/>
              <w:left w:val="nil"/>
              <w:bottom w:val="single" w:sz="8" w:space="0" w:color="FFFFFF"/>
              <w:right w:val="single" w:sz="8" w:space="0" w:color="FFFFFF"/>
            </w:tcBorders>
            <w:shd w:val="clear" w:color="auto" w:fill="FAFAFA"/>
            <w:vAlign w:val="center"/>
          </w:tcPr>
          <w:p w14:paraId="78A251F6" w14:textId="77777777" w:rsidR="009D1A60" w:rsidRDefault="00000000">
            <w:pPr>
              <w:spacing w:after="0" w:line="240" w:lineRule="auto"/>
              <w:jc w:val="right"/>
              <w:rPr>
                <w:sz w:val="17"/>
                <w:szCs w:val="17"/>
              </w:rPr>
            </w:pPr>
            <w:r>
              <w:rPr>
                <w:sz w:val="17"/>
                <w:szCs w:val="17"/>
              </w:rPr>
              <w:t>-137</w:t>
            </w:r>
          </w:p>
        </w:tc>
        <w:tc>
          <w:tcPr>
            <w:tcW w:w="1560" w:type="dxa"/>
            <w:tcBorders>
              <w:top w:val="nil"/>
              <w:left w:val="nil"/>
              <w:bottom w:val="single" w:sz="8" w:space="0" w:color="FFFFFF"/>
              <w:right w:val="single" w:sz="8" w:space="0" w:color="FFFFFF"/>
            </w:tcBorders>
            <w:shd w:val="clear" w:color="auto" w:fill="FAFAFA"/>
            <w:vAlign w:val="center"/>
          </w:tcPr>
          <w:p w14:paraId="062F4BB3" w14:textId="77777777" w:rsidR="009D1A60" w:rsidRDefault="00000000">
            <w:pPr>
              <w:spacing w:after="0" w:line="240" w:lineRule="auto"/>
              <w:jc w:val="right"/>
              <w:rPr>
                <w:sz w:val="17"/>
                <w:szCs w:val="17"/>
              </w:rPr>
            </w:pPr>
            <w:r>
              <w:rPr>
                <w:sz w:val="17"/>
                <w:szCs w:val="17"/>
              </w:rPr>
              <w:t>85</w:t>
            </w:r>
          </w:p>
        </w:tc>
      </w:tr>
      <w:tr w:rsidR="009D1A60" w14:paraId="5E62D080" w14:textId="77777777">
        <w:trPr>
          <w:trHeight w:val="284"/>
        </w:trPr>
        <w:tc>
          <w:tcPr>
            <w:tcW w:w="6369" w:type="dxa"/>
            <w:tcBorders>
              <w:top w:val="nil"/>
              <w:left w:val="single" w:sz="8" w:space="0" w:color="FFFFFF"/>
              <w:bottom w:val="single" w:sz="8" w:space="0" w:color="FFFFFF"/>
              <w:right w:val="single" w:sz="8" w:space="0" w:color="FFFFFF"/>
            </w:tcBorders>
            <w:shd w:val="clear" w:color="auto" w:fill="FAFAFA"/>
            <w:vAlign w:val="center"/>
          </w:tcPr>
          <w:p w14:paraId="0E17D79C" w14:textId="77777777" w:rsidR="009D1A60" w:rsidRDefault="00000000">
            <w:pPr>
              <w:spacing w:after="0" w:line="240" w:lineRule="auto"/>
              <w:jc w:val="left"/>
              <w:rPr>
                <w:rFonts w:eastAsia="Arial" w:cs="Arial"/>
                <w:b/>
                <w:color w:val="5E6EC8"/>
                <w:sz w:val="16"/>
                <w:szCs w:val="16"/>
              </w:rPr>
            </w:pPr>
            <w:r>
              <w:rPr>
                <w:rFonts w:eastAsia="Arial" w:cs="Arial"/>
                <w:b/>
                <w:color w:val="5E6EC8"/>
                <w:sz w:val="16"/>
                <w:szCs w:val="16"/>
              </w:rPr>
              <w:t>Biological assets at end of the period</w:t>
            </w:r>
          </w:p>
        </w:tc>
        <w:tc>
          <w:tcPr>
            <w:tcW w:w="1559" w:type="dxa"/>
            <w:tcBorders>
              <w:top w:val="nil"/>
              <w:left w:val="nil"/>
              <w:bottom w:val="single" w:sz="8" w:space="0" w:color="FFFFFF"/>
              <w:right w:val="single" w:sz="8" w:space="0" w:color="FFFFFF"/>
            </w:tcBorders>
            <w:shd w:val="clear" w:color="auto" w:fill="FAFAFA"/>
            <w:vAlign w:val="center"/>
          </w:tcPr>
          <w:p w14:paraId="43B74746" w14:textId="77777777" w:rsidR="009D1A60" w:rsidRDefault="00000000">
            <w:pPr>
              <w:spacing w:after="0" w:line="240" w:lineRule="auto"/>
              <w:jc w:val="right"/>
              <w:rPr>
                <w:b/>
                <w:color w:val="5E6EC8"/>
                <w:sz w:val="17"/>
                <w:szCs w:val="17"/>
              </w:rPr>
            </w:pPr>
            <w:r>
              <w:rPr>
                <w:b/>
                <w:color w:val="5E6EC8"/>
                <w:sz w:val="17"/>
                <w:szCs w:val="17"/>
              </w:rPr>
              <w:t>3 003</w:t>
            </w:r>
          </w:p>
        </w:tc>
        <w:tc>
          <w:tcPr>
            <w:tcW w:w="1560" w:type="dxa"/>
            <w:tcBorders>
              <w:top w:val="nil"/>
              <w:left w:val="nil"/>
              <w:bottom w:val="single" w:sz="8" w:space="0" w:color="FFFFFF"/>
              <w:right w:val="single" w:sz="8" w:space="0" w:color="FFFFFF"/>
            </w:tcBorders>
            <w:shd w:val="clear" w:color="auto" w:fill="FAFAFA"/>
            <w:vAlign w:val="center"/>
          </w:tcPr>
          <w:p w14:paraId="69362CD5" w14:textId="77777777" w:rsidR="009D1A60" w:rsidRDefault="00000000">
            <w:pPr>
              <w:spacing w:after="0" w:line="240" w:lineRule="auto"/>
              <w:jc w:val="right"/>
              <w:rPr>
                <w:b/>
                <w:color w:val="5E6EC8"/>
                <w:sz w:val="17"/>
                <w:szCs w:val="17"/>
              </w:rPr>
            </w:pPr>
            <w:r>
              <w:rPr>
                <w:b/>
                <w:color w:val="5E6EC8"/>
                <w:sz w:val="17"/>
                <w:szCs w:val="17"/>
              </w:rPr>
              <w:t>4 795</w:t>
            </w:r>
          </w:p>
        </w:tc>
      </w:tr>
    </w:tbl>
    <w:p w14:paraId="0FE5B8A3" w14:textId="77777777" w:rsidR="009D1A60" w:rsidRDefault="009D1A60"/>
    <w:p w14:paraId="7AE8FB89" w14:textId="77777777" w:rsidR="009D1A60" w:rsidRDefault="00000000">
      <w:r>
        <w:t>In “Additions” the Group has capitalised expenditures incurred on development of immature biological assets therefore in the income statement only the gain/loss from “Fair value adjustments” is presented as a separate line. Group measures biological assets in fair value and at acquisition cost. Detailed information on measuring principles is available in the 2020/2021 annual report.</w:t>
      </w:r>
    </w:p>
    <w:p w14:paraId="5706AB0F" w14:textId="77777777" w:rsidR="009D1A60" w:rsidRDefault="00000000">
      <w:pPr>
        <w:pStyle w:val="Heading3"/>
        <w:numPr>
          <w:ilvl w:val="0"/>
          <w:numId w:val="1"/>
        </w:numPr>
        <w:ind w:hanging="360"/>
      </w:pPr>
      <w:bookmarkStart w:id="24" w:name="_Toc112873385"/>
      <w:r>
        <w:t>Equity</w:t>
      </w:r>
      <w:bookmarkEnd w:id="24"/>
    </w:p>
    <w:p w14:paraId="35DD34B1" w14:textId="77777777" w:rsidR="009D1A60" w:rsidRDefault="00000000" w:rsidP="00FE2B47">
      <w:pPr>
        <w:pStyle w:val="ENGNormalcapslilla"/>
      </w:pPr>
      <w:r>
        <w:t>Share Capital</w:t>
      </w:r>
    </w:p>
    <w:p w14:paraId="023B46C4" w14:textId="77777777" w:rsidR="009D1A60" w:rsidRDefault="00000000">
      <w:pPr>
        <w:rPr>
          <w:color w:val="000000"/>
        </w:rPr>
      </w:pPr>
      <w:r>
        <w:rPr>
          <w:color w:val="000000"/>
        </w:rPr>
        <w:t xml:space="preserve">As at </w:t>
      </w:r>
      <w:r>
        <w:t>30.06.2022</w:t>
      </w:r>
      <w:r>
        <w:rPr>
          <w:color w:val="000000"/>
        </w:rPr>
        <w:t xml:space="preserve"> the Company’s registered share capital is 7.736.572 euros. </w:t>
      </w:r>
    </w:p>
    <w:p w14:paraId="37168639" w14:textId="77777777" w:rsidR="009D1A60" w:rsidRDefault="00000000">
      <w:pPr>
        <w:rPr>
          <w:color w:val="000000"/>
        </w:rPr>
      </w:pPr>
      <w:r>
        <w:rPr>
          <w:color w:val="000000"/>
        </w:rPr>
        <w:t xml:space="preserve">As per the resolution of the shareholders’ meeting from 26.05.2016 the shares of AS </w:t>
      </w:r>
      <w:proofErr w:type="spellStart"/>
      <w:r>
        <w:rPr>
          <w:color w:val="000000"/>
        </w:rPr>
        <w:t>PRFoods</w:t>
      </w:r>
      <w:proofErr w:type="spellEnd"/>
      <w:r>
        <w:rPr>
          <w:color w:val="000000"/>
        </w:rPr>
        <w:t xml:space="preserve"> were registered on 30.06.2016 in the Commercial Register without nominal value. The registered share capital of the Company is 7.736.572 euros divided into 38.682.860 ordinary shares without nominal value with accountable value of 0.20 euro per share. </w:t>
      </w:r>
    </w:p>
    <w:p w14:paraId="76281B50" w14:textId="77777777" w:rsidR="009D1A60" w:rsidRDefault="00000000">
      <w:pPr>
        <w:spacing w:after="0"/>
        <w:rPr>
          <w:color w:val="000000"/>
        </w:rPr>
      </w:pPr>
      <w:r>
        <w:rPr>
          <w:color w:val="000000"/>
        </w:rPr>
        <w:t xml:space="preserve">The Articles of Association stipulate 7.000.000 euros as minimal share capital and 28.000.000 euros as maximum share capital. The Articles of Association are available on AS </w:t>
      </w:r>
      <w:proofErr w:type="spellStart"/>
      <w:r>
        <w:rPr>
          <w:color w:val="000000"/>
        </w:rPr>
        <w:t>PRFoods</w:t>
      </w:r>
      <w:proofErr w:type="spellEnd"/>
      <w:r>
        <w:rPr>
          <w:color w:val="000000"/>
        </w:rPr>
        <w:t xml:space="preserve"> website at www.prfoods.ee.</w:t>
      </w:r>
    </w:p>
    <w:p w14:paraId="7BACBE66" w14:textId="77777777" w:rsidR="009D1A60" w:rsidRDefault="00000000" w:rsidP="00FE2B47">
      <w:pPr>
        <w:pStyle w:val="ENGNormalcapslilla"/>
      </w:pPr>
      <w:r>
        <w:t>Share Premium</w:t>
      </w:r>
    </w:p>
    <w:p w14:paraId="2D115674" w14:textId="77777777" w:rsidR="009D1A60" w:rsidRDefault="00000000">
      <w:r>
        <w:t>The Company`s share premium comprises mainly of the amount received above the nominal value upon an issue of shares less costs associated with the issue. According to the Commercial Code. a premium may be used to cover a loss of a company if such loss cannot be covered from retained profit of previous periods or from the capital reserve prescribed in the Articles of Association or from other reserves prescribed by the Articles of Association. The premium may also be used to increase share capital via a bonus issue. The share premium may not be distributed to shareholders.</w:t>
      </w:r>
    </w:p>
    <w:p w14:paraId="0D2E5C50" w14:textId="77777777" w:rsidR="009D1A60" w:rsidRDefault="00000000">
      <w:r>
        <w:t xml:space="preserve">In August 2020 the shareholders of OÜ </w:t>
      </w:r>
      <w:proofErr w:type="spellStart"/>
      <w:r>
        <w:t>Redstorm</w:t>
      </w:r>
      <w:proofErr w:type="spellEnd"/>
      <w:r>
        <w:t xml:space="preserve"> – </w:t>
      </w:r>
      <w:proofErr w:type="spellStart"/>
      <w:r>
        <w:t>Saaremere</w:t>
      </w:r>
      <w:proofErr w:type="spellEnd"/>
      <w:r>
        <w:t xml:space="preserve"> Kala AS and OÜ </w:t>
      </w:r>
      <w:proofErr w:type="spellStart"/>
      <w:r>
        <w:t>Fodiator</w:t>
      </w:r>
      <w:proofErr w:type="spellEnd"/>
      <w:r>
        <w:t xml:space="preserve"> – decided to increase the share capital of the company by 20 euros to 4.020 euros. </w:t>
      </w:r>
      <w:proofErr w:type="gramStart"/>
      <w:r>
        <w:t>as a result of</w:t>
      </w:r>
      <w:proofErr w:type="gramEnd"/>
      <w:r>
        <w:t xml:space="preserve"> which the nominal value of </w:t>
      </w:r>
      <w:proofErr w:type="spellStart"/>
      <w:r>
        <w:t>Saaremere</w:t>
      </w:r>
      <w:proofErr w:type="spellEnd"/>
      <w:r>
        <w:t xml:space="preserve"> Kala AS share increased to 2.050 euros and the nominal value of OÜ </w:t>
      </w:r>
      <w:proofErr w:type="spellStart"/>
      <w:r>
        <w:t>Fodiator</w:t>
      </w:r>
      <w:proofErr w:type="spellEnd"/>
      <w:r>
        <w:t xml:space="preserve"> share to 1.970 euros.</w:t>
      </w:r>
    </w:p>
    <w:p w14:paraId="46981712" w14:textId="77777777" w:rsidR="009D1A60" w:rsidRDefault="00000000">
      <w:proofErr w:type="spellStart"/>
      <w:r>
        <w:lastRenderedPageBreak/>
        <w:t>Saaremere</w:t>
      </w:r>
      <w:proofErr w:type="spellEnd"/>
      <w:r>
        <w:t xml:space="preserve"> Kala AS paid 387.597 euros in kind for the increase of the nominal value of the share of which 387.587 euros was share premium. </w:t>
      </w:r>
      <w:proofErr w:type="spellStart"/>
      <w:r>
        <w:t>Saaremere</w:t>
      </w:r>
      <w:proofErr w:type="spellEnd"/>
      <w:r>
        <w:t xml:space="preserve"> Kala AS paid for the increase in the nominal value by offsetting the claim acquired by </w:t>
      </w:r>
      <w:proofErr w:type="spellStart"/>
      <w:r>
        <w:t>Saaremere</w:t>
      </w:r>
      <w:proofErr w:type="spellEnd"/>
      <w:r>
        <w:t xml:space="preserve"> Kala AS from OÜ Serenest against OÜ </w:t>
      </w:r>
      <w:proofErr w:type="spellStart"/>
      <w:r>
        <w:t>Redstorm</w:t>
      </w:r>
      <w:proofErr w:type="spellEnd"/>
      <w:r>
        <w:t xml:space="preserve"> in the amount of 387.597 euros.</w:t>
      </w:r>
    </w:p>
    <w:p w14:paraId="53B9D53F" w14:textId="77777777" w:rsidR="009D1A60" w:rsidRDefault="00000000">
      <w:r>
        <w:t>As a result of the above transaction the Group's consolidated share premium increased by 189 923 euros.</w:t>
      </w:r>
    </w:p>
    <w:p w14:paraId="1B36A536" w14:textId="77777777" w:rsidR="009D1A60" w:rsidRDefault="00000000" w:rsidP="00FE2B47">
      <w:pPr>
        <w:pStyle w:val="ENGNormalcapslilla"/>
        <w:rPr>
          <w:color w:val="000000"/>
        </w:rPr>
      </w:pPr>
      <w:r>
        <w:t>Capital Reserve and Retained Earnings</w:t>
      </w:r>
    </w:p>
    <w:p w14:paraId="1A6CBB7F" w14:textId="77777777" w:rsidR="009D1A60" w:rsidRDefault="00000000">
      <w:pPr>
        <w:rPr>
          <w:color w:val="000000"/>
        </w:rPr>
      </w:pPr>
      <w:r>
        <w:t xml:space="preserve">The Estonian Commercial Code requires companies to create a capital reserve. Each year at least 1/20 of profit for the year </w:t>
      </w:r>
      <w:proofErr w:type="gramStart"/>
      <w:r>
        <w:t>has to</w:t>
      </w:r>
      <w:proofErr w:type="gramEnd"/>
      <w:r>
        <w:t xml:space="preserve"> be transferred to the capital reserve until the reserve amounts to 1/10 of share capital. The capital reserve may be used for covering losses and increasing the share capital but not for making distributions to shareholders.</w:t>
      </w:r>
    </w:p>
    <w:p w14:paraId="5861B76D" w14:textId="77777777" w:rsidR="009D1A60" w:rsidRDefault="00000000">
      <w:pPr>
        <w:pStyle w:val="Heading3"/>
        <w:numPr>
          <w:ilvl w:val="0"/>
          <w:numId w:val="1"/>
        </w:numPr>
        <w:ind w:hanging="360"/>
      </w:pPr>
      <w:bookmarkStart w:id="25" w:name="_Toc112873386"/>
      <w:r>
        <w:t>Related Party Transactions</w:t>
      </w:r>
      <w:bookmarkEnd w:id="25"/>
    </w:p>
    <w:p w14:paraId="37C6A498" w14:textId="77777777" w:rsidR="009D1A60" w:rsidRDefault="00000000">
      <w:pPr>
        <w:spacing w:after="80"/>
      </w:pPr>
      <w:r>
        <w:t>The Company considers parties to be related when one party has control over the other party or has significant influence over the business decision of the other party.</w:t>
      </w:r>
    </w:p>
    <w:p w14:paraId="5AA52672" w14:textId="77777777" w:rsidR="009D1A60" w:rsidRDefault="00000000">
      <w:pPr>
        <w:spacing w:after="0"/>
      </w:pPr>
      <w:r>
        <w:t>Related parties include:</w:t>
      </w:r>
    </w:p>
    <w:p w14:paraId="0CC0CB58" w14:textId="77777777" w:rsidR="009D1A60" w:rsidRDefault="00000000">
      <w:pPr>
        <w:numPr>
          <w:ilvl w:val="0"/>
          <w:numId w:val="2"/>
        </w:numPr>
        <w:spacing w:after="0"/>
      </w:pPr>
      <w:r>
        <w:t xml:space="preserve">shareholders with significant influence (the largest shareholder of </w:t>
      </w:r>
      <w:proofErr w:type="spellStart"/>
      <w:r>
        <w:t>PRFoods</w:t>
      </w:r>
      <w:proofErr w:type="spellEnd"/>
      <w:r>
        <w:t xml:space="preserve"> is the international investment fund Amber Trust II S.C.A.).</w:t>
      </w:r>
    </w:p>
    <w:p w14:paraId="5B459FF8" w14:textId="77777777" w:rsidR="009D1A60" w:rsidRDefault="00000000">
      <w:pPr>
        <w:numPr>
          <w:ilvl w:val="0"/>
          <w:numId w:val="2"/>
        </w:numPr>
        <w:spacing w:after="0"/>
      </w:pPr>
      <w:r>
        <w:t>members of the Supervisory Board and members of all management boards of group entities.</w:t>
      </w:r>
    </w:p>
    <w:p w14:paraId="1916E55B" w14:textId="77777777" w:rsidR="009D1A60" w:rsidRDefault="00000000">
      <w:pPr>
        <w:numPr>
          <w:ilvl w:val="0"/>
          <w:numId w:val="2"/>
        </w:numPr>
        <w:spacing w:after="0"/>
      </w:pPr>
      <w:r>
        <w:t xml:space="preserve">close family members of the persons mentioned </w:t>
      </w:r>
      <w:proofErr w:type="gramStart"/>
      <w:r>
        <w:t>above</w:t>
      </w:r>
      <w:proofErr w:type="gramEnd"/>
      <w:r>
        <w:t xml:space="preserve"> and the companies related to them.</w:t>
      </w:r>
    </w:p>
    <w:p w14:paraId="1E699BFE" w14:textId="77777777" w:rsidR="009D1A60" w:rsidRDefault="00000000">
      <w:pPr>
        <w:spacing w:after="0"/>
      </w:pPr>
      <w:r>
        <w:t xml:space="preserve"> </w:t>
      </w:r>
    </w:p>
    <w:p w14:paraId="54922122" w14:textId="77777777" w:rsidR="009D1A60" w:rsidRDefault="00000000">
      <w:pPr>
        <w:spacing w:after="0"/>
      </w:pPr>
      <w:r>
        <w:t>As at the balance sheet date. there were no receivables from the related parties. liabilities are found in the table below:</w:t>
      </w:r>
    </w:p>
    <w:tbl>
      <w:tblPr>
        <w:tblStyle w:val="af3"/>
        <w:tblW w:w="9498" w:type="dxa"/>
        <w:tblLayout w:type="fixed"/>
        <w:tblLook w:val="0400" w:firstRow="0" w:lastRow="0" w:firstColumn="0" w:lastColumn="0" w:noHBand="0" w:noVBand="1"/>
      </w:tblPr>
      <w:tblGrid>
        <w:gridCol w:w="2127"/>
        <w:gridCol w:w="1701"/>
        <w:gridCol w:w="2551"/>
        <w:gridCol w:w="1559"/>
        <w:gridCol w:w="1560"/>
      </w:tblGrid>
      <w:tr w:rsidR="009D1A60" w14:paraId="2AA2FAA7" w14:textId="77777777">
        <w:trPr>
          <w:trHeight w:val="521"/>
        </w:trPr>
        <w:tc>
          <w:tcPr>
            <w:tcW w:w="2127" w:type="dxa"/>
            <w:tcBorders>
              <w:top w:val="nil"/>
              <w:left w:val="nil"/>
              <w:bottom w:val="nil"/>
              <w:right w:val="single" w:sz="4" w:space="0" w:color="FFFFFF"/>
            </w:tcBorders>
            <w:shd w:val="clear" w:color="auto" w:fill="363270"/>
            <w:vAlign w:val="center"/>
          </w:tcPr>
          <w:p w14:paraId="050E0898"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Party</w:t>
            </w:r>
          </w:p>
        </w:tc>
        <w:tc>
          <w:tcPr>
            <w:tcW w:w="1701" w:type="dxa"/>
            <w:tcBorders>
              <w:top w:val="nil"/>
              <w:left w:val="nil"/>
              <w:bottom w:val="nil"/>
              <w:right w:val="single" w:sz="4" w:space="0" w:color="FFFFFF"/>
            </w:tcBorders>
            <w:shd w:val="clear" w:color="auto" w:fill="363270"/>
            <w:vAlign w:val="center"/>
          </w:tcPr>
          <w:p w14:paraId="066C70A3"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Creditor</w:t>
            </w:r>
          </w:p>
        </w:tc>
        <w:tc>
          <w:tcPr>
            <w:tcW w:w="2551" w:type="dxa"/>
            <w:tcBorders>
              <w:top w:val="nil"/>
              <w:left w:val="nil"/>
              <w:bottom w:val="nil"/>
              <w:right w:val="single" w:sz="4" w:space="0" w:color="FFFFFF"/>
            </w:tcBorders>
            <w:shd w:val="clear" w:color="auto" w:fill="363270"/>
            <w:vAlign w:val="center"/>
          </w:tcPr>
          <w:p w14:paraId="0929C049"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Payables and prepayments</w:t>
            </w:r>
          </w:p>
        </w:tc>
        <w:tc>
          <w:tcPr>
            <w:tcW w:w="1559" w:type="dxa"/>
            <w:tcBorders>
              <w:top w:val="nil"/>
              <w:left w:val="nil"/>
              <w:bottom w:val="nil"/>
              <w:right w:val="single" w:sz="4" w:space="0" w:color="FFFFFF"/>
            </w:tcBorders>
            <w:shd w:val="clear" w:color="auto" w:fill="363270"/>
            <w:vAlign w:val="center"/>
          </w:tcPr>
          <w:p w14:paraId="21C2644C" w14:textId="77777777" w:rsidR="009D1A60" w:rsidRDefault="00000000">
            <w:pPr>
              <w:spacing w:after="0" w:line="240" w:lineRule="auto"/>
              <w:jc w:val="right"/>
              <w:rPr>
                <w:rFonts w:eastAsia="Arial" w:cs="Arial"/>
                <w:color w:val="FFFFFF"/>
                <w:sz w:val="17"/>
                <w:szCs w:val="17"/>
              </w:rPr>
            </w:pPr>
            <w:r>
              <w:rPr>
                <w:rFonts w:eastAsia="Arial" w:cs="Arial"/>
                <w:color w:val="FFFFFF"/>
                <w:sz w:val="17"/>
                <w:szCs w:val="17"/>
              </w:rPr>
              <w:t xml:space="preserve">Payables as at </w:t>
            </w:r>
            <w:r>
              <w:rPr>
                <w:color w:val="FFFFFF"/>
                <w:sz w:val="17"/>
                <w:szCs w:val="17"/>
              </w:rPr>
              <w:t>30.06.2022</w:t>
            </w:r>
          </w:p>
        </w:tc>
        <w:tc>
          <w:tcPr>
            <w:tcW w:w="1560" w:type="dxa"/>
            <w:tcBorders>
              <w:top w:val="nil"/>
              <w:left w:val="nil"/>
              <w:bottom w:val="nil"/>
              <w:right w:val="single" w:sz="4" w:space="0" w:color="FFFFFF"/>
            </w:tcBorders>
            <w:shd w:val="clear" w:color="auto" w:fill="363270"/>
            <w:vAlign w:val="center"/>
          </w:tcPr>
          <w:p w14:paraId="398E7ECB" w14:textId="77777777" w:rsidR="009D1A60" w:rsidRDefault="00000000">
            <w:pPr>
              <w:spacing w:after="0" w:line="240" w:lineRule="auto"/>
              <w:jc w:val="right"/>
              <w:rPr>
                <w:rFonts w:eastAsia="Arial" w:cs="Arial"/>
                <w:color w:val="FFFFFF"/>
                <w:sz w:val="17"/>
                <w:szCs w:val="17"/>
              </w:rPr>
            </w:pPr>
            <w:r>
              <w:rPr>
                <w:rFonts w:eastAsia="Arial" w:cs="Arial"/>
                <w:color w:val="FFFFFF"/>
                <w:sz w:val="17"/>
                <w:szCs w:val="17"/>
              </w:rPr>
              <w:t xml:space="preserve">Payables as at </w:t>
            </w:r>
            <w:r>
              <w:rPr>
                <w:color w:val="FFFFFF"/>
                <w:sz w:val="17"/>
                <w:szCs w:val="17"/>
              </w:rPr>
              <w:t>30.06.2021</w:t>
            </w:r>
          </w:p>
        </w:tc>
      </w:tr>
      <w:tr w:rsidR="009D1A60" w14:paraId="33C566FD" w14:textId="77777777">
        <w:trPr>
          <w:trHeight w:val="366"/>
        </w:trPr>
        <w:tc>
          <w:tcPr>
            <w:tcW w:w="2127" w:type="dxa"/>
            <w:tcBorders>
              <w:top w:val="nil"/>
              <w:left w:val="nil"/>
              <w:bottom w:val="nil"/>
              <w:right w:val="single" w:sz="4" w:space="0" w:color="FFFFFF"/>
            </w:tcBorders>
            <w:shd w:val="clear" w:color="auto" w:fill="363270"/>
            <w:vAlign w:val="center"/>
          </w:tcPr>
          <w:p w14:paraId="4976A864"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 </w:t>
            </w:r>
          </w:p>
        </w:tc>
        <w:tc>
          <w:tcPr>
            <w:tcW w:w="1701" w:type="dxa"/>
            <w:tcBorders>
              <w:top w:val="nil"/>
              <w:left w:val="nil"/>
              <w:bottom w:val="nil"/>
              <w:right w:val="single" w:sz="4" w:space="0" w:color="FFFFFF"/>
            </w:tcBorders>
            <w:shd w:val="clear" w:color="auto" w:fill="363270"/>
            <w:vAlign w:val="center"/>
          </w:tcPr>
          <w:p w14:paraId="6826E85B" w14:textId="77777777" w:rsidR="009D1A60" w:rsidRDefault="00000000">
            <w:pPr>
              <w:spacing w:after="0" w:line="240" w:lineRule="auto"/>
              <w:jc w:val="left"/>
              <w:rPr>
                <w:rFonts w:eastAsia="Arial" w:cs="Arial"/>
                <w:color w:val="FFFFFF"/>
                <w:sz w:val="17"/>
                <w:szCs w:val="17"/>
              </w:rPr>
            </w:pPr>
            <w:r>
              <w:rPr>
                <w:rFonts w:eastAsia="Arial" w:cs="Arial"/>
                <w:color w:val="FFFFFF"/>
                <w:sz w:val="17"/>
                <w:szCs w:val="17"/>
              </w:rPr>
              <w:t> </w:t>
            </w:r>
          </w:p>
        </w:tc>
        <w:tc>
          <w:tcPr>
            <w:tcW w:w="2551" w:type="dxa"/>
            <w:tcBorders>
              <w:top w:val="nil"/>
              <w:left w:val="nil"/>
              <w:bottom w:val="nil"/>
              <w:right w:val="single" w:sz="4" w:space="0" w:color="FFFFFF"/>
            </w:tcBorders>
            <w:shd w:val="clear" w:color="auto" w:fill="363270"/>
            <w:vAlign w:val="center"/>
          </w:tcPr>
          <w:p w14:paraId="37ACD7B5" w14:textId="77777777" w:rsidR="009D1A60" w:rsidRDefault="00000000">
            <w:pPr>
              <w:spacing w:after="0" w:line="240" w:lineRule="auto"/>
              <w:jc w:val="left"/>
              <w:rPr>
                <w:rFonts w:eastAsia="Arial" w:cs="Arial"/>
                <w:color w:val="000000"/>
                <w:sz w:val="17"/>
                <w:szCs w:val="17"/>
              </w:rPr>
            </w:pPr>
            <w:r>
              <w:rPr>
                <w:rFonts w:eastAsia="Arial" w:cs="Arial"/>
                <w:color w:val="000000"/>
                <w:sz w:val="17"/>
                <w:szCs w:val="17"/>
              </w:rPr>
              <w:t> </w:t>
            </w:r>
          </w:p>
        </w:tc>
        <w:tc>
          <w:tcPr>
            <w:tcW w:w="1559" w:type="dxa"/>
            <w:tcBorders>
              <w:top w:val="nil"/>
              <w:left w:val="nil"/>
              <w:bottom w:val="nil"/>
              <w:right w:val="single" w:sz="4" w:space="0" w:color="FFFFFF"/>
            </w:tcBorders>
            <w:shd w:val="clear" w:color="auto" w:fill="363270"/>
            <w:vAlign w:val="center"/>
          </w:tcPr>
          <w:p w14:paraId="7CDBFCC3" w14:textId="77777777" w:rsidR="009D1A60" w:rsidRDefault="00000000">
            <w:pPr>
              <w:spacing w:after="0" w:line="240" w:lineRule="auto"/>
              <w:jc w:val="right"/>
              <w:rPr>
                <w:rFonts w:eastAsia="Arial" w:cs="Arial"/>
                <w:color w:val="FFFFFF"/>
                <w:sz w:val="17"/>
                <w:szCs w:val="17"/>
              </w:rPr>
            </w:pPr>
            <w:r>
              <w:rPr>
                <w:rFonts w:eastAsia="Arial" w:cs="Arial"/>
                <w:color w:val="FFFFFF"/>
                <w:sz w:val="17"/>
                <w:szCs w:val="17"/>
              </w:rPr>
              <w:t>EUR '000</w:t>
            </w:r>
          </w:p>
        </w:tc>
        <w:tc>
          <w:tcPr>
            <w:tcW w:w="1560" w:type="dxa"/>
            <w:tcBorders>
              <w:top w:val="nil"/>
              <w:left w:val="nil"/>
              <w:bottom w:val="nil"/>
              <w:right w:val="single" w:sz="4" w:space="0" w:color="FFFFFF"/>
            </w:tcBorders>
            <w:shd w:val="clear" w:color="auto" w:fill="363270"/>
            <w:vAlign w:val="center"/>
          </w:tcPr>
          <w:p w14:paraId="1E7CC605" w14:textId="77777777" w:rsidR="009D1A60" w:rsidRDefault="00000000">
            <w:pPr>
              <w:spacing w:after="0" w:line="240" w:lineRule="auto"/>
              <w:jc w:val="right"/>
              <w:rPr>
                <w:rFonts w:eastAsia="Arial" w:cs="Arial"/>
                <w:color w:val="FFFFFF"/>
                <w:sz w:val="17"/>
                <w:szCs w:val="17"/>
              </w:rPr>
            </w:pPr>
            <w:r>
              <w:rPr>
                <w:rFonts w:eastAsia="Arial" w:cs="Arial"/>
                <w:color w:val="FFFFFF"/>
                <w:sz w:val="17"/>
                <w:szCs w:val="17"/>
              </w:rPr>
              <w:t>EUR '000</w:t>
            </w:r>
          </w:p>
        </w:tc>
      </w:tr>
      <w:tr w:rsidR="009D1A60" w14:paraId="7346844E" w14:textId="77777777" w:rsidTr="00FE2B47">
        <w:trPr>
          <w:trHeight w:val="170"/>
        </w:trPr>
        <w:tc>
          <w:tcPr>
            <w:tcW w:w="2127" w:type="dxa"/>
            <w:tcBorders>
              <w:top w:val="nil"/>
              <w:left w:val="single" w:sz="8" w:space="0" w:color="FAFAFA"/>
              <w:bottom w:val="nil"/>
              <w:right w:val="single" w:sz="8" w:space="0" w:color="FAFAFA"/>
            </w:tcBorders>
            <w:shd w:val="clear" w:color="auto" w:fill="FAFAFA"/>
            <w:tcMar>
              <w:top w:w="100" w:type="dxa"/>
              <w:left w:w="80" w:type="dxa"/>
              <w:bottom w:w="100" w:type="dxa"/>
              <w:right w:w="80" w:type="dxa"/>
            </w:tcMar>
          </w:tcPr>
          <w:p w14:paraId="370CC217" w14:textId="77777777" w:rsidR="009D1A60" w:rsidRDefault="00000000">
            <w:pPr>
              <w:spacing w:after="0" w:line="276" w:lineRule="auto"/>
              <w:jc w:val="left"/>
              <w:rPr>
                <w:sz w:val="17"/>
                <w:szCs w:val="17"/>
              </w:rPr>
            </w:pPr>
            <w:r>
              <w:rPr>
                <w:sz w:val="17"/>
                <w:szCs w:val="17"/>
              </w:rPr>
              <w:t>Amber Trust II S.C.A.</w:t>
            </w:r>
          </w:p>
        </w:tc>
        <w:tc>
          <w:tcPr>
            <w:tcW w:w="1701" w:type="dxa"/>
            <w:tcBorders>
              <w:top w:val="nil"/>
              <w:left w:val="nil"/>
              <w:bottom w:val="nil"/>
              <w:right w:val="single" w:sz="8" w:space="0" w:color="FAFAFA"/>
            </w:tcBorders>
            <w:shd w:val="clear" w:color="auto" w:fill="FAFAFA"/>
            <w:tcMar>
              <w:top w:w="100" w:type="dxa"/>
              <w:left w:w="80" w:type="dxa"/>
              <w:bottom w:w="100" w:type="dxa"/>
              <w:right w:w="80" w:type="dxa"/>
            </w:tcMar>
          </w:tcPr>
          <w:p w14:paraId="7F7EBF73" w14:textId="77777777" w:rsidR="009D1A60" w:rsidRDefault="00000000">
            <w:pPr>
              <w:spacing w:after="0" w:line="276" w:lineRule="auto"/>
              <w:jc w:val="left"/>
              <w:rPr>
                <w:sz w:val="17"/>
                <w:szCs w:val="17"/>
              </w:rPr>
            </w:pPr>
            <w:r>
              <w:rPr>
                <w:sz w:val="17"/>
                <w:szCs w:val="17"/>
              </w:rPr>
              <w:t xml:space="preserve">Shareholder AS </w:t>
            </w:r>
            <w:proofErr w:type="spellStart"/>
            <w:r>
              <w:rPr>
                <w:sz w:val="17"/>
                <w:szCs w:val="17"/>
              </w:rPr>
              <w:t>PRFoods</w:t>
            </w:r>
            <w:proofErr w:type="spellEnd"/>
          </w:p>
        </w:tc>
        <w:tc>
          <w:tcPr>
            <w:tcW w:w="2551" w:type="dxa"/>
            <w:tcBorders>
              <w:top w:val="nil"/>
              <w:left w:val="nil"/>
              <w:bottom w:val="nil"/>
              <w:right w:val="single" w:sz="8" w:space="0" w:color="FAFAFA"/>
            </w:tcBorders>
            <w:shd w:val="clear" w:color="auto" w:fill="FAFAFA"/>
            <w:tcMar>
              <w:top w:w="100" w:type="dxa"/>
              <w:left w:w="80" w:type="dxa"/>
              <w:bottom w:w="100" w:type="dxa"/>
              <w:right w:w="80" w:type="dxa"/>
            </w:tcMar>
          </w:tcPr>
          <w:p w14:paraId="3C83897A" w14:textId="77777777" w:rsidR="009D1A60" w:rsidRDefault="00000000">
            <w:pPr>
              <w:spacing w:after="0" w:line="276" w:lineRule="auto"/>
              <w:jc w:val="left"/>
              <w:rPr>
                <w:sz w:val="17"/>
                <w:szCs w:val="17"/>
              </w:rPr>
            </w:pPr>
            <w:r>
              <w:rPr>
                <w:sz w:val="17"/>
                <w:szCs w:val="17"/>
              </w:rPr>
              <w:t>Bond and interest of bond</w:t>
            </w:r>
          </w:p>
        </w:tc>
        <w:tc>
          <w:tcPr>
            <w:tcW w:w="1559" w:type="dxa"/>
            <w:tcBorders>
              <w:top w:val="nil"/>
              <w:left w:val="nil"/>
              <w:bottom w:val="nil"/>
              <w:right w:val="single" w:sz="8" w:space="0" w:color="FFFFFF"/>
            </w:tcBorders>
            <w:shd w:val="clear" w:color="auto" w:fill="FAFAFA"/>
            <w:tcMar>
              <w:top w:w="100" w:type="dxa"/>
              <w:left w:w="80" w:type="dxa"/>
              <w:bottom w:w="100" w:type="dxa"/>
              <w:right w:w="80" w:type="dxa"/>
            </w:tcMar>
          </w:tcPr>
          <w:p w14:paraId="1D3DD9F9" w14:textId="77777777" w:rsidR="009D1A60" w:rsidRDefault="00000000">
            <w:pPr>
              <w:spacing w:after="0" w:line="276" w:lineRule="auto"/>
              <w:jc w:val="right"/>
              <w:rPr>
                <w:sz w:val="17"/>
                <w:szCs w:val="17"/>
              </w:rPr>
            </w:pPr>
            <w:r>
              <w:rPr>
                <w:sz w:val="17"/>
                <w:szCs w:val="17"/>
              </w:rPr>
              <w:t>3 070</w:t>
            </w:r>
          </w:p>
        </w:tc>
        <w:tc>
          <w:tcPr>
            <w:tcW w:w="1560" w:type="dxa"/>
            <w:tcBorders>
              <w:top w:val="nil"/>
              <w:left w:val="nil"/>
              <w:bottom w:val="nil"/>
              <w:right w:val="single" w:sz="8" w:space="0" w:color="FFFFFF"/>
            </w:tcBorders>
            <w:shd w:val="clear" w:color="auto" w:fill="FAFAFA"/>
            <w:tcMar>
              <w:top w:w="100" w:type="dxa"/>
              <w:left w:w="80" w:type="dxa"/>
              <w:bottom w:w="100" w:type="dxa"/>
              <w:right w:w="80" w:type="dxa"/>
            </w:tcMar>
          </w:tcPr>
          <w:p w14:paraId="68DFF853" w14:textId="77777777" w:rsidR="009D1A60" w:rsidRDefault="00000000">
            <w:pPr>
              <w:spacing w:after="0" w:line="276" w:lineRule="auto"/>
              <w:jc w:val="right"/>
              <w:rPr>
                <w:sz w:val="17"/>
                <w:szCs w:val="17"/>
              </w:rPr>
            </w:pPr>
            <w:r>
              <w:rPr>
                <w:sz w:val="17"/>
                <w:szCs w:val="17"/>
              </w:rPr>
              <w:t>2 680</w:t>
            </w:r>
          </w:p>
        </w:tc>
      </w:tr>
      <w:tr w:rsidR="009D1A60" w14:paraId="24B31112" w14:textId="77777777" w:rsidTr="00FE2B47">
        <w:trPr>
          <w:trHeight w:val="170"/>
        </w:trPr>
        <w:tc>
          <w:tcPr>
            <w:tcW w:w="2127" w:type="dxa"/>
            <w:tcBorders>
              <w:top w:val="nil"/>
              <w:left w:val="single" w:sz="8" w:space="0" w:color="FAFAFA"/>
              <w:bottom w:val="nil"/>
              <w:right w:val="single" w:sz="8" w:space="0" w:color="FAFAFA"/>
            </w:tcBorders>
            <w:shd w:val="clear" w:color="auto" w:fill="FAFAFA"/>
            <w:tcMar>
              <w:top w:w="100" w:type="dxa"/>
              <w:left w:w="80" w:type="dxa"/>
              <w:bottom w:w="100" w:type="dxa"/>
              <w:right w:w="80" w:type="dxa"/>
            </w:tcMar>
          </w:tcPr>
          <w:p w14:paraId="734EA3B6" w14:textId="77777777" w:rsidR="009D1A60" w:rsidRDefault="00000000">
            <w:pPr>
              <w:spacing w:after="0" w:line="276" w:lineRule="auto"/>
              <w:jc w:val="left"/>
              <w:rPr>
                <w:sz w:val="17"/>
                <w:szCs w:val="17"/>
              </w:rPr>
            </w:pPr>
            <w:proofErr w:type="spellStart"/>
            <w:r>
              <w:rPr>
                <w:sz w:val="17"/>
                <w:szCs w:val="17"/>
              </w:rPr>
              <w:t>Lindermann</w:t>
            </w:r>
            <w:proofErr w:type="spellEnd"/>
            <w:r>
              <w:rPr>
                <w:sz w:val="17"/>
                <w:szCs w:val="17"/>
              </w:rPr>
              <w:t xml:space="preserve">, Birnbaum &amp; </w:t>
            </w:r>
            <w:proofErr w:type="spellStart"/>
            <w:r>
              <w:rPr>
                <w:sz w:val="17"/>
                <w:szCs w:val="17"/>
              </w:rPr>
              <w:t>Kasela</w:t>
            </w:r>
            <w:proofErr w:type="spellEnd"/>
            <w:r>
              <w:rPr>
                <w:sz w:val="17"/>
                <w:szCs w:val="17"/>
              </w:rPr>
              <w:t xml:space="preserve"> OÜ</w:t>
            </w:r>
          </w:p>
        </w:tc>
        <w:tc>
          <w:tcPr>
            <w:tcW w:w="1701" w:type="dxa"/>
            <w:tcBorders>
              <w:top w:val="nil"/>
              <w:left w:val="nil"/>
              <w:bottom w:val="nil"/>
              <w:right w:val="single" w:sz="8" w:space="0" w:color="FAFAFA"/>
            </w:tcBorders>
            <w:shd w:val="clear" w:color="auto" w:fill="FAFAFA"/>
            <w:tcMar>
              <w:top w:w="100" w:type="dxa"/>
              <w:left w:w="80" w:type="dxa"/>
              <w:bottom w:w="100" w:type="dxa"/>
              <w:right w:w="80" w:type="dxa"/>
            </w:tcMar>
          </w:tcPr>
          <w:p w14:paraId="2AEB753B" w14:textId="77777777" w:rsidR="009D1A60" w:rsidRDefault="00000000">
            <w:pPr>
              <w:spacing w:after="0" w:line="276" w:lineRule="auto"/>
              <w:jc w:val="left"/>
              <w:rPr>
                <w:sz w:val="17"/>
                <w:szCs w:val="17"/>
              </w:rPr>
            </w:pPr>
            <w:r>
              <w:rPr>
                <w:sz w:val="17"/>
                <w:szCs w:val="17"/>
              </w:rPr>
              <w:t>Liabilities</w:t>
            </w:r>
          </w:p>
        </w:tc>
        <w:tc>
          <w:tcPr>
            <w:tcW w:w="2551" w:type="dxa"/>
            <w:tcBorders>
              <w:top w:val="nil"/>
              <w:left w:val="nil"/>
              <w:bottom w:val="nil"/>
              <w:right w:val="single" w:sz="8" w:space="0" w:color="FAFAFA"/>
            </w:tcBorders>
            <w:shd w:val="clear" w:color="auto" w:fill="FAFAFA"/>
            <w:tcMar>
              <w:top w:w="100" w:type="dxa"/>
              <w:left w:w="80" w:type="dxa"/>
              <w:bottom w:w="100" w:type="dxa"/>
              <w:right w:w="80" w:type="dxa"/>
            </w:tcMar>
          </w:tcPr>
          <w:p w14:paraId="25FD1281" w14:textId="77777777" w:rsidR="009D1A60" w:rsidRDefault="00000000">
            <w:pPr>
              <w:spacing w:after="0" w:line="276" w:lineRule="auto"/>
              <w:jc w:val="left"/>
              <w:rPr>
                <w:sz w:val="17"/>
                <w:szCs w:val="17"/>
              </w:rPr>
            </w:pPr>
            <w:r>
              <w:rPr>
                <w:sz w:val="17"/>
                <w:szCs w:val="17"/>
              </w:rPr>
              <w:t>Bond and interest of bond</w:t>
            </w:r>
          </w:p>
        </w:tc>
        <w:tc>
          <w:tcPr>
            <w:tcW w:w="1559" w:type="dxa"/>
            <w:tcBorders>
              <w:top w:val="nil"/>
              <w:left w:val="nil"/>
              <w:bottom w:val="nil"/>
              <w:right w:val="single" w:sz="8" w:space="0" w:color="FFFFFF"/>
            </w:tcBorders>
            <w:shd w:val="clear" w:color="auto" w:fill="FAFAFA"/>
            <w:tcMar>
              <w:top w:w="100" w:type="dxa"/>
              <w:left w:w="80" w:type="dxa"/>
              <w:bottom w:w="100" w:type="dxa"/>
              <w:right w:w="80" w:type="dxa"/>
            </w:tcMar>
          </w:tcPr>
          <w:p w14:paraId="78BBAFEF" w14:textId="77777777" w:rsidR="009D1A60" w:rsidRDefault="00000000">
            <w:pPr>
              <w:spacing w:after="0" w:line="276" w:lineRule="auto"/>
              <w:jc w:val="right"/>
              <w:rPr>
                <w:sz w:val="17"/>
                <w:szCs w:val="17"/>
              </w:rPr>
            </w:pPr>
            <w:r>
              <w:rPr>
                <w:sz w:val="17"/>
                <w:szCs w:val="17"/>
              </w:rPr>
              <w:t>100</w:t>
            </w:r>
          </w:p>
        </w:tc>
        <w:tc>
          <w:tcPr>
            <w:tcW w:w="1560" w:type="dxa"/>
            <w:tcBorders>
              <w:top w:val="nil"/>
              <w:left w:val="nil"/>
              <w:bottom w:val="nil"/>
              <w:right w:val="single" w:sz="8" w:space="0" w:color="FFFFFF"/>
            </w:tcBorders>
            <w:shd w:val="clear" w:color="auto" w:fill="FAFAFA"/>
            <w:tcMar>
              <w:top w:w="100" w:type="dxa"/>
              <w:left w:w="80" w:type="dxa"/>
              <w:bottom w:w="100" w:type="dxa"/>
              <w:right w:w="80" w:type="dxa"/>
            </w:tcMar>
          </w:tcPr>
          <w:p w14:paraId="53595231" w14:textId="77777777" w:rsidR="009D1A60" w:rsidRDefault="00000000">
            <w:pPr>
              <w:spacing w:after="0" w:line="276" w:lineRule="auto"/>
              <w:jc w:val="right"/>
              <w:rPr>
                <w:sz w:val="17"/>
                <w:szCs w:val="17"/>
              </w:rPr>
            </w:pPr>
            <w:r>
              <w:rPr>
                <w:sz w:val="17"/>
                <w:szCs w:val="17"/>
              </w:rPr>
              <w:t>98</w:t>
            </w:r>
          </w:p>
        </w:tc>
      </w:tr>
      <w:tr w:rsidR="009D1A60" w14:paraId="77B25B37" w14:textId="77777777" w:rsidTr="00FE2B47">
        <w:trPr>
          <w:trHeight w:val="170"/>
        </w:trPr>
        <w:tc>
          <w:tcPr>
            <w:tcW w:w="2127" w:type="dxa"/>
            <w:tcBorders>
              <w:top w:val="nil"/>
              <w:left w:val="single" w:sz="8" w:space="0" w:color="FAFAFA"/>
              <w:bottom w:val="nil"/>
              <w:right w:val="single" w:sz="8" w:space="0" w:color="FAFAFA"/>
            </w:tcBorders>
            <w:shd w:val="clear" w:color="auto" w:fill="FAFAFA"/>
            <w:tcMar>
              <w:top w:w="100" w:type="dxa"/>
              <w:left w:w="80" w:type="dxa"/>
              <w:bottom w:w="100" w:type="dxa"/>
              <w:right w:w="80" w:type="dxa"/>
            </w:tcMar>
          </w:tcPr>
          <w:p w14:paraId="04A2AF44" w14:textId="77777777" w:rsidR="009D1A60" w:rsidRDefault="00000000">
            <w:pPr>
              <w:spacing w:after="0" w:line="276" w:lineRule="auto"/>
              <w:jc w:val="left"/>
              <w:rPr>
                <w:sz w:val="17"/>
                <w:szCs w:val="17"/>
              </w:rPr>
            </w:pPr>
            <w:r>
              <w:rPr>
                <w:sz w:val="17"/>
                <w:szCs w:val="17"/>
              </w:rPr>
              <w:t>Christopher Leigh</w:t>
            </w:r>
          </w:p>
        </w:tc>
        <w:tc>
          <w:tcPr>
            <w:tcW w:w="1701" w:type="dxa"/>
            <w:tcBorders>
              <w:top w:val="nil"/>
              <w:left w:val="nil"/>
              <w:bottom w:val="nil"/>
              <w:right w:val="single" w:sz="8" w:space="0" w:color="FAFAFA"/>
            </w:tcBorders>
            <w:shd w:val="clear" w:color="auto" w:fill="FAFAFA"/>
            <w:tcMar>
              <w:top w:w="100" w:type="dxa"/>
              <w:left w:w="80" w:type="dxa"/>
              <w:bottom w:w="100" w:type="dxa"/>
              <w:right w:w="80" w:type="dxa"/>
            </w:tcMar>
          </w:tcPr>
          <w:p w14:paraId="702A815E" w14:textId="77777777" w:rsidR="009D1A60" w:rsidRDefault="00000000">
            <w:pPr>
              <w:spacing w:after="0" w:line="276" w:lineRule="auto"/>
              <w:jc w:val="left"/>
              <w:rPr>
                <w:sz w:val="17"/>
                <w:szCs w:val="17"/>
              </w:rPr>
            </w:pPr>
            <w:r>
              <w:rPr>
                <w:sz w:val="17"/>
                <w:szCs w:val="17"/>
              </w:rPr>
              <w:t>Contingent consideration</w:t>
            </w:r>
          </w:p>
        </w:tc>
        <w:tc>
          <w:tcPr>
            <w:tcW w:w="2551" w:type="dxa"/>
            <w:tcBorders>
              <w:top w:val="nil"/>
              <w:left w:val="nil"/>
              <w:bottom w:val="nil"/>
              <w:right w:val="single" w:sz="8" w:space="0" w:color="FAFAFA"/>
            </w:tcBorders>
            <w:shd w:val="clear" w:color="auto" w:fill="FAFAFA"/>
            <w:tcMar>
              <w:top w:w="100" w:type="dxa"/>
              <w:left w:w="80" w:type="dxa"/>
              <w:bottom w:w="100" w:type="dxa"/>
              <w:right w:w="80" w:type="dxa"/>
            </w:tcMar>
          </w:tcPr>
          <w:p w14:paraId="29B1DFCC" w14:textId="77777777" w:rsidR="009D1A60" w:rsidRDefault="00000000">
            <w:pPr>
              <w:spacing w:after="0" w:line="276" w:lineRule="auto"/>
              <w:jc w:val="left"/>
              <w:rPr>
                <w:sz w:val="17"/>
                <w:szCs w:val="17"/>
              </w:rPr>
            </w:pPr>
            <w:r>
              <w:rPr>
                <w:sz w:val="17"/>
                <w:szCs w:val="17"/>
              </w:rPr>
              <w:t>Payable for non-controlling interests</w:t>
            </w:r>
          </w:p>
        </w:tc>
        <w:tc>
          <w:tcPr>
            <w:tcW w:w="1559" w:type="dxa"/>
            <w:tcBorders>
              <w:top w:val="nil"/>
              <w:left w:val="nil"/>
              <w:bottom w:val="nil"/>
              <w:right w:val="single" w:sz="8" w:space="0" w:color="FFFFFF"/>
            </w:tcBorders>
            <w:shd w:val="clear" w:color="auto" w:fill="FAFAFA"/>
            <w:tcMar>
              <w:top w:w="100" w:type="dxa"/>
              <w:left w:w="80" w:type="dxa"/>
              <w:bottom w:w="100" w:type="dxa"/>
              <w:right w:w="80" w:type="dxa"/>
            </w:tcMar>
          </w:tcPr>
          <w:p w14:paraId="27E35746" w14:textId="77777777" w:rsidR="009D1A60" w:rsidRDefault="00000000">
            <w:pPr>
              <w:spacing w:after="0" w:line="276" w:lineRule="auto"/>
              <w:jc w:val="right"/>
              <w:rPr>
                <w:sz w:val="17"/>
                <w:szCs w:val="17"/>
              </w:rPr>
            </w:pPr>
            <w:r>
              <w:rPr>
                <w:sz w:val="17"/>
                <w:szCs w:val="17"/>
              </w:rPr>
              <w:t>0</w:t>
            </w:r>
          </w:p>
        </w:tc>
        <w:tc>
          <w:tcPr>
            <w:tcW w:w="1560" w:type="dxa"/>
            <w:tcBorders>
              <w:top w:val="nil"/>
              <w:left w:val="nil"/>
              <w:bottom w:val="nil"/>
              <w:right w:val="single" w:sz="8" w:space="0" w:color="FFFFFF"/>
            </w:tcBorders>
            <w:shd w:val="clear" w:color="auto" w:fill="FAFAFA"/>
            <w:tcMar>
              <w:top w:w="100" w:type="dxa"/>
              <w:left w:w="80" w:type="dxa"/>
              <w:bottom w:w="100" w:type="dxa"/>
              <w:right w:w="80" w:type="dxa"/>
            </w:tcMar>
          </w:tcPr>
          <w:p w14:paraId="5797DAD1" w14:textId="77777777" w:rsidR="009D1A60" w:rsidRDefault="00000000">
            <w:pPr>
              <w:spacing w:after="0" w:line="276" w:lineRule="auto"/>
              <w:jc w:val="right"/>
              <w:rPr>
                <w:sz w:val="17"/>
                <w:szCs w:val="17"/>
              </w:rPr>
            </w:pPr>
            <w:r>
              <w:rPr>
                <w:sz w:val="17"/>
                <w:szCs w:val="17"/>
              </w:rPr>
              <w:t>1 732</w:t>
            </w:r>
          </w:p>
        </w:tc>
      </w:tr>
      <w:tr w:rsidR="009D1A60" w14:paraId="567FEB22" w14:textId="77777777" w:rsidTr="00FE2B47">
        <w:trPr>
          <w:trHeight w:val="170"/>
        </w:trPr>
        <w:tc>
          <w:tcPr>
            <w:tcW w:w="2127" w:type="dxa"/>
            <w:tcBorders>
              <w:top w:val="nil"/>
              <w:left w:val="single" w:sz="8" w:space="0" w:color="FAFAFA"/>
              <w:bottom w:val="nil"/>
              <w:right w:val="single" w:sz="8" w:space="0" w:color="FAFAFA"/>
            </w:tcBorders>
            <w:shd w:val="clear" w:color="auto" w:fill="FAFAFA"/>
            <w:tcMar>
              <w:top w:w="100" w:type="dxa"/>
              <w:left w:w="80" w:type="dxa"/>
              <w:bottom w:w="100" w:type="dxa"/>
              <w:right w:w="80" w:type="dxa"/>
            </w:tcMar>
          </w:tcPr>
          <w:p w14:paraId="10623E46" w14:textId="77777777" w:rsidR="009D1A60" w:rsidRDefault="00000000">
            <w:pPr>
              <w:spacing w:after="0" w:line="276" w:lineRule="auto"/>
              <w:jc w:val="left"/>
              <w:rPr>
                <w:sz w:val="17"/>
                <w:szCs w:val="17"/>
              </w:rPr>
            </w:pPr>
            <w:r>
              <w:rPr>
                <w:sz w:val="17"/>
                <w:szCs w:val="17"/>
              </w:rPr>
              <w:t>Victoria Leigh-Pearson</w:t>
            </w:r>
          </w:p>
        </w:tc>
        <w:tc>
          <w:tcPr>
            <w:tcW w:w="1701" w:type="dxa"/>
            <w:tcBorders>
              <w:top w:val="nil"/>
              <w:left w:val="nil"/>
              <w:bottom w:val="nil"/>
              <w:right w:val="single" w:sz="8" w:space="0" w:color="FAFAFA"/>
            </w:tcBorders>
            <w:shd w:val="clear" w:color="auto" w:fill="FAFAFA"/>
            <w:tcMar>
              <w:top w:w="100" w:type="dxa"/>
              <w:left w:w="80" w:type="dxa"/>
              <w:bottom w:w="100" w:type="dxa"/>
              <w:right w:w="80" w:type="dxa"/>
            </w:tcMar>
          </w:tcPr>
          <w:p w14:paraId="23FBCF7C" w14:textId="77777777" w:rsidR="009D1A60" w:rsidRDefault="00000000">
            <w:pPr>
              <w:spacing w:after="0" w:line="276" w:lineRule="auto"/>
              <w:jc w:val="left"/>
              <w:rPr>
                <w:sz w:val="17"/>
                <w:szCs w:val="17"/>
              </w:rPr>
            </w:pPr>
            <w:r>
              <w:rPr>
                <w:sz w:val="17"/>
                <w:szCs w:val="17"/>
              </w:rPr>
              <w:t>Contingent consideration</w:t>
            </w:r>
          </w:p>
        </w:tc>
        <w:tc>
          <w:tcPr>
            <w:tcW w:w="2551" w:type="dxa"/>
            <w:tcBorders>
              <w:top w:val="nil"/>
              <w:left w:val="nil"/>
              <w:bottom w:val="nil"/>
              <w:right w:val="single" w:sz="8" w:space="0" w:color="FAFAFA"/>
            </w:tcBorders>
            <w:shd w:val="clear" w:color="auto" w:fill="FAFAFA"/>
            <w:tcMar>
              <w:top w:w="100" w:type="dxa"/>
              <w:left w:w="80" w:type="dxa"/>
              <w:bottom w:w="100" w:type="dxa"/>
              <w:right w:w="80" w:type="dxa"/>
            </w:tcMar>
          </w:tcPr>
          <w:p w14:paraId="0E53898A" w14:textId="77777777" w:rsidR="009D1A60" w:rsidRDefault="00000000">
            <w:pPr>
              <w:spacing w:after="0" w:line="276" w:lineRule="auto"/>
              <w:jc w:val="left"/>
              <w:rPr>
                <w:sz w:val="17"/>
                <w:szCs w:val="17"/>
              </w:rPr>
            </w:pPr>
            <w:r>
              <w:rPr>
                <w:sz w:val="17"/>
                <w:szCs w:val="17"/>
              </w:rPr>
              <w:t>Payable for non-controlling interests</w:t>
            </w:r>
          </w:p>
        </w:tc>
        <w:tc>
          <w:tcPr>
            <w:tcW w:w="1559" w:type="dxa"/>
            <w:tcBorders>
              <w:top w:val="nil"/>
              <w:left w:val="nil"/>
              <w:bottom w:val="nil"/>
              <w:right w:val="single" w:sz="8" w:space="0" w:color="FFFFFF"/>
            </w:tcBorders>
            <w:shd w:val="clear" w:color="auto" w:fill="FAFAFA"/>
            <w:tcMar>
              <w:top w:w="100" w:type="dxa"/>
              <w:left w:w="80" w:type="dxa"/>
              <w:bottom w:w="100" w:type="dxa"/>
              <w:right w:w="80" w:type="dxa"/>
            </w:tcMar>
          </w:tcPr>
          <w:p w14:paraId="35D01D2B" w14:textId="77777777" w:rsidR="009D1A60" w:rsidRDefault="00000000">
            <w:pPr>
              <w:spacing w:after="0" w:line="276" w:lineRule="auto"/>
              <w:jc w:val="right"/>
              <w:rPr>
                <w:sz w:val="17"/>
                <w:szCs w:val="17"/>
              </w:rPr>
            </w:pPr>
            <w:r>
              <w:rPr>
                <w:sz w:val="17"/>
                <w:szCs w:val="17"/>
              </w:rPr>
              <w:t>0</w:t>
            </w:r>
          </w:p>
        </w:tc>
        <w:tc>
          <w:tcPr>
            <w:tcW w:w="1560" w:type="dxa"/>
            <w:tcBorders>
              <w:top w:val="nil"/>
              <w:left w:val="nil"/>
              <w:bottom w:val="nil"/>
              <w:right w:val="single" w:sz="8" w:space="0" w:color="FFFFFF"/>
            </w:tcBorders>
            <w:shd w:val="clear" w:color="auto" w:fill="FAFAFA"/>
            <w:tcMar>
              <w:top w:w="100" w:type="dxa"/>
              <w:left w:w="80" w:type="dxa"/>
              <w:bottom w:w="100" w:type="dxa"/>
              <w:right w:w="80" w:type="dxa"/>
            </w:tcMar>
          </w:tcPr>
          <w:p w14:paraId="0BFBD0A4" w14:textId="77777777" w:rsidR="009D1A60" w:rsidRDefault="00000000">
            <w:pPr>
              <w:spacing w:after="0" w:line="276" w:lineRule="auto"/>
              <w:jc w:val="right"/>
              <w:rPr>
                <w:sz w:val="17"/>
                <w:szCs w:val="17"/>
              </w:rPr>
            </w:pPr>
            <w:r>
              <w:rPr>
                <w:sz w:val="17"/>
                <w:szCs w:val="17"/>
              </w:rPr>
              <w:t>975</w:t>
            </w:r>
          </w:p>
        </w:tc>
      </w:tr>
      <w:tr w:rsidR="009D1A60" w14:paraId="39099202" w14:textId="77777777" w:rsidTr="00FE2B47">
        <w:trPr>
          <w:trHeight w:val="170"/>
        </w:trPr>
        <w:tc>
          <w:tcPr>
            <w:tcW w:w="2127" w:type="dxa"/>
            <w:tcBorders>
              <w:top w:val="nil"/>
              <w:left w:val="single" w:sz="8" w:space="0" w:color="FFFFFF"/>
              <w:bottom w:val="single" w:sz="8" w:space="0" w:color="FFFFFF"/>
              <w:right w:val="single" w:sz="8" w:space="0" w:color="FFFFFF"/>
            </w:tcBorders>
            <w:shd w:val="clear" w:color="auto" w:fill="FAFAFA"/>
          </w:tcPr>
          <w:p w14:paraId="046C631A" w14:textId="77777777" w:rsidR="009D1A60" w:rsidRDefault="00000000">
            <w:pPr>
              <w:spacing w:after="0" w:line="240" w:lineRule="auto"/>
              <w:jc w:val="left"/>
              <w:rPr>
                <w:rFonts w:eastAsia="Arial" w:cs="Arial"/>
                <w:b/>
                <w:color w:val="5E6EC8"/>
                <w:sz w:val="17"/>
                <w:szCs w:val="17"/>
              </w:rPr>
            </w:pPr>
            <w:r>
              <w:rPr>
                <w:rFonts w:eastAsia="Arial" w:cs="Arial"/>
                <w:b/>
                <w:color w:val="5E6EC8"/>
                <w:sz w:val="17"/>
                <w:szCs w:val="17"/>
              </w:rPr>
              <w:t>Total</w:t>
            </w:r>
          </w:p>
        </w:tc>
        <w:tc>
          <w:tcPr>
            <w:tcW w:w="1701" w:type="dxa"/>
            <w:tcBorders>
              <w:top w:val="nil"/>
              <w:left w:val="nil"/>
              <w:bottom w:val="nil"/>
              <w:right w:val="single" w:sz="8" w:space="0" w:color="FAFAFA"/>
            </w:tcBorders>
            <w:shd w:val="clear" w:color="auto" w:fill="FAFAFA"/>
          </w:tcPr>
          <w:p w14:paraId="4D229790" w14:textId="77777777" w:rsidR="009D1A60" w:rsidRDefault="00000000">
            <w:pPr>
              <w:spacing w:after="0" w:line="240" w:lineRule="auto"/>
              <w:jc w:val="left"/>
              <w:rPr>
                <w:rFonts w:eastAsia="Arial" w:cs="Arial"/>
                <w:b/>
                <w:color w:val="000000"/>
                <w:sz w:val="17"/>
                <w:szCs w:val="17"/>
              </w:rPr>
            </w:pPr>
            <w:r>
              <w:rPr>
                <w:rFonts w:eastAsia="Arial" w:cs="Arial"/>
                <w:b/>
                <w:color w:val="000000"/>
                <w:sz w:val="17"/>
                <w:szCs w:val="17"/>
              </w:rPr>
              <w:t> </w:t>
            </w:r>
          </w:p>
        </w:tc>
        <w:tc>
          <w:tcPr>
            <w:tcW w:w="2551" w:type="dxa"/>
            <w:tcBorders>
              <w:top w:val="nil"/>
              <w:left w:val="nil"/>
              <w:bottom w:val="nil"/>
              <w:right w:val="single" w:sz="8" w:space="0" w:color="FAFAFA"/>
            </w:tcBorders>
            <w:shd w:val="clear" w:color="auto" w:fill="FAFAFA"/>
          </w:tcPr>
          <w:p w14:paraId="431D5537" w14:textId="77777777" w:rsidR="009D1A60" w:rsidRDefault="00000000">
            <w:pPr>
              <w:spacing w:after="0" w:line="240" w:lineRule="auto"/>
              <w:jc w:val="left"/>
              <w:rPr>
                <w:rFonts w:eastAsia="Arial" w:cs="Arial"/>
                <w:b/>
                <w:color w:val="000000"/>
                <w:sz w:val="17"/>
                <w:szCs w:val="17"/>
              </w:rPr>
            </w:pPr>
            <w:r>
              <w:rPr>
                <w:rFonts w:eastAsia="Arial" w:cs="Arial"/>
                <w:b/>
                <w:color w:val="000000"/>
                <w:sz w:val="17"/>
                <w:szCs w:val="17"/>
              </w:rPr>
              <w:t> </w:t>
            </w:r>
          </w:p>
        </w:tc>
        <w:tc>
          <w:tcPr>
            <w:tcW w:w="1559" w:type="dxa"/>
            <w:tcBorders>
              <w:top w:val="nil"/>
              <w:left w:val="nil"/>
              <w:bottom w:val="nil"/>
              <w:right w:val="single" w:sz="8" w:space="0" w:color="FFFFFF"/>
            </w:tcBorders>
            <w:shd w:val="clear" w:color="auto" w:fill="FAFAFA"/>
          </w:tcPr>
          <w:p w14:paraId="575AFA04" w14:textId="77777777" w:rsidR="009D1A60" w:rsidRDefault="00000000">
            <w:pPr>
              <w:spacing w:after="0" w:line="240" w:lineRule="auto"/>
              <w:jc w:val="right"/>
              <w:rPr>
                <w:rFonts w:eastAsia="Arial" w:cs="Arial"/>
                <w:b/>
                <w:color w:val="5E6EC8"/>
                <w:sz w:val="17"/>
                <w:szCs w:val="17"/>
              </w:rPr>
            </w:pPr>
            <w:r>
              <w:rPr>
                <w:b/>
                <w:color w:val="5E6EC8"/>
                <w:sz w:val="17"/>
                <w:szCs w:val="17"/>
              </w:rPr>
              <w:t>3 170</w:t>
            </w:r>
          </w:p>
        </w:tc>
        <w:tc>
          <w:tcPr>
            <w:tcW w:w="1560" w:type="dxa"/>
            <w:tcBorders>
              <w:top w:val="nil"/>
              <w:left w:val="nil"/>
              <w:bottom w:val="nil"/>
              <w:right w:val="single" w:sz="8" w:space="0" w:color="FFFFFF"/>
            </w:tcBorders>
            <w:shd w:val="clear" w:color="auto" w:fill="FAFAFA"/>
          </w:tcPr>
          <w:p w14:paraId="58365FE4" w14:textId="77777777" w:rsidR="009D1A60" w:rsidRDefault="00000000">
            <w:pPr>
              <w:spacing w:after="0" w:line="240" w:lineRule="auto"/>
              <w:jc w:val="right"/>
              <w:rPr>
                <w:b/>
                <w:color w:val="5E6EC8"/>
                <w:sz w:val="17"/>
                <w:szCs w:val="17"/>
              </w:rPr>
            </w:pPr>
            <w:r>
              <w:rPr>
                <w:b/>
                <w:color w:val="5E6EC8"/>
                <w:sz w:val="17"/>
                <w:szCs w:val="17"/>
              </w:rPr>
              <w:t>5 485</w:t>
            </w:r>
          </w:p>
        </w:tc>
      </w:tr>
    </w:tbl>
    <w:p w14:paraId="3F332AF2" w14:textId="77777777" w:rsidR="009D1A60" w:rsidRDefault="009D1A60">
      <w:pPr>
        <w:spacing w:after="0"/>
      </w:pPr>
    </w:p>
    <w:p w14:paraId="2903660C" w14:textId="77777777" w:rsidR="009D1A60" w:rsidRDefault="00000000">
      <w:pPr>
        <w:pStyle w:val="Heading3"/>
        <w:numPr>
          <w:ilvl w:val="0"/>
          <w:numId w:val="1"/>
        </w:numPr>
        <w:ind w:hanging="360"/>
      </w:pPr>
      <w:bookmarkStart w:id="26" w:name="_Toc112873387"/>
      <w:r>
        <w:t>Associate Companies</w:t>
      </w:r>
      <w:bookmarkEnd w:id="26"/>
    </w:p>
    <w:p w14:paraId="026EB5ED" w14:textId="77777777" w:rsidR="009D1A60" w:rsidRDefault="00000000" w:rsidP="00FE2B47">
      <w:pPr>
        <w:pStyle w:val="ENGNormalcapslilla"/>
      </w:pPr>
      <w:proofErr w:type="spellStart"/>
      <w:r>
        <w:t>Avamere</w:t>
      </w:r>
      <w:proofErr w:type="spellEnd"/>
      <w:r>
        <w:t xml:space="preserve"> </w:t>
      </w:r>
      <w:proofErr w:type="spellStart"/>
      <w:r>
        <w:t>Kalakasvatus</w:t>
      </w:r>
      <w:proofErr w:type="spellEnd"/>
      <w:r>
        <w:t xml:space="preserve"> OÜ (50% holding)</w:t>
      </w:r>
    </w:p>
    <w:p w14:paraId="6C45F739" w14:textId="77777777" w:rsidR="009D1A60" w:rsidRDefault="00000000">
      <w:r>
        <w:t xml:space="preserve">On 18.01.2019 </w:t>
      </w:r>
      <w:proofErr w:type="spellStart"/>
      <w:r>
        <w:t>Avamere</w:t>
      </w:r>
      <w:proofErr w:type="spellEnd"/>
      <w:r>
        <w:t xml:space="preserve"> </w:t>
      </w:r>
      <w:proofErr w:type="spellStart"/>
      <w:r>
        <w:t>Kalakasvatus</w:t>
      </w:r>
      <w:proofErr w:type="spellEnd"/>
      <w:r>
        <w:t xml:space="preserve"> OÜ was registered in the Estonian Commercial Registry. The company is an associate of AS </w:t>
      </w:r>
      <w:proofErr w:type="spellStart"/>
      <w:r>
        <w:t>PRFoods</w:t>
      </w:r>
      <w:proofErr w:type="spellEnd"/>
      <w:r>
        <w:t xml:space="preserve">. and it </w:t>
      </w:r>
      <w:proofErr w:type="gramStart"/>
      <w:r>
        <w:t>submitted an application</w:t>
      </w:r>
      <w:proofErr w:type="gramEnd"/>
      <w:r>
        <w:t xml:space="preserve"> to the Technical Regulatory Authority for the building right of the establishment of an offshore fish farming complex in the Estonian waters off the coast of </w:t>
      </w:r>
      <w:proofErr w:type="spellStart"/>
      <w:r>
        <w:t>Paldiski</w:t>
      </w:r>
      <w:proofErr w:type="spellEnd"/>
      <w:r>
        <w:t>. The building right is to allow establishing a rainbow trout farming complex in the offshore cages.</w:t>
      </w:r>
    </w:p>
    <w:p w14:paraId="532A3367" w14:textId="77777777" w:rsidR="009D1A60" w:rsidRDefault="00000000" w:rsidP="00FE2B47">
      <w:pPr>
        <w:pStyle w:val="ENGNormalcapslilla"/>
      </w:pPr>
      <w:r>
        <w:t>AS Toidu- ja Fermentatsioonitehnoloogia Arenduskeskus (20% holding)</w:t>
      </w:r>
    </w:p>
    <w:p w14:paraId="1502E457" w14:textId="77777777" w:rsidR="009D1A60" w:rsidRDefault="00000000">
      <w:r>
        <w:t xml:space="preserve">Since 2010 the Group holds 20% in AS </w:t>
      </w:r>
      <w:proofErr w:type="spellStart"/>
      <w:r>
        <w:t>Toidu</w:t>
      </w:r>
      <w:proofErr w:type="spellEnd"/>
      <w:r>
        <w:t xml:space="preserve">- </w:t>
      </w:r>
      <w:proofErr w:type="spellStart"/>
      <w:r>
        <w:t>ja</w:t>
      </w:r>
      <w:proofErr w:type="spellEnd"/>
      <w:r>
        <w:t xml:space="preserve"> </w:t>
      </w:r>
      <w:proofErr w:type="spellStart"/>
      <w:r>
        <w:t>Fermentatsioonitehnoloogia</w:t>
      </w:r>
      <w:proofErr w:type="spellEnd"/>
      <w:r>
        <w:t xml:space="preserve"> </w:t>
      </w:r>
      <w:proofErr w:type="spellStart"/>
      <w:r>
        <w:t>Arenduskeskus</w:t>
      </w:r>
      <w:proofErr w:type="spellEnd"/>
      <w:r>
        <w:t xml:space="preserve"> (Competence </w:t>
      </w:r>
      <w:proofErr w:type="spellStart"/>
      <w:r>
        <w:t>Center</w:t>
      </w:r>
      <w:proofErr w:type="spellEnd"/>
      <w:r>
        <w:t xml:space="preserve"> of Food and Fermentation Technology).</w:t>
      </w:r>
    </w:p>
    <w:p w14:paraId="2AFEA2FE" w14:textId="77777777" w:rsidR="009D1A60" w:rsidRDefault="00000000">
      <w:pPr>
        <w:pStyle w:val="Heading3"/>
        <w:numPr>
          <w:ilvl w:val="0"/>
          <w:numId w:val="1"/>
        </w:numPr>
        <w:ind w:hanging="360"/>
      </w:pPr>
      <w:bookmarkStart w:id="27" w:name="_Toc112873388"/>
      <w:r>
        <w:lastRenderedPageBreak/>
        <w:t>Contingent Liabilities</w:t>
      </w:r>
      <w:bookmarkEnd w:id="27"/>
    </w:p>
    <w:p w14:paraId="05BFA565" w14:textId="77777777" w:rsidR="009D1A60" w:rsidRDefault="00000000">
      <w:pPr>
        <w:keepNext/>
        <w:pBdr>
          <w:top w:val="nil"/>
          <w:left w:val="nil"/>
          <w:bottom w:val="nil"/>
          <w:right w:val="nil"/>
          <w:between w:val="nil"/>
        </w:pBdr>
        <w:rPr>
          <w:rFonts w:eastAsia="Arial" w:cs="Arial"/>
          <w:b/>
          <w:color w:val="363270"/>
        </w:rPr>
      </w:pPr>
      <w:bookmarkStart w:id="28" w:name="_heading=h.23ckvvd" w:colFirst="0" w:colLast="0"/>
      <w:bookmarkEnd w:id="28"/>
      <w:r>
        <w:rPr>
          <w:rFonts w:eastAsia="Arial" w:cs="Arial"/>
          <w:b/>
          <w:color w:val="363270"/>
        </w:rPr>
        <w:t>Contingent liabilities in connection with setting a mortgage for the benefit of the Customs Board of Finland</w:t>
      </w:r>
    </w:p>
    <w:p w14:paraId="2438D33C" w14:textId="77777777" w:rsidR="009D1A60" w:rsidRDefault="00000000">
      <w:r>
        <w:t>A mortgage was set for the benefit of the Finnish Customs Board in the amount of 84 thousand euros. The purpose of the transaction was a more streamlined organisation of the day-to-day operations by reducing persistent prepayments to the Customs Board.</w:t>
      </w:r>
    </w:p>
    <w:p w14:paraId="330C5979" w14:textId="77777777" w:rsidR="009D1A60" w:rsidRDefault="00000000">
      <w:r>
        <w:t>The management estimated that it is improbable that the Finnish Customs Board will liquate the pledged asset.</w:t>
      </w:r>
    </w:p>
    <w:p w14:paraId="7BD14507" w14:textId="77777777" w:rsidR="009D1A60" w:rsidRDefault="00000000">
      <w:pPr>
        <w:keepNext/>
        <w:rPr>
          <w:b/>
          <w:color w:val="363270"/>
        </w:rPr>
      </w:pPr>
      <w:r>
        <w:rPr>
          <w:b/>
          <w:color w:val="363270"/>
        </w:rPr>
        <w:t>Contingent liabilities relating to tax boards</w:t>
      </w:r>
    </w:p>
    <w:p w14:paraId="26522816" w14:textId="77777777" w:rsidR="009D1A60" w:rsidRDefault="00000000">
      <w:r>
        <w:t xml:space="preserve">The tax authorities may at any time inspect the books and records of the Group within 5 years </w:t>
      </w:r>
      <w:proofErr w:type="gramStart"/>
      <w:r>
        <w:t>subsequent to</w:t>
      </w:r>
      <w:proofErr w:type="gramEnd"/>
      <w:r>
        <w:t xml:space="preserve"> the reported tax year in Estonia and Finland. within 6 years in United Kingdom and within 7 years in Sweden. and may </w:t>
      </w:r>
      <w:proofErr w:type="gramStart"/>
      <w:r>
        <w:t>as a result of</w:t>
      </w:r>
      <w:proofErr w:type="gramEnd"/>
      <w:r>
        <w:t xml:space="preserve"> their inspection impose additional tax assessments. interests and penalties. During the first three months of the financial year and in the previous financial years the tax authorities have not conducted tax audits. The management of the Group is not aware of any circumstances which may give rise to a potential material liability in this respect.</w:t>
      </w:r>
    </w:p>
    <w:p w14:paraId="38D8A84A" w14:textId="77777777" w:rsidR="009D1A60" w:rsidRDefault="00000000">
      <w:pPr>
        <w:pStyle w:val="Heading3"/>
        <w:numPr>
          <w:ilvl w:val="0"/>
          <w:numId w:val="1"/>
        </w:numPr>
        <w:ind w:hanging="360"/>
      </w:pPr>
      <w:bookmarkStart w:id="29" w:name="_heading=h.iv3spenrua5h" w:colFirst="0" w:colLast="0"/>
      <w:bookmarkStart w:id="30" w:name="_Toc112873389"/>
      <w:bookmarkEnd w:id="29"/>
      <w:r>
        <w:t>Disposal of Subsidiary</w:t>
      </w:r>
      <w:bookmarkEnd w:id="30"/>
    </w:p>
    <w:p w14:paraId="6ABCDF9E" w14:textId="77777777" w:rsidR="009D1A60" w:rsidRDefault="00000000">
      <w:pPr>
        <w:spacing w:after="0" w:line="240" w:lineRule="auto"/>
      </w:pPr>
      <w:r>
        <w:t xml:space="preserve">As of 28.02.2022 </w:t>
      </w:r>
      <w:proofErr w:type="spellStart"/>
      <w:r>
        <w:t>Saaremere</w:t>
      </w:r>
      <w:proofErr w:type="spellEnd"/>
      <w:r>
        <w:t xml:space="preserve"> Kala AS, a subsidiary of AS </w:t>
      </w:r>
      <w:proofErr w:type="spellStart"/>
      <w:r>
        <w:t>PRFoods</w:t>
      </w:r>
      <w:proofErr w:type="spellEnd"/>
      <w:r>
        <w:t xml:space="preserve">, transferred 100% of the shares of </w:t>
      </w:r>
      <w:proofErr w:type="spellStart"/>
      <w:r>
        <w:t>Heimon</w:t>
      </w:r>
      <w:proofErr w:type="spellEnd"/>
      <w:r>
        <w:t xml:space="preserve"> Kala Oy to Nordic Fish Oy. The assets and liabilities of the </w:t>
      </w:r>
      <w:proofErr w:type="spellStart"/>
      <w:r>
        <w:t>Heimon</w:t>
      </w:r>
      <w:proofErr w:type="spellEnd"/>
      <w:r>
        <w:t xml:space="preserve"> Kala Oy are derecognised from the consolidated statement of financial position as of 30.06.2022.  Income and expenses of the </w:t>
      </w:r>
      <w:proofErr w:type="spellStart"/>
      <w:r>
        <w:t>Heimon</w:t>
      </w:r>
      <w:proofErr w:type="spellEnd"/>
      <w:r>
        <w:t xml:space="preserve"> Kala Oy are consolidated only up to the disposal date of 28.02.2022. Loss from the disposal of the subsidiary is recognised in the line “Financial Income/Expenses” in the Consolidated Statement of Profit or Loss. </w:t>
      </w:r>
    </w:p>
    <w:p w14:paraId="6ADBAE33" w14:textId="77777777" w:rsidR="009D1A60" w:rsidRDefault="009D1A60">
      <w:pPr>
        <w:spacing w:after="0" w:line="240" w:lineRule="auto"/>
      </w:pPr>
    </w:p>
    <w:p w14:paraId="08B6D9C2" w14:textId="77777777" w:rsidR="009D1A60" w:rsidRDefault="00000000">
      <w:pPr>
        <w:rPr>
          <w:i/>
        </w:rPr>
      </w:pPr>
      <w:r>
        <w:rPr>
          <w:i/>
        </w:rPr>
        <w:t xml:space="preserve">Purpose of the transaction and impact on AS </w:t>
      </w:r>
      <w:proofErr w:type="spellStart"/>
      <w:r>
        <w:rPr>
          <w:i/>
        </w:rPr>
        <w:t>PRFoods</w:t>
      </w:r>
      <w:proofErr w:type="spellEnd"/>
      <w:r>
        <w:rPr>
          <w:i/>
        </w:rPr>
        <w:t xml:space="preserve"> activities</w:t>
      </w:r>
    </w:p>
    <w:p w14:paraId="69CCAB6F" w14:textId="77777777" w:rsidR="009D1A60" w:rsidRDefault="00000000">
      <w:proofErr w:type="spellStart"/>
      <w:r>
        <w:t>PRFoods</w:t>
      </w:r>
      <w:proofErr w:type="spellEnd"/>
      <w:r>
        <w:t xml:space="preserve"> has stated in the past that its aim is to exit from loss-making units and activities. In Finland, restructuring and an asset sale were carried out. "We are delighted that </w:t>
      </w:r>
      <w:proofErr w:type="spellStart"/>
      <w:r>
        <w:t>Heimon</w:t>
      </w:r>
      <w:proofErr w:type="spellEnd"/>
      <w:r>
        <w:t xml:space="preserve"> Kala Oy has returned to the ownership of Finnish family business and industry leader. </w:t>
      </w:r>
      <w:proofErr w:type="gramStart"/>
      <w:r>
        <w:t>In spite of</w:t>
      </w:r>
      <w:proofErr w:type="gramEnd"/>
      <w:r>
        <w:t xml:space="preserve"> the difficult effects of the corona period on </w:t>
      </w:r>
      <w:proofErr w:type="spellStart"/>
      <w:r>
        <w:t>Heimon</w:t>
      </w:r>
      <w:proofErr w:type="spellEnd"/>
      <w:r>
        <w:t xml:space="preserve"> Kala Oy's financial results, the </w:t>
      </w:r>
      <w:proofErr w:type="spellStart"/>
      <w:r>
        <w:t>Heimon</w:t>
      </w:r>
      <w:proofErr w:type="spellEnd"/>
      <w:r>
        <w:t xml:space="preserve"> Kala brand is one of the best known in Finland and we believe that the combination of the buyer's </w:t>
      </w:r>
      <w:proofErr w:type="spellStart"/>
      <w:r>
        <w:t>Kalaneuvos</w:t>
      </w:r>
      <w:proofErr w:type="spellEnd"/>
      <w:r>
        <w:t xml:space="preserve"> brand and the </w:t>
      </w:r>
      <w:proofErr w:type="spellStart"/>
      <w:r>
        <w:t>Heimon</w:t>
      </w:r>
      <w:proofErr w:type="spellEnd"/>
      <w:r>
        <w:t xml:space="preserve"> Kala brand will have a long-term positive impact on the Finnish market," said </w:t>
      </w:r>
      <w:proofErr w:type="spellStart"/>
      <w:r>
        <w:t>Indrek</w:t>
      </w:r>
      <w:proofErr w:type="spellEnd"/>
      <w:r>
        <w:t xml:space="preserve"> </w:t>
      </w:r>
      <w:proofErr w:type="spellStart"/>
      <w:r>
        <w:t>Kasela</w:t>
      </w:r>
      <w:proofErr w:type="spellEnd"/>
      <w:r>
        <w:t xml:space="preserve">, management board member of AS </w:t>
      </w:r>
      <w:proofErr w:type="spellStart"/>
      <w:r>
        <w:t>PRFoods</w:t>
      </w:r>
      <w:proofErr w:type="spellEnd"/>
      <w:r>
        <w:t xml:space="preserve">. “The Finnish unit was our only loss-making unit and the strategic decision to exit from this business had been planned earlier. After lengthy process, we believe we have found the best new owner for our Finnish business, and we wish them and our employees every success in a new corporate family. AS </w:t>
      </w:r>
      <w:proofErr w:type="spellStart"/>
      <w:r>
        <w:t>PRFoods</w:t>
      </w:r>
      <w:proofErr w:type="spellEnd"/>
      <w:r>
        <w:t xml:space="preserve"> is very pleased with the development of its other subsidiaries, especially with the growth of the Estonian retail market, and we are planning to introduce a new brand this year, which will emphasise our Saaremaa origin. Also, John Ross Jr has recovered very quickly from the effects of corona. Above all, credit must go to our fish farming division, under the leadership of </w:t>
      </w:r>
      <w:proofErr w:type="spellStart"/>
      <w:r>
        <w:t>Margus</w:t>
      </w:r>
      <w:proofErr w:type="spellEnd"/>
      <w:r>
        <w:t xml:space="preserve"> </w:t>
      </w:r>
      <w:proofErr w:type="spellStart"/>
      <w:r>
        <w:t>Rebane</w:t>
      </w:r>
      <w:proofErr w:type="spellEnd"/>
      <w:r>
        <w:t xml:space="preserve">, which has been our real profit centre throughout our operations. I would count as our greatest achievement, in addition to the strong profitability of our fish farming business, the fact that, in partnership with </w:t>
      </w:r>
      <w:proofErr w:type="spellStart"/>
      <w:r>
        <w:t>Biomar</w:t>
      </w:r>
      <w:proofErr w:type="spellEnd"/>
      <w:r>
        <w:t xml:space="preserve">, the world's leading fish feed manufacturer, we have developed Blue Impact, the most environmentally friendly fish feed in the Baltic Sea, and all the fish we farm today already carry the Blue Impact label as the most environmentally friendly farmed fish. Given that we have recently received approval to multiply our Swedish farming capacity, we are focusing our attention and investment on Sweden this year. We have also reached a stage in the expansion of our fish farming in Saaremaa where we hope to at least quadruple our current capacity by 2023 at the latest, and in the future, we hope to get at least 5,000 tonnes of additional capacity from Estonia as well. The restoration of fish farming in Estonia is a very significant achievement because, in addition to significant exports, it would finally give Estonian consumers year-round access to local fish in industrial volumes. As we did not see the possibility to increase the farming capacity in Finland, it was more rational to sell both production and fish farming in Finland, especially considering that in the conditions of sharply increased raw material prices, there was no prospect in the short or long term of an   independent Finnish unit to achieve similar profitability levels in par with other units </w:t>
      </w:r>
      <w:proofErr w:type="gramStart"/>
      <w:r>
        <w:t xml:space="preserve">of  </w:t>
      </w:r>
      <w:proofErr w:type="spellStart"/>
      <w:r>
        <w:t>PRFoods</w:t>
      </w:r>
      <w:proofErr w:type="spellEnd"/>
      <w:proofErr w:type="gramEnd"/>
      <w:r>
        <w:t xml:space="preserve">. </w:t>
      </w:r>
      <w:proofErr w:type="spellStart"/>
      <w:r>
        <w:t>PRFoods</w:t>
      </w:r>
      <w:proofErr w:type="spellEnd"/>
      <w:r>
        <w:t xml:space="preserve"> was once a pioneer in the consolidation of the Finnish fish market, and we are pleased that the </w:t>
      </w:r>
      <w:proofErr w:type="spellStart"/>
      <w:r>
        <w:t>Hukkanen</w:t>
      </w:r>
      <w:proofErr w:type="spellEnd"/>
      <w:r>
        <w:t xml:space="preserve"> family is taking over this baton from us and wish them once again success in this".</w:t>
      </w:r>
    </w:p>
    <w:p w14:paraId="6BD9B7DC" w14:textId="77777777" w:rsidR="009D1A60" w:rsidRDefault="00000000">
      <w:pPr>
        <w:rPr>
          <w:i/>
        </w:rPr>
      </w:pPr>
      <w:r>
        <w:rPr>
          <w:i/>
        </w:rPr>
        <w:t>Sales price and payment terms, difference between acquisition and transfer price</w:t>
      </w:r>
    </w:p>
    <w:p w14:paraId="1A6F5A67" w14:textId="77777777" w:rsidR="009D1A60" w:rsidRDefault="00000000">
      <w:r>
        <w:t xml:space="preserve">The sales price of the shares in </w:t>
      </w:r>
      <w:proofErr w:type="spellStart"/>
      <w:r>
        <w:t>Heimon</w:t>
      </w:r>
      <w:proofErr w:type="spellEnd"/>
      <w:r>
        <w:t xml:space="preserve"> Kala Oy is EUR 1 plus an additional sales price of up to EUR 500,000. Whether the additional sales price will become due, and the exact amount of the additional sales price will depend on whether the fish farming permits applied for from the Finnish Regional State Administrative Agency (AVI) are approved and on the maximum approved usage of feed. An additional sales price of EUR 500,000 will be due if the respective permits are issued with the maximum approved usage of feed of 994,167 kg. If the maximum approved usage of feed is between 0 and </w:t>
      </w:r>
      <w:r>
        <w:lastRenderedPageBreak/>
        <w:t>994,167 kg, the additional sales price will be determined linearly between 0 and EUR 500,000. The additional sales price shall be paid within 45 days of the decision of the Finnish Regional State Administrative Agency.</w:t>
      </w:r>
    </w:p>
    <w:p w14:paraId="3CEBCF0D" w14:textId="77777777" w:rsidR="009D1A60" w:rsidRDefault="00000000">
      <w:r>
        <w:t xml:space="preserve">The sales price was agreed </w:t>
      </w:r>
      <w:proofErr w:type="gramStart"/>
      <w:r>
        <w:t>on the basis of</w:t>
      </w:r>
      <w:proofErr w:type="gramEnd"/>
      <w:r>
        <w:t xml:space="preserve"> </w:t>
      </w:r>
      <w:proofErr w:type="spellStart"/>
      <w:r>
        <w:t>Heimon</w:t>
      </w:r>
      <w:proofErr w:type="spellEnd"/>
      <w:r>
        <w:t xml:space="preserve"> Kala Oy's financial performance, net working capital and net debt as at 31.12.2021. Estimated Enterprise Value at time of signing is 6.6 million Euros.</w:t>
      </w:r>
    </w:p>
    <w:p w14:paraId="3D72F0F3" w14:textId="77777777" w:rsidR="009D1A60" w:rsidRDefault="00000000">
      <w:pPr>
        <w:pBdr>
          <w:top w:val="nil"/>
          <w:left w:val="nil"/>
          <w:bottom w:val="nil"/>
          <w:right w:val="nil"/>
          <w:between w:val="nil"/>
        </w:pBdr>
        <w:shd w:val="clear" w:color="auto" w:fill="FFFFFF"/>
        <w:spacing w:before="280"/>
        <w:rPr>
          <w:rFonts w:eastAsia="Arial" w:cs="Arial"/>
          <w:i/>
          <w:color w:val="000000"/>
        </w:rPr>
      </w:pPr>
      <w:r>
        <w:rPr>
          <w:rFonts w:eastAsia="Arial" w:cs="Arial"/>
          <w:i/>
          <w:color w:val="000000"/>
        </w:rPr>
        <w:t xml:space="preserve">The management board of AS </w:t>
      </w:r>
      <w:proofErr w:type="spellStart"/>
      <w:r>
        <w:rPr>
          <w:rFonts w:eastAsia="Arial" w:cs="Arial"/>
          <w:i/>
          <w:color w:val="000000"/>
        </w:rPr>
        <w:t>PRFoods</w:t>
      </w:r>
      <w:proofErr w:type="spellEnd"/>
      <w:r>
        <w:rPr>
          <w:rFonts w:eastAsia="Arial" w:cs="Arial"/>
          <w:i/>
          <w:color w:val="000000"/>
        </w:rPr>
        <w:t xml:space="preserve"> wants to draw your attention to the fact that the amount of </w:t>
      </w:r>
      <w:proofErr w:type="spellStart"/>
      <w:r>
        <w:rPr>
          <w:rFonts w:eastAsia="Arial" w:cs="Arial"/>
          <w:i/>
          <w:color w:val="000000"/>
        </w:rPr>
        <w:t>Heimon</w:t>
      </w:r>
      <w:proofErr w:type="spellEnd"/>
      <w:r>
        <w:rPr>
          <w:rFonts w:eastAsia="Arial" w:cs="Arial"/>
          <w:i/>
          <w:color w:val="000000"/>
        </w:rPr>
        <w:t xml:space="preserve"> Kala Oy net assets and the trend of its changes, which has been presented in Annex 1 of the initial market announcement, is relevant on decision-making concerning the divestment of </w:t>
      </w:r>
      <w:proofErr w:type="spellStart"/>
      <w:r>
        <w:rPr>
          <w:rFonts w:eastAsia="Arial" w:cs="Arial"/>
          <w:i/>
          <w:color w:val="000000"/>
        </w:rPr>
        <w:t>Heimon</w:t>
      </w:r>
      <w:proofErr w:type="spellEnd"/>
      <w:r>
        <w:rPr>
          <w:rFonts w:eastAsia="Arial" w:cs="Arial"/>
          <w:i/>
          <w:color w:val="000000"/>
        </w:rPr>
        <w:t xml:space="preserve"> Kala Oy shares. </w:t>
      </w:r>
    </w:p>
    <w:p w14:paraId="7D928233" w14:textId="77777777" w:rsidR="009D1A60" w:rsidRDefault="009D1A60">
      <w:pPr>
        <w:spacing w:after="0" w:line="240" w:lineRule="auto"/>
      </w:pPr>
    </w:p>
    <w:p w14:paraId="7899DC41" w14:textId="77777777" w:rsidR="009D1A60" w:rsidRDefault="00000000">
      <w:pPr>
        <w:pStyle w:val="Heading1"/>
        <w:rPr>
          <w:sz w:val="28"/>
          <w:szCs w:val="28"/>
        </w:rPr>
      </w:pPr>
      <w:bookmarkStart w:id="31" w:name="_Toc112873390"/>
      <w:r>
        <w:rPr>
          <w:sz w:val="28"/>
          <w:szCs w:val="28"/>
        </w:rPr>
        <w:lastRenderedPageBreak/>
        <w:t>Management Board’s Confirmation to the Interim Report</w:t>
      </w:r>
      <w:bookmarkEnd w:id="31"/>
    </w:p>
    <w:p w14:paraId="41A3A206" w14:textId="5B56958D" w:rsidR="009D1A60" w:rsidRDefault="00000000">
      <w:pPr>
        <w:rPr>
          <w:b/>
        </w:rPr>
      </w:pPr>
      <w:bookmarkStart w:id="32" w:name="_heading=h.1hmsyys" w:colFirst="0" w:colLast="0"/>
      <w:bookmarkEnd w:id="32"/>
      <w:r>
        <w:rPr>
          <w:b/>
        </w:rPr>
        <w:t>The Management Board confirms the correctness and completeness of the consolidated condensed interim report for the 4</w:t>
      </w:r>
      <w:r>
        <w:rPr>
          <w:b/>
          <w:vertAlign w:val="superscript"/>
        </w:rPr>
        <w:t>th</w:t>
      </w:r>
      <w:r>
        <w:rPr>
          <w:b/>
        </w:rPr>
        <w:t xml:space="preserve"> quarter and 12 months of the financial year 2021/2022 of AS </w:t>
      </w:r>
      <w:proofErr w:type="spellStart"/>
      <w:r>
        <w:rPr>
          <w:b/>
        </w:rPr>
        <w:t>PRFoods</w:t>
      </w:r>
      <w:proofErr w:type="spellEnd"/>
      <w:r>
        <w:rPr>
          <w:b/>
        </w:rPr>
        <w:t xml:space="preserve"> and its subsidiaries (together the Group) presented in the pages </w:t>
      </w:r>
      <w:r w:rsidR="001A7CB9">
        <w:rPr>
          <w:b/>
        </w:rPr>
        <w:t>13</w:t>
      </w:r>
      <w:r>
        <w:rPr>
          <w:b/>
        </w:rPr>
        <w:t xml:space="preserve"> – 2</w:t>
      </w:r>
      <w:r w:rsidR="001A7CB9">
        <w:rPr>
          <w:b/>
        </w:rPr>
        <w:t>0</w:t>
      </w:r>
      <w:r>
        <w:rPr>
          <w:b/>
        </w:rPr>
        <w:t xml:space="preserve"> hereof and confirms to the best of its knowledge that</w:t>
      </w:r>
      <w:r>
        <w:t>:</w:t>
      </w:r>
    </w:p>
    <w:p w14:paraId="3D8B961F" w14:textId="77777777" w:rsidR="009D1A60" w:rsidRDefault="00000000">
      <w:pPr>
        <w:numPr>
          <w:ilvl w:val="0"/>
          <w:numId w:val="3"/>
        </w:numPr>
      </w:pPr>
      <w:r>
        <w:t xml:space="preserve">the activities report of the consolidated interim report presents adequate and fair overview of the development and results of business activities of the Group and the financial position thereof and includes the description of the main risk factors and </w:t>
      </w:r>
      <w:proofErr w:type="gramStart"/>
      <w:r>
        <w:t>uncertainties;</w:t>
      </w:r>
      <w:proofErr w:type="gramEnd"/>
    </w:p>
    <w:p w14:paraId="2F0B0A37" w14:textId="77777777" w:rsidR="009D1A60" w:rsidRDefault="00000000">
      <w:pPr>
        <w:numPr>
          <w:ilvl w:val="0"/>
          <w:numId w:val="3"/>
        </w:numPr>
      </w:pPr>
      <w:r>
        <w:t xml:space="preserve">the accounting principles applied in the preparation of the consolidated condensed interim accounting report are in compliance with the International Financial Reporting Standard (IFRS) IAS 34 Interim Financial Reporting as adopted by the European </w:t>
      </w:r>
      <w:proofErr w:type="gramStart"/>
      <w:r>
        <w:t>Union;</w:t>
      </w:r>
      <w:proofErr w:type="gramEnd"/>
    </w:p>
    <w:p w14:paraId="5593A97C" w14:textId="77777777" w:rsidR="009D1A60" w:rsidRDefault="00000000">
      <w:pPr>
        <w:numPr>
          <w:ilvl w:val="0"/>
          <w:numId w:val="3"/>
        </w:numPr>
        <w:rPr>
          <w:color w:val="000000"/>
        </w:rPr>
      </w:pPr>
      <w:r>
        <w:t xml:space="preserve">the consolidated interim report provides a true and fair overview of the assets. liabilities and financial position of the Group and of the results of its operations and its cash flows. </w:t>
      </w:r>
    </w:p>
    <w:p w14:paraId="1CD9DB28" w14:textId="77777777" w:rsidR="009D1A60" w:rsidRDefault="00000000">
      <w:pPr>
        <w:rPr>
          <w:color w:val="000000"/>
        </w:rPr>
      </w:pPr>
      <w:r>
        <w:rPr>
          <w:noProof/>
        </w:rPr>
        <w:drawing>
          <wp:anchor distT="0" distB="0" distL="0" distR="0" simplePos="0" relativeHeight="251673600" behindDoc="1" locked="0" layoutInCell="1" hidden="0" allowOverlap="1" wp14:anchorId="214675FD" wp14:editId="27291F36">
            <wp:simplePos x="0" y="0"/>
            <wp:positionH relativeFrom="column">
              <wp:posOffset>-63499</wp:posOffset>
            </wp:positionH>
            <wp:positionV relativeFrom="paragraph">
              <wp:posOffset>76835</wp:posOffset>
            </wp:positionV>
            <wp:extent cx="1895475" cy="1257300"/>
            <wp:effectExtent l="0" t="0" r="0" b="0"/>
            <wp:wrapNone/>
            <wp:docPr id="5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895475" cy="1257300"/>
                    </a:xfrm>
                    <a:prstGeom prst="rect">
                      <a:avLst/>
                    </a:prstGeom>
                    <a:ln/>
                  </pic:spPr>
                </pic:pic>
              </a:graphicData>
            </a:graphic>
          </wp:anchor>
        </w:drawing>
      </w:r>
    </w:p>
    <w:p w14:paraId="6CB95097" w14:textId="77777777" w:rsidR="009D1A60" w:rsidRDefault="009D1A60">
      <w:pPr>
        <w:rPr>
          <w:color w:val="000000"/>
        </w:rPr>
      </w:pPr>
    </w:p>
    <w:p w14:paraId="1C55A080" w14:textId="77777777" w:rsidR="009D1A60" w:rsidRDefault="009D1A60">
      <w:pPr>
        <w:rPr>
          <w:color w:val="000000"/>
        </w:rPr>
      </w:pPr>
    </w:p>
    <w:p w14:paraId="1BFB1ADB" w14:textId="77777777" w:rsidR="009D1A60" w:rsidRDefault="009D1A60">
      <w:pPr>
        <w:rPr>
          <w:color w:val="000000"/>
        </w:rPr>
      </w:pPr>
    </w:p>
    <w:p w14:paraId="0B41FA8F" w14:textId="77777777" w:rsidR="009D1A60" w:rsidRDefault="009D1A60">
      <w:pPr>
        <w:rPr>
          <w:color w:val="000000"/>
        </w:rPr>
      </w:pPr>
    </w:p>
    <w:p w14:paraId="7D35FFDC" w14:textId="77777777" w:rsidR="009D1A60" w:rsidRDefault="00000000">
      <w:pPr>
        <w:tabs>
          <w:tab w:val="left" w:pos="2268"/>
          <w:tab w:val="right" w:pos="9638"/>
        </w:tabs>
        <w:rPr>
          <w:color w:val="000000"/>
        </w:rPr>
      </w:pPr>
      <w:proofErr w:type="spellStart"/>
      <w:r>
        <w:rPr>
          <w:color w:val="000000"/>
        </w:rPr>
        <w:t>Indrek</w:t>
      </w:r>
      <w:proofErr w:type="spellEnd"/>
      <w:r>
        <w:rPr>
          <w:color w:val="000000"/>
        </w:rPr>
        <w:t xml:space="preserve"> </w:t>
      </w:r>
      <w:proofErr w:type="spellStart"/>
      <w:r>
        <w:rPr>
          <w:color w:val="000000"/>
        </w:rPr>
        <w:t>Kasela</w:t>
      </w:r>
      <w:proofErr w:type="spellEnd"/>
    </w:p>
    <w:p w14:paraId="1BA598CE" w14:textId="77777777" w:rsidR="009D1A60" w:rsidRDefault="00000000">
      <w:pPr>
        <w:tabs>
          <w:tab w:val="left" w:pos="2268"/>
          <w:tab w:val="right" w:pos="9638"/>
        </w:tabs>
        <w:rPr>
          <w:color w:val="000000"/>
        </w:rPr>
      </w:pPr>
      <w:r>
        <w:rPr>
          <w:color w:val="000000"/>
        </w:rPr>
        <w:t>Member of the Management Board</w:t>
      </w:r>
    </w:p>
    <w:p w14:paraId="3AE3D04E" w14:textId="645D5426" w:rsidR="009D1A60" w:rsidRDefault="00000000">
      <w:pPr>
        <w:tabs>
          <w:tab w:val="left" w:pos="2268"/>
          <w:tab w:val="right" w:pos="9638"/>
        </w:tabs>
        <w:rPr>
          <w:color w:val="000000"/>
        </w:rPr>
      </w:pPr>
      <w:r>
        <w:rPr>
          <w:color w:val="000000"/>
        </w:rPr>
        <w:t xml:space="preserve">31 </w:t>
      </w:r>
      <w:r w:rsidR="001A7CB9">
        <w:rPr>
          <w:color w:val="000000"/>
        </w:rPr>
        <w:t>August</w:t>
      </w:r>
      <w:r>
        <w:rPr>
          <w:color w:val="000000"/>
        </w:rPr>
        <w:t xml:space="preserve"> 2022</w:t>
      </w:r>
    </w:p>
    <w:sectPr w:rsidR="009D1A60">
      <w:footerReference w:type="default" r:id="rId39"/>
      <w:pgSz w:w="11906" w:h="16838"/>
      <w:pgMar w:top="1259" w:right="1304" w:bottom="1191" w:left="964" w:header="567" w:footer="3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4CF93" w14:textId="77777777" w:rsidR="00D65459" w:rsidRDefault="00D65459">
      <w:pPr>
        <w:spacing w:after="0" w:line="240" w:lineRule="auto"/>
      </w:pPr>
      <w:r>
        <w:separator/>
      </w:r>
    </w:p>
  </w:endnote>
  <w:endnote w:type="continuationSeparator" w:id="0">
    <w:p w14:paraId="299553C8" w14:textId="77777777" w:rsidR="00D65459" w:rsidRDefault="00D65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HELVETICA LIGHT">
    <w:altName w:val="Arial Nov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BA"/>
    <w:family w:val="roman"/>
    <w:pitch w:val="variable"/>
    <w:sig w:usb0="00000287" w:usb1="00000002" w:usb2="00000000" w:usb3="00000000" w:csb0="0000009F" w:csb1="00000000"/>
  </w:font>
  <w:font w:name="Proxima Nova">
    <w:altName w:val="Tahoma"/>
    <w:panose1 w:val="020B0604020202020204"/>
    <w:charset w:val="4D"/>
    <w:family w:val="auto"/>
    <w:pitch w:val="variable"/>
    <w:sig w:usb0="800000AF" w:usb1="5000E0FB" w:usb2="00000000" w:usb3="00000000" w:csb0="0000019B" w:csb1="00000000"/>
  </w:font>
  <w:font w:name="Segoe UI">
    <w:panose1 w:val="020B0604020202020204"/>
    <w:charset w:val="BA"/>
    <w:family w:val="swiss"/>
    <w:pitch w:val="variable"/>
    <w:sig w:usb0="E4002EFF" w:usb1="C000E47F" w:usb2="00000009" w:usb3="00000000" w:csb0="000001FF" w:csb1="00000000"/>
  </w:font>
  <w:font w:name="GothamBold">
    <w:altName w:val="Calibri"/>
    <w:panose1 w:val="020B0604020202020204"/>
    <w:charset w:val="00"/>
    <w:family w:val="modern"/>
    <w:notTrueType/>
    <w:pitch w:val="variable"/>
    <w:sig w:usb0="A00000AF" w:usb1="50000048" w:usb2="00000000" w:usb3="00000000" w:csb0="0000011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BC3E" w14:textId="77777777" w:rsidR="009D1A60" w:rsidRDefault="00000000">
    <w:pPr>
      <w:pBdr>
        <w:top w:val="nil"/>
        <w:left w:val="nil"/>
        <w:bottom w:val="nil"/>
        <w:right w:val="nil"/>
        <w:between w:val="nil"/>
      </w:pBdr>
      <w:rPr>
        <w:rFonts w:eastAsia="Arial" w:cs="Arial"/>
        <w:color w:val="000000"/>
        <w:sz w:val="14"/>
        <w:szCs w:val="14"/>
      </w:rPr>
    </w:pPr>
    <w:r>
      <w:rPr>
        <w:rFonts w:eastAsia="Arial" w:cs="Arial"/>
        <w:color w:val="000000"/>
        <w:sz w:val="14"/>
        <w:szCs w:val="14"/>
      </w:rPr>
      <w:t xml:space="preserve">Consolidated unaudited interim report </w:t>
    </w:r>
    <w:r>
      <w:rPr>
        <w:sz w:val="14"/>
        <w:szCs w:val="14"/>
      </w:rPr>
      <w:t>4th quarter</w:t>
    </w:r>
    <w:r>
      <w:rPr>
        <w:rFonts w:eastAsia="Arial" w:cs="Arial"/>
        <w:color w:val="000000"/>
        <w:sz w:val="14"/>
        <w:szCs w:val="14"/>
      </w:rPr>
      <w:t xml:space="preserve"> and </w:t>
    </w:r>
    <w:r>
      <w:rPr>
        <w:sz w:val="14"/>
        <w:szCs w:val="14"/>
      </w:rPr>
      <w:t>12 months</w:t>
    </w:r>
    <w:r>
      <w:rPr>
        <w:rFonts w:eastAsia="Arial" w:cs="Arial"/>
        <w:color w:val="000000"/>
        <w:sz w:val="14"/>
        <w:szCs w:val="14"/>
      </w:rPr>
      <w:t xml:space="preserve"> of the 2021/2022 financial year </w:t>
    </w:r>
    <w:r>
      <w:rPr>
        <w:noProof/>
      </w:rPr>
      <w:drawing>
        <wp:anchor distT="0" distB="0" distL="114300" distR="114300" simplePos="0" relativeHeight="251658240" behindDoc="0" locked="0" layoutInCell="1" hidden="0" allowOverlap="1" wp14:anchorId="2F405670" wp14:editId="5240D42A">
          <wp:simplePos x="0" y="0"/>
          <wp:positionH relativeFrom="column">
            <wp:posOffset>4826000</wp:posOffset>
          </wp:positionH>
          <wp:positionV relativeFrom="paragraph">
            <wp:posOffset>46990</wp:posOffset>
          </wp:positionV>
          <wp:extent cx="755575" cy="64239"/>
          <wp:effectExtent l="0" t="0" r="0" b="0"/>
          <wp:wrapNone/>
          <wp:docPr id="542" name="image5.png" descr="../cvi/logo/prfoods-logo-rgb.wmf"/>
          <wp:cNvGraphicFramePr/>
          <a:graphic xmlns:a="http://schemas.openxmlformats.org/drawingml/2006/main">
            <a:graphicData uri="http://schemas.openxmlformats.org/drawingml/2006/picture">
              <pic:pic xmlns:pic="http://schemas.openxmlformats.org/drawingml/2006/picture">
                <pic:nvPicPr>
                  <pic:cNvPr id="0" name="image5.png" descr="../cvi/logo/prfoods-logo-rgb.wmf"/>
                  <pic:cNvPicPr preferRelativeResize="0"/>
                </pic:nvPicPr>
                <pic:blipFill>
                  <a:blip r:embed="rId1"/>
                  <a:srcRect/>
                  <a:stretch>
                    <a:fillRect/>
                  </a:stretch>
                </pic:blipFill>
                <pic:spPr>
                  <a:xfrm>
                    <a:off x="0" y="0"/>
                    <a:ext cx="755575" cy="64239"/>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C18220E" wp14:editId="64DF41E9">
              <wp:simplePos x="0" y="0"/>
              <wp:positionH relativeFrom="column">
                <wp:posOffset>6045200</wp:posOffset>
              </wp:positionH>
              <wp:positionV relativeFrom="paragraph">
                <wp:posOffset>10210800</wp:posOffset>
              </wp:positionV>
              <wp:extent cx="326325" cy="193125"/>
              <wp:effectExtent l="0" t="0" r="0" b="0"/>
              <wp:wrapNone/>
              <wp:docPr id="530" name="Rectangle 530"/>
              <wp:cNvGraphicFramePr/>
              <a:graphic xmlns:a="http://schemas.openxmlformats.org/drawingml/2006/main">
                <a:graphicData uri="http://schemas.microsoft.com/office/word/2010/wordprocessingShape">
                  <wps:wsp>
                    <wps:cNvSpPr/>
                    <wps:spPr>
                      <a:xfrm>
                        <a:off x="5187600" y="3688200"/>
                        <a:ext cx="316800" cy="183600"/>
                      </a:xfrm>
                      <a:prstGeom prst="rect">
                        <a:avLst/>
                      </a:prstGeom>
                      <a:noFill/>
                      <a:ln>
                        <a:noFill/>
                      </a:ln>
                    </wps:spPr>
                    <wps:txbx>
                      <w:txbxContent>
                        <w:p w14:paraId="7B8758B8" w14:textId="77777777" w:rsidR="009D1A60" w:rsidRDefault="00000000">
                          <w:pPr>
                            <w:spacing w:after="0"/>
                            <w:textDirection w:val="btLr"/>
                          </w:pPr>
                          <w:proofErr w:type="gramStart"/>
                          <w:r>
                            <w:rPr>
                              <w:rFonts w:eastAsia="Arial" w:cs="Arial"/>
                              <w:color w:val="000000"/>
                              <w:sz w:val="14"/>
                            </w:rPr>
                            <w:t>PAGE  \</w:t>
                          </w:r>
                          <w:proofErr w:type="gramEnd"/>
                          <w:r>
                            <w:rPr>
                              <w:rFonts w:eastAsia="Arial" w:cs="Arial"/>
                              <w:color w:val="000000"/>
                              <w:sz w:val="14"/>
                            </w:rPr>
                            <w:t>* Arabic17</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6045200</wp:posOffset>
              </wp:positionH>
              <wp:positionV relativeFrom="paragraph">
                <wp:posOffset>10210800</wp:posOffset>
              </wp:positionV>
              <wp:extent cx="326325" cy="193125"/>
              <wp:effectExtent b="0" l="0" r="0" t="0"/>
              <wp:wrapNone/>
              <wp:docPr id="530"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326325" cy="1931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DCF0" w14:textId="77777777" w:rsidR="00D65459" w:rsidRDefault="00D65459">
      <w:pPr>
        <w:spacing w:after="0" w:line="240" w:lineRule="auto"/>
      </w:pPr>
      <w:r>
        <w:separator/>
      </w:r>
    </w:p>
  </w:footnote>
  <w:footnote w:type="continuationSeparator" w:id="0">
    <w:p w14:paraId="09D63D89" w14:textId="77777777" w:rsidR="00D65459" w:rsidRDefault="00D654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5432B"/>
    <w:multiLevelType w:val="multilevel"/>
    <w:tmpl w:val="F6C0E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4B3FC6"/>
    <w:multiLevelType w:val="multilevel"/>
    <w:tmpl w:val="A7B439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C8F7D3F"/>
    <w:multiLevelType w:val="multilevel"/>
    <w:tmpl w:val="36EC89E8"/>
    <w:lvl w:ilvl="0">
      <w:start w:val="1"/>
      <w:numFmt w:val="decimal"/>
      <w:lvlText w:val="NOTE %1."/>
      <w:lvlJc w:val="left"/>
      <w:pPr>
        <w:ind w:left="644" w:hanging="359"/>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353E6B"/>
    <w:multiLevelType w:val="multilevel"/>
    <w:tmpl w:val="8190FEB4"/>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59175529">
    <w:abstractNumId w:val="2"/>
  </w:num>
  <w:num w:numId="2" w16cid:durableId="441069636">
    <w:abstractNumId w:val="1"/>
  </w:num>
  <w:num w:numId="3" w16cid:durableId="1703743143">
    <w:abstractNumId w:val="0"/>
  </w:num>
  <w:num w:numId="4" w16cid:durableId="1870144990">
    <w:abstractNumId w:val="3"/>
  </w:num>
  <w:num w:numId="5" w16cid:durableId="20906147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A60"/>
    <w:rsid w:val="001A7CB9"/>
    <w:rsid w:val="0028653E"/>
    <w:rsid w:val="009D1A60"/>
    <w:rsid w:val="00D65459"/>
    <w:rsid w:val="00F353D7"/>
    <w:rsid w:val="00FE2B47"/>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E8F89D"/>
  <w15:docId w15:val="{112C04EF-4CBB-EA47-9D83-56D21179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n-GB" w:eastAsia="en-GB"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NG_Normal"/>
    <w:qFormat/>
    <w:rsid w:val="009F6A5E"/>
    <w:rPr>
      <w:rFonts w:eastAsia="MS Mincho" w:cs="Times New Roman"/>
      <w:lang w:eastAsia="ja-JP"/>
    </w:rPr>
  </w:style>
  <w:style w:type="paragraph" w:styleId="Heading1">
    <w:name w:val="heading 1"/>
    <w:aliases w:val="ENG_Heading 1"/>
    <w:basedOn w:val="Normal"/>
    <w:next w:val="Normal"/>
    <w:link w:val="Heading1Char"/>
    <w:uiPriority w:val="9"/>
    <w:qFormat/>
    <w:rsid w:val="004232DF"/>
    <w:pPr>
      <w:keepNext/>
      <w:keepLines/>
      <w:pageBreakBefore/>
      <w:spacing w:after="800" w:line="264" w:lineRule="auto"/>
      <w:jc w:val="left"/>
      <w:outlineLvl w:val="0"/>
    </w:pPr>
    <w:rPr>
      <w:rFonts w:asciiTheme="majorHAnsi" w:eastAsia="Times New Roman" w:hAnsiTheme="majorHAnsi" w:cs="Times New Roman (Headings CS)"/>
      <w:caps/>
      <w:color w:val="363270"/>
      <w:sz w:val="48"/>
      <w:szCs w:val="32"/>
      <w:lang w:eastAsia="en-US"/>
    </w:rPr>
  </w:style>
  <w:style w:type="paragraph" w:styleId="Heading2">
    <w:name w:val="heading 2"/>
    <w:aliases w:val="ENG_Heading 2"/>
    <w:basedOn w:val="Normal"/>
    <w:next w:val="Normal"/>
    <w:link w:val="Heading2Char"/>
    <w:uiPriority w:val="9"/>
    <w:unhideWhenUsed/>
    <w:qFormat/>
    <w:rsid w:val="004232DF"/>
    <w:pPr>
      <w:keepNext/>
      <w:keepLines/>
      <w:spacing w:before="320" w:after="480" w:line="264" w:lineRule="auto"/>
      <w:outlineLvl w:val="1"/>
    </w:pPr>
    <w:rPr>
      <w:rFonts w:asciiTheme="majorHAnsi" w:eastAsia="Times New Roman" w:hAnsiTheme="majorHAnsi" w:cs="Times New Roman (Headings CS)"/>
      <w:caps/>
      <w:color w:val="363270"/>
      <w:sz w:val="32"/>
      <w:szCs w:val="26"/>
      <w:lang w:eastAsia="en-US"/>
    </w:rPr>
  </w:style>
  <w:style w:type="paragraph" w:styleId="Heading3">
    <w:name w:val="heading 3"/>
    <w:aliases w:val="ENG_Heading 3 (Notes)"/>
    <w:basedOn w:val="Normal"/>
    <w:next w:val="Normal"/>
    <w:link w:val="Heading3Char"/>
    <w:uiPriority w:val="9"/>
    <w:unhideWhenUsed/>
    <w:qFormat/>
    <w:rsid w:val="00751E7A"/>
    <w:pPr>
      <w:keepNext/>
      <w:keepLines/>
      <w:numPr>
        <w:numId w:val="4"/>
      </w:numPr>
      <w:spacing w:before="360" w:after="120"/>
      <w:ind w:left="357" w:hanging="357"/>
      <w:outlineLvl w:val="2"/>
    </w:pPr>
    <w:rPr>
      <w:rFonts w:asciiTheme="majorHAnsi" w:eastAsia="Times New Roman" w:hAnsiTheme="majorHAnsi" w:cs="Times New Roman (Headings CS)"/>
      <w:caps/>
      <w:color w:val="363270"/>
      <w:sz w:val="20"/>
      <w:szCs w:val="24"/>
      <w:lang w:eastAsia="en-US"/>
    </w:rPr>
  </w:style>
  <w:style w:type="paragraph" w:styleId="Heading4">
    <w:name w:val="heading 4"/>
    <w:aliases w:val="ENG_Heading 4"/>
    <w:basedOn w:val="Heading2"/>
    <w:next w:val="Normal"/>
    <w:link w:val="Heading4Char"/>
    <w:uiPriority w:val="9"/>
    <w:unhideWhenUsed/>
    <w:qFormat/>
    <w:rsid w:val="004232DF"/>
    <w:pPr>
      <w:spacing w:before="240" w:after="160" w:line="288" w:lineRule="auto"/>
      <w:jc w:val="left"/>
      <w:outlineLvl w:val="3"/>
    </w:pPr>
    <w:rPr>
      <w:sz w:val="20"/>
    </w:rPr>
  </w:style>
  <w:style w:type="paragraph" w:styleId="Heading5">
    <w:name w:val="heading 5"/>
    <w:aliases w:val="ENG_Heading 5"/>
    <w:basedOn w:val="Heading4"/>
    <w:next w:val="Normal"/>
    <w:link w:val="Heading5Char"/>
    <w:uiPriority w:val="9"/>
    <w:unhideWhenUsed/>
    <w:qFormat/>
    <w:rsid w:val="004232DF"/>
    <w:pPr>
      <w:outlineLvl w:val="4"/>
    </w:pPr>
    <w:rPr>
      <w:sz w:val="18"/>
      <w:szCs w:val="18"/>
    </w:rPr>
  </w:style>
  <w:style w:type="paragraph" w:styleId="Heading6">
    <w:name w:val="heading 6"/>
    <w:basedOn w:val="Heading5"/>
    <w:next w:val="Normal"/>
    <w:link w:val="Heading6Char"/>
    <w:uiPriority w:val="9"/>
    <w:semiHidden/>
    <w:unhideWhenUsed/>
    <w:qFormat/>
    <w:rsid w:val="004232DF"/>
    <w:pPr>
      <w:spacing w:before="120" w:after="120"/>
      <w:outlineLvl w:val="5"/>
    </w:pPr>
  </w:style>
  <w:style w:type="paragraph" w:styleId="Heading7">
    <w:name w:val="heading 7"/>
    <w:basedOn w:val="Normal"/>
    <w:next w:val="Normal"/>
    <w:link w:val="Heading7Char"/>
    <w:uiPriority w:val="99"/>
    <w:qFormat/>
    <w:rsid w:val="00596189"/>
    <w:pPr>
      <w:keepNext/>
      <w:outlineLvl w:val="6"/>
    </w:pPr>
    <w:rPr>
      <w:b/>
      <w:bCs/>
      <w:sz w:val="22"/>
    </w:rPr>
  </w:style>
  <w:style w:type="paragraph" w:styleId="Heading8">
    <w:name w:val="heading 8"/>
    <w:basedOn w:val="Normal"/>
    <w:next w:val="Normal"/>
    <w:link w:val="Heading8Char"/>
    <w:uiPriority w:val="99"/>
    <w:qFormat/>
    <w:rsid w:val="00596189"/>
    <w:pPr>
      <w:keepNext/>
      <w:outlineLvl w:val="7"/>
    </w:pPr>
    <w:rPr>
      <w:sz w:val="22"/>
      <w:u w:val="single"/>
    </w:rPr>
  </w:style>
  <w:style w:type="paragraph" w:styleId="Heading9">
    <w:name w:val="heading 9"/>
    <w:basedOn w:val="Normal"/>
    <w:next w:val="Normal"/>
    <w:link w:val="Heading9Char"/>
    <w:uiPriority w:val="99"/>
    <w:qFormat/>
    <w:rsid w:val="00596189"/>
    <w:pPr>
      <w:keepNext/>
      <w:ind w:left="72" w:right="-108"/>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ENG_Heading 1 Char"/>
    <w:basedOn w:val="DefaultParagraphFont"/>
    <w:link w:val="Heading1"/>
    <w:uiPriority w:val="99"/>
    <w:rsid w:val="004232DF"/>
    <w:rPr>
      <w:rFonts w:asciiTheme="majorHAnsi" w:eastAsia="Times New Roman" w:hAnsiTheme="majorHAnsi" w:cs="Times New Roman (Headings CS)"/>
      <w:caps/>
      <w:color w:val="363270"/>
      <w:sz w:val="48"/>
      <w:szCs w:val="32"/>
      <w:lang w:val="en-GB"/>
    </w:rPr>
  </w:style>
  <w:style w:type="character" w:customStyle="1" w:styleId="Heading2Char">
    <w:name w:val="Heading 2 Char"/>
    <w:aliases w:val="ENG_Heading 2 Char"/>
    <w:basedOn w:val="DefaultParagraphFont"/>
    <w:link w:val="Heading2"/>
    <w:uiPriority w:val="99"/>
    <w:rsid w:val="004232DF"/>
    <w:rPr>
      <w:rFonts w:asciiTheme="majorHAnsi" w:eastAsia="Times New Roman" w:hAnsiTheme="majorHAnsi" w:cs="Times New Roman (Headings CS)"/>
      <w:caps/>
      <w:color w:val="363270"/>
      <w:sz w:val="32"/>
      <w:szCs w:val="26"/>
      <w:lang w:val="en-GB"/>
    </w:rPr>
  </w:style>
  <w:style w:type="character" w:customStyle="1" w:styleId="Heading3Char">
    <w:name w:val="Heading 3 Char"/>
    <w:aliases w:val="ENG_Heading 3 (Notes) Char"/>
    <w:basedOn w:val="DefaultParagraphFont"/>
    <w:link w:val="Heading3"/>
    <w:uiPriority w:val="99"/>
    <w:rsid w:val="00751E7A"/>
    <w:rPr>
      <w:rFonts w:asciiTheme="majorHAnsi" w:eastAsia="Times New Roman" w:hAnsiTheme="majorHAnsi" w:cs="Times New Roman (Headings CS)"/>
      <w:caps/>
      <w:color w:val="363270"/>
      <w:sz w:val="20"/>
      <w:szCs w:val="24"/>
      <w:lang w:val="en-GB"/>
    </w:rPr>
  </w:style>
  <w:style w:type="character" w:customStyle="1" w:styleId="Heading4Char">
    <w:name w:val="Heading 4 Char"/>
    <w:aliases w:val="ENG_Heading 4 Char"/>
    <w:basedOn w:val="DefaultParagraphFont"/>
    <w:link w:val="Heading4"/>
    <w:uiPriority w:val="99"/>
    <w:rsid w:val="004232DF"/>
    <w:rPr>
      <w:rFonts w:asciiTheme="majorHAnsi" w:eastAsia="Times New Roman" w:hAnsiTheme="majorHAnsi" w:cs="Times New Roman (Headings CS)"/>
      <w:caps/>
      <w:color w:val="363270"/>
      <w:sz w:val="20"/>
      <w:szCs w:val="26"/>
      <w:lang w:val="en-GB"/>
    </w:rPr>
  </w:style>
  <w:style w:type="character" w:customStyle="1" w:styleId="Heading5Char">
    <w:name w:val="Heading 5 Char"/>
    <w:aliases w:val="ENG_Heading 5 Char"/>
    <w:basedOn w:val="DefaultParagraphFont"/>
    <w:link w:val="Heading5"/>
    <w:uiPriority w:val="99"/>
    <w:rsid w:val="004232DF"/>
    <w:rPr>
      <w:rFonts w:asciiTheme="majorHAnsi" w:eastAsia="Times New Roman" w:hAnsiTheme="majorHAnsi" w:cs="Times New Roman (Headings CS)"/>
      <w:caps/>
      <w:color w:val="363270"/>
      <w:sz w:val="18"/>
      <w:szCs w:val="18"/>
      <w:lang w:val="en-GB"/>
    </w:rPr>
  </w:style>
  <w:style w:type="character" w:customStyle="1" w:styleId="Heading6Char">
    <w:name w:val="Heading 6 Char"/>
    <w:basedOn w:val="DefaultParagraphFont"/>
    <w:link w:val="Heading6"/>
    <w:uiPriority w:val="99"/>
    <w:rsid w:val="004232DF"/>
    <w:rPr>
      <w:rFonts w:asciiTheme="majorHAnsi" w:eastAsia="Times New Roman" w:hAnsiTheme="majorHAnsi" w:cs="Times New Roman (Headings CS)"/>
      <w:caps/>
      <w:color w:val="363270"/>
      <w:sz w:val="18"/>
      <w:szCs w:val="18"/>
      <w:lang w:val="en-GB"/>
    </w:rPr>
  </w:style>
  <w:style w:type="character" w:customStyle="1" w:styleId="Heading7Char">
    <w:name w:val="Heading 7 Char"/>
    <w:basedOn w:val="DefaultParagraphFont"/>
    <w:link w:val="Heading7"/>
    <w:uiPriority w:val="99"/>
    <w:rsid w:val="00596189"/>
    <w:rPr>
      <w:rFonts w:ascii="HELVETICA LIGHT" w:eastAsia="MS Mincho" w:hAnsi="HELVETICA LIGHT" w:cs="Times New Roman"/>
      <w:b/>
      <w:bCs/>
      <w:szCs w:val="18"/>
      <w:lang w:eastAsia="ja-JP"/>
    </w:rPr>
  </w:style>
  <w:style w:type="character" w:customStyle="1" w:styleId="Heading8Char">
    <w:name w:val="Heading 8 Char"/>
    <w:basedOn w:val="DefaultParagraphFont"/>
    <w:link w:val="Heading8"/>
    <w:uiPriority w:val="99"/>
    <w:rsid w:val="00596189"/>
    <w:rPr>
      <w:rFonts w:ascii="HELVETICA LIGHT" w:eastAsia="MS Mincho" w:hAnsi="HELVETICA LIGHT" w:cs="Times New Roman"/>
      <w:szCs w:val="18"/>
      <w:u w:val="single"/>
      <w:lang w:eastAsia="ja-JP"/>
    </w:rPr>
  </w:style>
  <w:style w:type="character" w:customStyle="1" w:styleId="Heading9Char">
    <w:name w:val="Heading 9 Char"/>
    <w:basedOn w:val="DefaultParagraphFont"/>
    <w:link w:val="Heading9"/>
    <w:uiPriority w:val="99"/>
    <w:rsid w:val="00596189"/>
    <w:rPr>
      <w:rFonts w:ascii="HELVETICA LIGHT" w:eastAsia="MS Mincho" w:hAnsi="HELVETICA LIGHT" w:cs="Times New Roman"/>
      <w:b/>
      <w:bCs/>
      <w:szCs w:val="18"/>
      <w:lang w:eastAsia="ja-JP"/>
    </w:rPr>
  </w:style>
  <w:style w:type="paragraph" w:styleId="TOC1">
    <w:name w:val="toc 1"/>
    <w:basedOn w:val="Normal"/>
    <w:next w:val="Normal"/>
    <w:autoRedefine/>
    <w:uiPriority w:val="39"/>
    <w:qFormat/>
    <w:rsid w:val="002A05DC"/>
    <w:pPr>
      <w:tabs>
        <w:tab w:val="right" w:leader="dot" w:pos="9645"/>
      </w:tabs>
      <w:spacing w:before="120" w:after="120" w:line="360" w:lineRule="auto"/>
    </w:pPr>
    <w:rPr>
      <w:bCs/>
      <w:caps/>
      <w:noProof/>
      <w:sz w:val="16"/>
      <w:szCs w:val="16"/>
    </w:rPr>
  </w:style>
  <w:style w:type="paragraph" w:customStyle="1" w:styleId="ENGTitlepagebottom">
    <w:name w:val="ENG_Title_page_bottom"/>
    <w:qFormat/>
    <w:rsid w:val="009038B9"/>
    <w:pPr>
      <w:spacing w:after="120" w:line="240" w:lineRule="auto"/>
    </w:pPr>
    <w:rPr>
      <w:rFonts w:asciiTheme="majorHAnsi" w:eastAsia="MS Mincho" w:hAnsiTheme="majorHAnsi" w:cs="Times New Roman"/>
      <w:color w:val="FFFFFF" w:themeColor="background1"/>
      <w:sz w:val="64"/>
      <w:szCs w:val="64"/>
      <w:lang w:eastAsia="ja-JP"/>
      <w14:textFill>
        <w14:solidFill>
          <w14:schemeClr w14:val="bg1">
            <w14:alpha w14:val="90000"/>
          </w14:schemeClr>
        </w14:solidFill>
      </w14:textFill>
    </w:rPr>
  </w:style>
  <w:style w:type="paragraph" w:customStyle="1" w:styleId="ENGTitlepagemiddle">
    <w:name w:val="ENG_Title_page_middle"/>
    <w:qFormat/>
    <w:rsid w:val="00E641E7"/>
    <w:rPr>
      <w:rFonts w:eastAsia="MS Mincho" w:cs="Times New Roman"/>
      <w:color w:val="FFFFFF" w:themeColor="background1"/>
      <w:sz w:val="24"/>
      <w:szCs w:val="24"/>
      <w:lang w:eastAsia="ja-JP"/>
    </w:rPr>
  </w:style>
  <w:style w:type="paragraph" w:customStyle="1" w:styleId="ENGFooter">
    <w:name w:val="ENG_Footer"/>
    <w:basedOn w:val="Normal"/>
    <w:rsid w:val="003D2CE1"/>
    <w:rPr>
      <w:color w:val="000000" w:themeColor="text1"/>
      <w:sz w:val="14"/>
      <w:szCs w:val="12"/>
    </w:rPr>
  </w:style>
  <w:style w:type="paragraph" w:styleId="Header">
    <w:name w:val="header"/>
    <w:basedOn w:val="Normal"/>
    <w:link w:val="HeaderChar"/>
    <w:uiPriority w:val="99"/>
    <w:unhideWhenUsed/>
    <w:rsid w:val="00F33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E8F"/>
    <w:rPr>
      <w:rFonts w:eastAsia="MS Mincho" w:cs="Times New Roman"/>
      <w:sz w:val="18"/>
      <w:szCs w:val="18"/>
      <w:lang w:val="en-GB" w:eastAsia="ja-JP"/>
    </w:rPr>
  </w:style>
  <w:style w:type="paragraph" w:customStyle="1" w:styleId="ENG8before4pt">
    <w:name w:val="ENG_8_before_4pt"/>
    <w:basedOn w:val="Normal"/>
    <w:qFormat/>
    <w:rsid w:val="00F64602"/>
    <w:pPr>
      <w:spacing w:before="80" w:after="0" w:line="240" w:lineRule="auto"/>
    </w:pPr>
    <w:rPr>
      <w:sz w:val="16"/>
    </w:rPr>
  </w:style>
  <w:style w:type="paragraph" w:customStyle="1" w:styleId="ENGNormalItalic7">
    <w:name w:val="ENG_Normal_Italic_7"/>
    <w:basedOn w:val="Normal"/>
    <w:qFormat/>
    <w:rsid w:val="00047E56"/>
    <w:pPr>
      <w:spacing w:line="280" w:lineRule="exact"/>
      <w:jc w:val="left"/>
    </w:pPr>
    <w:rPr>
      <w:rFonts w:cstheme="minorHAnsi"/>
      <w:i/>
      <w:sz w:val="16"/>
      <w:szCs w:val="16"/>
      <w:vertAlign w:val="superscript"/>
    </w:rPr>
  </w:style>
  <w:style w:type="paragraph" w:styleId="Footer">
    <w:name w:val="footer"/>
    <w:basedOn w:val="Normal"/>
    <w:link w:val="FooterChar"/>
    <w:uiPriority w:val="99"/>
    <w:unhideWhenUsed/>
    <w:qFormat/>
    <w:rsid w:val="00423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2DF"/>
    <w:rPr>
      <w:rFonts w:eastAsia="MS Mincho" w:cs="Times New Roman"/>
      <w:sz w:val="18"/>
      <w:szCs w:val="18"/>
      <w:lang w:val="en-GB" w:eastAsia="ja-JP"/>
    </w:rPr>
  </w:style>
  <w:style w:type="character" w:customStyle="1" w:styleId="Latinitalic">
    <w:name w:val="Latin_italic"/>
    <w:basedOn w:val="DefaultParagraphFont"/>
    <w:uiPriority w:val="1"/>
    <w:qFormat/>
    <w:rsid w:val="00820F22"/>
    <w:rPr>
      <w:i/>
      <w:lang w:val="la-Latn"/>
    </w:rPr>
  </w:style>
  <w:style w:type="paragraph" w:styleId="TOC2">
    <w:name w:val="toc 2"/>
    <w:basedOn w:val="Normal"/>
    <w:next w:val="Normal"/>
    <w:autoRedefine/>
    <w:uiPriority w:val="39"/>
    <w:rsid w:val="00633FA7"/>
    <w:pPr>
      <w:tabs>
        <w:tab w:val="right" w:leader="dot" w:pos="9628"/>
      </w:tabs>
      <w:spacing w:after="120"/>
      <w:ind w:left="181"/>
    </w:pPr>
    <w:rPr>
      <w:rFonts w:ascii="Helvetica" w:hAnsi="Helvetica"/>
      <w:bCs/>
      <w:caps/>
      <w:noProof/>
      <w:sz w:val="16"/>
      <w:szCs w:val="16"/>
    </w:rPr>
  </w:style>
  <w:style w:type="paragraph" w:styleId="TOC3">
    <w:name w:val="toc 3"/>
    <w:basedOn w:val="Normal"/>
    <w:next w:val="Normal"/>
    <w:autoRedefine/>
    <w:uiPriority w:val="39"/>
    <w:rsid w:val="000F4F31"/>
    <w:pPr>
      <w:tabs>
        <w:tab w:val="left" w:pos="1134"/>
        <w:tab w:val="right" w:leader="dot" w:pos="9645"/>
      </w:tabs>
      <w:spacing w:after="120"/>
      <w:ind w:left="340"/>
    </w:pPr>
    <w:rPr>
      <w:iCs/>
      <w:caps/>
      <w:noProof/>
      <w:sz w:val="16"/>
      <w:szCs w:val="16"/>
    </w:rPr>
  </w:style>
  <w:style w:type="paragraph" w:styleId="TOC4">
    <w:name w:val="toc 4"/>
    <w:basedOn w:val="Normal"/>
    <w:next w:val="Normal"/>
    <w:autoRedefine/>
    <w:uiPriority w:val="39"/>
    <w:rsid w:val="00596189"/>
    <w:pPr>
      <w:spacing w:after="0"/>
      <w:ind w:left="540"/>
    </w:pPr>
  </w:style>
  <w:style w:type="paragraph" w:styleId="TOC5">
    <w:name w:val="toc 5"/>
    <w:basedOn w:val="Normal"/>
    <w:next w:val="Normal"/>
    <w:autoRedefine/>
    <w:uiPriority w:val="39"/>
    <w:rsid w:val="00596189"/>
    <w:pPr>
      <w:spacing w:after="0"/>
      <w:ind w:left="720"/>
    </w:pPr>
  </w:style>
  <w:style w:type="paragraph" w:styleId="TOC6">
    <w:name w:val="toc 6"/>
    <w:basedOn w:val="Normal"/>
    <w:next w:val="Normal"/>
    <w:autoRedefine/>
    <w:uiPriority w:val="99"/>
    <w:semiHidden/>
    <w:rsid w:val="00596189"/>
    <w:pPr>
      <w:spacing w:after="0"/>
      <w:ind w:left="900"/>
    </w:pPr>
  </w:style>
  <w:style w:type="paragraph" w:styleId="TOC7">
    <w:name w:val="toc 7"/>
    <w:basedOn w:val="Normal"/>
    <w:next w:val="Normal"/>
    <w:autoRedefine/>
    <w:uiPriority w:val="99"/>
    <w:semiHidden/>
    <w:rsid w:val="00596189"/>
    <w:pPr>
      <w:spacing w:after="0"/>
      <w:ind w:left="1080"/>
    </w:pPr>
  </w:style>
  <w:style w:type="paragraph" w:styleId="TOC8">
    <w:name w:val="toc 8"/>
    <w:basedOn w:val="Normal"/>
    <w:next w:val="Normal"/>
    <w:autoRedefine/>
    <w:uiPriority w:val="99"/>
    <w:semiHidden/>
    <w:rsid w:val="00596189"/>
    <w:pPr>
      <w:spacing w:after="0"/>
      <w:ind w:left="1260"/>
    </w:pPr>
  </w:style>
  <w:style w:type="paragraph" w:styleId="TOC9">
    <w:name w:val="toc 9"/>
    <w:basedOn w:val="Normal"/>
    <w:next w:val="Normal"/>
    <w:autoRedefine/>
    <w:uiPriority w:val="99"/>
    <w:semiHidden/>
    <w:rsid w:val="00596189"/>
    <w:pPr>
      <w:spacing w:after="0"/>
      <w:ind w:left="1440"/>
    </w:pPr>
  </w:style>
  <w:style w:type="character" w:customStyle="1" w:styleId="Heading4Char1">
    <w:name w:val="Heading 4 Char1"/>
    <w:basedOn w:val="DefaultParagraphFont"/>
    <w:uiPriority w:val="99"/>
    <w:semiHidden/>
    <w:locked/>
    <w:rsid w:val="004232DF"/>
    <w:rPr>
      <w:rFonts w:ascii="Times New Roman" w:hAnsi="Times New Roman" w:cs="Times New Roman"/>
      <w:b/>
      <w:sz w:val="20"/>
      <w:szCs w:val="20"/>
      <w:lang w:eastAsia="en-US"/>
    </w:rPr>
  </w:style>
  <w:style w:type="paragraph" w:styleId="NoSpacing">
    <w:name w:val="No Spacing"/>
    <w:link w:val="NoSpacingChar"/>
    <w:uiPriority w:val="1"/>
    <w:qFormat/>
    <w:rsid w:val="00596189"/>
    <w:pPr>
      <w:overflowPunct w:val="0"/>
      <w:autoSpaceDE w:val="0"/>
      <w:autoSpaceDN w:val="0"/>
      <w:adjustRightInd w:val="0"/>
      <w:spacing w:after="120" w:line="240" w:lineRule="auto"/>
      <w:textAlignment w:val="baseline"/>
    </w:pPr>
    <w:rPr>
      <w:rFonts w:ascii="Garamond" w:eastAsia="MS Mincho" w:hAnsi="Garamond" w:cs="Times New Roman"/>
      <w:sz w:val="20"/>
      <w:szCs w:val="20"/>
      <w:lang w:eastAsia="ja-JP"/>
    </w:rPr>
  </w:style>
  <w:style w:type="paragraph" w:styleId="Revision">
    <w:name w:val="Revision"/>
    <w:hidden/>
    <w:uiPriority w:val="99"/>
    <w:semiHidden/>
    <w:rsid w:val="00596189"/>
    <w:pPr>
      <w:spacing w:after="0" w:line="240" w:lineRule="auto"/>
    </w:pPr>
    <w:rPr>
      <w:rFonts w:ascii="Garamond" w:eastAsia="MS Mincho" w:hAnsi="Garamond" w:cs="Times New Roman"/>
      <w:sz w:val="20"/>
      <w:szCs w:val="20"/>
      <w:lang w:eastAsia="ja-JP"/>
    </w:rPr>
  </w:style>
  <w:style w:type="character" w:customStyle="1" w:styleId="NoSpacingChar">
    <w:name w:val="No Spacing Char"/>
    <w:basedOn w:val="DefaultParagraphFont"/>
    <w:link w:val="NoSpacing"/>
    <w:uiPriority w:val="1"/>
    <w:rsid w:val="00596189"/>
    <w:rPr>
      <w:rFonts w:ascii="Garamond" w:eastAsia="MS Mincho" w:hAnsi="Garamond" w:cs="Times New Roman"/>
      <w:sz w:val="20"/>
      <w:szCs w:val="20"/>
      <w:lang w:eastAsia="ja-JP"/>
    </w:rPr>
  </w:style>
  <w:style w:type="paragraph" w:styleId="TOCHeading">
    <w:name w:val="TOC Heading"/>
    <w:basedOn w:val="Heading1"/>
    <w:next w:val="Normal"/>
    <w:uiPriority w:val="39"/>
    <w:unhideWhenUsed/>
    <w:qFormat/>
    <w:rsid w:val="00596189"/>
    <w:pPr>
      <w:pageBreakBefore w:val="0"/>
      <w:framePr w:wrap="notBeside" w:hAnchor="text"/>
      <w:spacing w:before="480" w:after="0" w:line="276" w:lineRule="auto"/>
      <w:outlineLvl w:val="9"/>
    </w:pPr>
    <w:rPr>
      <w:rFonts w:eastAsiaTheme="majorEastAsia" w:cstheme="majorBidi"/>
      <w:b/>
      <w:bCs/>
      <w:color w:val="282553" w:themeColor="accent1" w:themeShade="BF"/>
      <w:sz w:val="28"/>
      <w:szCs w:val="28"/>
      <w:lang w:val="en-US"/>
    </w:rPr>
  </w:style>
  <w:style w:type="paragraph" w:customStyle="1" w:styleId="SectionTitle">
    <w:name w:val="Section Title"/>
    <w:basedOn w:val="Normal"/>
    <w:next w:val="Normal"/>
    <w:qFormat/>
    <w:rsid w:val="005650E1"/>
    <w:pPr>
      <w:pageBreakBefore/>
      <w:framePr w:wrap="notBeside" w:vAnchor="text" w:hAnchor="text" w:y="1"/>
      <w:pBdr>
        <w:bottom w:val="single" w:sz="24" w:space="30" w:color="363270"/>
      </w:pBdr>
      <w:spacing w:before="960" w:line="264" w:lineRule="auto"/>
    </w:pPr>
    <w:rPr>
      <w:rFonts w:asciiTheme="majorHAnsi" w:eastAsia="Proxima Nova" w:hAnsiTheme="majorHAnsi" w:cstheme="majorHAnsi"/>
      <w:caps/>
      <w:color w:val="363270"/>
      <w:sz w:val="56"/>
      <w:szCs w:val="24"/>
      <w:lang w:eastAsia="en-US"/>
    </w:rPr>
  </w:style>
  <w:style w:type="character" w:customStyle="1" w:styleId="ENGfragmentBoldItalic">
    <w:name w:val="ENG_fragment_Bold_Italic"/>
    <w:basedOn w:val="DefaultParagraphFont"/>
    <w:uiPriority w:val="1"/>
    <w:qFormat/>
    <w:rsid w:val="004232DF"/>
    <w:rPr>
      <w:b/>
      <w:i/>
      <w:lang w:eastAsia="en-US"/>
    </w:rPr>
  </w:style>
  <w:style w:type="paragraph" w:customStyle="1" w:styleId="ENGHeading1erand">
    <w:name w:val="ENG_Heading 1 erand"/>
    <w:basedOn w:val="Heading1"/>
    <w:qFormat/>
    <w:rsid w:val="004232DF"/>
    <w:pPr>
      <w:spacing w:after="240"/>
    </w:pPr>
    <w:rPr>
      <w:sz w:val="44"/>
      <w:szCs w:val="30"/>
    </w:rPr>
  </w:style>
  <w:style w:type="paragraph" w:customStyle="1" w:styleId="ENGMinikommentaar">
    <w:name w:val="ENG_Minikommentaar"/>
    <w:basedOn w:val="Normal"/>
    <w:qFormat/>
    <w:rsid w:val="004232DF"/>
    <w:pPr>
      <w:spacing w:before="80" w:after="0" w:line="240" w:lineRule="auto"/>
      <w:jc w:val="left"/>
    </w:pPr>
    <w:rPr>
      <w:i/>
      <w:noProof/>
      <w:sz w:val="16"/>
      <w:lang w:eastAsia="et-EE"/>
    </w:rPr>
  </w:style>
  <w:style w:type="paragraph" w:customStyle="1" w:styleId="ENGMummudegaloetelu">
    <w:name w:val="ENG_Mummudega loetelu"/>
    <w:basedOn w:val="Normal"/>
    <w:qFormat/>
    <w:rsid w:val="004232DF"/>
    <w:pPr>
      <w:tabs>
        <w:tab w:val="num" w:pos="720"/>
      </w:tabs>
      <w:spacing w:after="120"/>
      <w:ind w:left="720" w:hanging="720"/>
    </w:pPr>
    <w:rPr>
      <w:rFonts w:cstheme="minorHAnsi"/>
    </w:rPr>
  </w:style>
  <w:style w:type="paragraph" w:customStyle="1" w:styleId="ENGNormalcapslilla">
    <w:name w:val="ENG_Normal caps lilla"/>
    <w:basedOn w:val="Normal"/>
    <w:qFormat/>
    <w:rsid w:val="001C4F1E"/>
    <w:pPr>
      <w:keepNext/>
      <w:spacing w:before="320"/>
    </w:pPr>
    <w:rPr>
      <w:caps/>
      <w:color w:val="363270"/>
      <w:lang w:eastAsia="en-US"/>
    </w:rPr>
  </w:style>
  <w:style w:type="paragraph" w:customStyle="1" w:styleId="ENGNormalBold">
    <w:name w:val="ENG_Normal_Bold"/>
    <w:basedOn w:val="Normal"/>
    <w:qFormat/>
    <w:rsid w:val="004232DF"/>
    <w:pPr>
      <w:keepNext/>
    </w:pPr>
    <w:rPr>
      <w:b/>
      <w:bCs/>
      <w:lang w:eastAsia="en-US"/>
    </w:rPr>
  </w:style>
  <w:style w:type="paragraph" w:customStyle="1" w:styleId="ENGNormalBoldItalic">
    <w:name w:val="ENG_Normal_Bold_Italic"/>
    <w:basedOn w:val="ENGNormalBold"/>
    <w:next w:val="Normal"/>
    <w:qFormat/>
    <w:rsid w:val="004232DF"/>
    <w:rPr>
      <w:i/>
    </w:rPr>
  </w:style>
  <w:style w:type="paragraph" w:customStyle="1" w:styleId="ENGNormallilla">
    <w:name w:val="ENG_Normal_lilla"/>
    <w:basedOn w:val="ENGNormalcapslilla"/>
    <w:qFormat/>
    <w:rsid w:val="004232DF"/>
    <w:rPr>
      <w:caps w:val="0"/>
    </w:rPr>
  </w:style>
  <w:style w:type="paragraph" w:customStyle="1" w:styleId="ENGTabelpealkirivalge">
    <w:name w:val="ENG_Tabel_pealkiri_valge"/>
    <w:basedOn w:val="Normal"/>
    <w:qFormat/>
    <w:rsid w:val="004232DF"/>
    <w:pPr>
      <w:spacing w:after="0" w:line="240" w:lineRule="auto"/>
      <w:jc w:val="left"/>
    </w:pPr>
    <w:rPr>
      <w:rFonts w:eastAsia="Times New Roman" w:cs="Arial"/>
      <w:sz w:val="17"/>
      <w:szCs w:val="17"/>
      <w:lang w:eastAsia="et-EE"/>
    </w:rPr>
  </w:style>
  <w:style w:type="paragraph" w:customStyle="1" w:styleId="ENGTabelmustvasakuletekst">
    <w:name w:val="ENG_Tabel_must_vasakule (tekst)"/>
    <w:basedOn w:val="ENGTabelpealkirivalge"/>
    <w:next w:val="Normal"/>
    <w:qFormat/>
    <w:rsid w:val="004232DF"/>
  </w:style>
  <w:style w:type="paragraph" w:customStyle="1" w:styleId="ENGTabelmustparemalenumbrid">
    <w:name w:val="ENG_Tabel_must_paremale (numbrid)"/>
    <w:basedOn w:val="ENGTabelmustvasakuletekst"/>
    <w:qFormat/>
    <w:rsid w:val="00094370"/>
    <w:pPr>
      <w:jc w:val="right"/>
    </w:pPr>
    <w:rPr>
      <w:sz w:val="16"/>
    </w:rPr>
  </w:style>
  <w:style w:type="paragraph" w:customStyle="1" w:styleId="ENGTabellillaparemalenumbrid">
    <w:name w:val="ENG_Tabel_lilla_paremale (numbrid)"/>
    <w:basedOn w:val="ENGTabelmustparemalenumbrid"/>
    <w:qFormat/>
    <w:rsid w:val="00094370"/>
    <w:rPr>
      <w:color w:val="5E6EC8" w:themeColor="accent2"/>
      <w:sz w:val="17"/>
    </w:rPr>
  </w:style>
  <w:style w:type="paragraph" w:customStyle="1" w:styleId="ENGTabellillakeskel">
    <w:name w:val="ENG_Tabel_lilla_keskel"/>
    <w:basedOn w:val="ENGTabellillaparemalenumbrid"/>
    <w:qFormat/>
    <w:rsid w:val="004232DF"/>
    <w:pPr>
      <w:jc w:val="center"/>
    </w:pPr>
  </w:style>
  <w:style w:type="paragraph" w:customStyle="1" w:styleId="ENGTabellillavasakuletekst">
    <w:name w:val="ENG_Tabel_lilla_vasakule (tekst)"/>
    <w:basedOn w:val="Normal"/>
    <w:qFormat/>
    <w:rsid w:val="00791BAF"/>
    <w:pPr>
      <w:spacing w:after="0" w:line="240" w:lineRule="auto"/>
      <w:jc w:val="left"/>
    </w:pPr>
    <w:rPr>
      <w:rFonts w:eastAsia="Times New Roman" w:cstheme="minorHAnsi"/>
      <w:color w:val="5E6EC8" w:themeColor="accent2"/>
      <w:sz w:val="17"/>
      <w:szCs w:val="17"/>
      <w:lang w:eastAsia="en-GB"/>
    </w:rPr>
  </w:style>
  <w:style w:type="paragraph" w:customStyle="1" w:styleId="ENGTabelmustkeskel">
    <w:name w:val="ENG_Tabel_must_keskel"/>
    <w:basedOn w:val="ENGTabelmustparemalenumbrid"/>
    <w:qFormat/>
    <w:rsid w:val="004232DF"/>
    <w:pPr>
      <w:jc w:val="center"/>
    </w:pPr>
  </w:style>
  <w:style w:type="paragraph" w:customStyle="1" w:styleId="ENGTabelmustvasakuleindent05">
    <w:name w:val="ENG_Tabel_must_vasakule_indent_0.5"/>
    <w:basedOn w:val="ENGTabelmustvasakuletekst"/>
    <w:qFormat/>
    <w:rsid w:val="004232DF"/>
    <w:pPr>
      <w:ind w:left="164"/>
    </w:pPr>
  </w:style>
  <w:style w:type="paragraph" w:customStyle="1" w:styleId="ENGTabelpealkirivalgekeskel">
    <w:name w:val="ENG_Tabel_pealkiri_valge_keskel"/>
    <w:basedOn w:val="ENGTabelpealkirivalge"/>
    <w:qFormat/>
    <w:rsid w:val="004232DF"/>
    <w:pPr>
      <w:jc w:val="center"/>
    </w:pPr>
  </w:style>
  <w:style w:type="paragraph" w:customStyle="1" w:styleId="ENGTabelpealkirivalgeparemale">
    <w:name w:val="ENG_Tabel_pealkiri_valge_paremale"/>
    <w:basedOn w:val="ENGTabelpealkirivalge"/>
    <w:qFormat/>
    <w:rsid w:val="004232DF"/>
    <w:pPr>
      <w:jc w:val="right"/>
    </w:pPr>
    <w:rPr>
      <w:color w:val="FFFFFF"/>
    </w:rPr>
  </w:style>
  <w:style w:type="paragraph" w:styleId="BalloonText">
    <w:name w:val="Balloon Text"/>
    <w:basedOn w:val="Normal"/>
    <w:link w:val="BalloonTextChar"/>
    <w:uiPriority w:val="99"/>
    <w:semiHidden/>
    <w:unhideWhenUsed/>
    <w:rsid w:val="007D6095"/>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D6095"/>
    <w:rPr>
      <w:rFonts w:ascii="Segoe UI" w:eastAsia="MS Mincho" w:hAnsi="Segoe UI" w:cs="Segoe UI"/>
      <w:sz w:val="18"/>
      <w:szCs w:val="18"/>
      <w:lang w:val="en-GB" w:eastAsia="ja-JP"/>
    </w:rPr>
  </w:style>
  <w:style w:type="character" w:styleId="Hyperlink">
    <w:name w:val="Hyperlink"/>
    <w:basedOn w:val="DefaultParagraphFont"/>
    <w:uiPriority w:val="99"/>
    <w:unhideWhenUsed/>
    <w:rsid w:val="004071C6"/>
    <w:rPr>
      <w:color w:val="6E59B2" w:themeColor="hyperlink"/>
      <w:u w:val="single"/>
    </w:rPr>
  </w:style>
  <w:style w:type="paragraph" w:customStyle="1" w:styleId="Tabelmustparemalenumbrid">
    <w:name w:val="Tabel_must_paremale (numbrid)"/>
    <w:basedOn w:val="Normal"/>
    <w:qFormat/>
    <w:rsid w:val="008C23A4"/>
    <w:pPr>
      <w:spacing w:after="0" w:line="240" w:lineRule="auto"/>
      <w:jc w:val="right"/>
    </w:pPr>
    <w:rPr>
      <w:rFonts w:eastAsia="Times New Roman" w:cs="Arial"/>
      <w:sz w:val="16"/>
      <w:szCs w:val="17"/>
      <w:lang w:val="et-EE" w:eastAsia="et-EE"/>
    </w:rPr>
  </w:style>
  <w:style w:type="paragraph" w:customStyle="1" w:styleId="Tabellillaparemalenumbrid">
    <w:name w:val="Tabel_lilla_paremale (numbrid)"/>
    <w:basedOn w:val="Tabelmustparemalenumbrid"/>
    <w:qFormat/>
    <w:rsid w:val="008C23A4"/>
    <w:rPr>
      <w:color w:val="5E6EC8" w:themeColor="accent2"/>
    </w:rPr>
  </w:style>
  <w:style w:type="paragraph" w:customStyle="1" w:styleId="NormalItalic7">
    <w:name w:val="Normal_Italic_7"/>
    <w:basedOn w:val="Normal"/>
    <w:next w:val="Normal"/>
    <w:qFormat/>
    <w:rsid w:val="008C23A4"/>
    <w:pPr>
      <w:spacing w:line="280" w:lineRule="exact"/>
      <w:jc w:val="left"/>
    </w:pPr>
    <w:rPr>
      <w:rFonts w:cs="GothamBold"/>
      <w:i/>
      <w:sz w:val="14"/>
      <w:szCs w:val="14"/>
      <w:lang w:val="et-EE"/>
    </w:rPr>
  </w:style>
  <w:style w:type="character" w:customStyle="1" w:styleId="Normalitalic">
    <w:name w:val="Normal italic"/>
    <w:basedOn w:val="DefaultParagraphFont"/>
    <w:uiPriority w:val="1"/>
    <w:qFormat/>
    <w:rsid w:val="008C23A4"/>
    <w:rPr>
      <w:i/>
      <w:lang w:val="en-GB"/>
    </w:rPr>
  </w:style>
  <w:style w:type="character" w:styleId="CommentReference">
    <w:name w:val="annotation reference"/>
    <w:basedOn w:val="DefaultParagraphFont"/>
    <w:uiPriority w:val="99"/>
    <w:semiHidden/>
    <w:unhideWhenUsed/>
    <w:rsid w:val="008C23A4"/>
    <w:rPr>
      <w:sz w:val="16"/>
      <w:szCs w:val="16"/>
    </w:rPr>
  </w:style>
  <w:style w:type="paragraph" w:styleId="CommentText">
    <w:name w:val="annotation text"/>
    <w:basedOn w:val="Normal"/>
    <w:link w:val="CommentTextChar"/>
    <w:uiPriority w:val="99"/>
    <w:semiHidden/>
    <w:unhideWhenUsed/>
    <w:rsid w:val="00175B8E"/>
    <w:pPr>
      <w:spacing w:line="240" w:lineRule="auto"/>
    </w:pPr>
    <w:rPr>
      <w:sz w:val="20"/>
      <w:szCs w:val="20"/>
    </w:rPr>
  </w:style>
  <w:style w:type="character" w:customStyle="1" w:styleId="CommentTextChar">
    <w:name w:val="Comment Text Char"/>
    <w:basedOn w:val="DefaultParagraphFont"/>
    <w:link w:val="CommentText"/>
    <w:uiPriority w:val="99"/>
    <w:semiHidden/>
    <w:rsid w:val="00175B8E"/>
    <w:rPr>
      <w:rFonts w:eastAsia="MS Mincho"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175B8E"/>
    <w:rPr>
      <w:b/>
      <w:bCs/>
    </w:rPr>
  </w:style>
  <w:style w:type="character" w:customStyle="1" w:styleId="CommentSubjectChar">
    <w:name w:val="Comment Subject Char"/>
    <w:basedOn w:val="CommentTextChar"/>
    <w:link w:val="CommentSubject"/>
    <w:uiPriority w:val="99"/>
    <w:semiHidden/>
    <w:rsid w:val="00175B8E"/>
    <w:rPr>
      <w:rFonts w:eastAsia="MS Mincho" w:cs="Times New Roman"/>
      <w:b/>
      <w:bCs/>
      <w:sz w:val="20"/>
      <w:szCs w:val="20"/>
      <w:lang w:val="en-GB" w:eastAsia="ja-JP"/>
    </w:rPr>
  </w:style>
  <w:style w:type="paragraph" w:customStyle="1" w:styleId="Normalcapslilla">
    <w:name w:val="Normal caps lilla"/>
    <w:basedOn w:val="Normal"/>
    <w:qFormat/>
    <w:rsid w:val="006E24E2"/>
    <w:pPr>
      <w:keepNext/>
      <w:spacing w:before="320"/>
    </w:pPr>
    <w:rPr>
      <w:rFonts w:cstheme="minorHAnsi"/>
      <w:caps/>
      <w:color w:val="363270" w:themeColor="accent1"/>
      <w:lang w:val="et-EE"/>
    </w:rPr>
  </w:style>
  <w:style w:type="paragraph" w:customStyle="1" w:styleId="Tabelpealkirivalge">
    <w:name w:val="Tabel_pealkiri_valge"/>
    <w:basedOn w:val="Normal"/>
    <w:qFormat/>
    <w:rsid w:val="006E24E2"/>
    <w:pPr>
      <w:spacing w:after="0" w:line="240" w:lineRule="auto"/>
      <w:jc w:val="left"/>
    </w:pPr>
    <w:rPr>
      <w:rFonts w:eastAsia="Times New Roman" w:cs="Arial"/>
      <w:color w:val="FFFFFF"/>
      <w:sz w:val="17"/>
      <w:szCs w:val="17"/>
      <w:lang w:val="et-EE" w:eastAsia="et-EE"/>
    </w:rPr>
  </w:style>
  <w:style w:type="paragraph" w:customStyle="1" w:styleId="Tabelmustvasakuletekst">
    <w:name w:val="Tabel_must_vasakule (tekst)"/>
    <w:basedOn w:val="Tabelpealkirivalge"/>
    <w:qFormat/>
    <w:rsid w:val="006E24E2"/>
    <w:rPr>
      <w:color w:val="auto"/>
    </w:rPr>
  </w:style>
  <w:style w:type="paragraph" w:customStyle="1" w:styleId="Tabelpealkirivalgeparemale">
    <w:name w:val="Tabel_pealkiri_valge_paremale"/>
    <w:basedOn w:val="Tabelpealkirivalge"/>
    <w:qFormat/>
    <w:rsid w:val="006E24E2"/>
    <w:pPr>
      <w:jc w:val="right"/>
    </w:pPr>
  </w:style>
  <w:style w:type="paragraph" w:customStyle="1" w:styleId="Tabellillavasakuletekst">
    <w:name w:val="Tabel_lilla_vasakule (tekst)"/>
    <w:basedOn w:val="Tabellillaparemalenumbrid"/>
    <w:qFormat/>
    <w:rsid w:val="006E24E2"/>
    <w:pPr>
      <w:jc w:val="left"/>
    </w:pPr>
    <w:rPr>
      <w:sz w:val="17"/>
    </w:rPr>
  </w:style>
  <w:style w:type="paragraph" w:customStyle="1" w:styleId="Tabeltekstmust">
    <w:name w:val="Tabel_tekst_must"/>
    <w:basedOn w:val="Normal"/>
    <w:qFormat/>
    <w:rsid w:val="001661B3"/>
    <w:pPr>
      <w:spacing w:after="0" w:line="240" w:lineRule="auto"/>
      <w:jc w:val="left"/>
    </w:pPr>
    <w:rPr>
      <w:rFonts w:eastAsia="Times New Roman" w:cs="Arial"/>
      <w:sz w:val="17"/>
      <w:szCs w:val="17"/>
      <w:lang w:eastAsia="et-EE"/>
    </w:rPr>
  </w:style>
  <w:style w:type="table" w:styleId="TableGrid">
    <w:name w:val="Table Grid"/>
    <w:basedOn w:val="TableNormal"/>
    <w:uiPriority w:val="99"/>
    <w:rsid w:val="00C90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843BB"/>
    <w:pPr>
      <w:ind w:left="720"/>
      <w:contextualSpacing/>
    </w:pPr>
  </w:style>
  <w:style w:type="character" w:customStyle="1" w:styleId="ListParagraphChar">
    <w:name w:val="List Paragraph Char"/>
    <w:basedOn w:val="DefaultParagraphFont"/>
    <w:link w:val="ListParagraph"/>
    <w:uiPriority w:val="34"/>
    <w:rsid w:val="00CD03D6"/>
    <w:rPr>
      <w:rFonts w:eastAsia="MS Mincho" w:cs="Times New Roman"/>
      <w:sz w:val="18"/>
      <w:szCs w:val="18"/>
      <w:lang w:val="en-GB" w:eastAsia="ja-JP"/>
    </w:rPr>
  </w:style>
  <w:style w:type="paragraph" w:customStyle="1" w:styleId="HEADING1viksemavahega">
    <w:name w:val="HEADING 1 väiksema vahega"/>
    <w:basedOn w:val="Heading1"/>
    <w:qFormat/>
    <w:rsid w:val="001E2714"/>
    <w:pPr>
      <w:spacing w:after="480"/>
    </w:pPr>
    <w:rPr>
      <w:color w:val="363270" w:themeColor="text2"/>
    </w:rPr>
  </w:style>
  <w:style w:type="paragraph" w:customStyle="1" w:styleId="Minikommentaar">
    <w:name w:val="Minikommentaar"/>
    <w:basedOn w:val="Normal"/>
    <w:qFormat/>
    <w:rsid w:val="001E2714"/>
    <w:pPr>
      <w:spacing w:before="80" w:after="0" w:line="240" w:lineRule="auto"/>
      <w:jc w:val="left"/>
    </w:pPr>
    <w:rPr>
      <w:rFonts w:cstheme="minorHAnsi"/>
      <w:i/>
      <w:iCs/>
      <w:noProof/>
      <w:sz w:val="16"/>
      <w:lang w:val="et-EE" w:eastAsia="et-EE"/>
    </w:rPr>
  </w:style>
  <w:style w:type="paragraph" w:styleId="HTMLPreformatted">
    <w:name w:val="HTML Preformatted"/>
    <w:basedOn w:val="Normal"/>
    <w:link w:val="HTMLPreformattedChar"/>
    <w:uiPriority w:val="99"/>
    <w:semiHidden/>
    <w:unhideWhenUsed/>
    <w:rsid w:val="0050166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01663"/>
    <w:rPr>
      <w:rFonts w:ascii="Consolas" w:eastAsia="MS Mincho" w:hAnsi="Consolas" w:cs="Times New Roman"/>
      <w:sz w:val="20"/>
      <w:szCs w:val="20"/>
      <w:lang w:val="en-GB" w:eastAsia="ja-JP"/>
    </w:rPr>
  </w:style>
  <w:style w:type="paragraph" w:styleId="NormalWeb">
    <w:name w:val="Normal (Web)"/>
    <w:basedOn w:val="Normal"/>
    <w:uiPriority w:val="99"/>
    <w:unhideWhenUsed/>
    <w:rsid w:val="000E3875"/>
    <w:pPr>
      <w:spacing w:before="100" w:beforeAutospacing="1" w:after="100" w:afterAutospacing="1" w:line="240" w:lineRule="auto"/>
      <w:jc w:val="left"/>
    </w:pPr>
    <w:rPr>
      <w:rFonts w:ascii="Times New Roman" w:eastAsia="Times New Roman" w:hAnsi="Times New Roman"/>
      <w:sz w:val="24"/>
      <w:szCs w:val="24"/>
      <w:lang w:val="et-EE" w:eastAsia="et-EE"/>
    </w:rPr>
  </w:style>
  <w:style w:type="character" w:styleId="Emphasis">
    <w:name w:val="Emphasis"/>
    <w:basedOn w:val="DefaultParagraphFont"/>
    <w:uiPriority w:val="20"/>
    <w:qFormat/>
    <w:rsid w:val="000E387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top w:w="57" w:type="dxa"/>
        <w:left w:w="57" w:type="dxa"/>
        <w:bottom w:w="57" w:type="dxa"/>
        <w:right w:w="57"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prfoods.ee/about" TargetMode="External"/><Relationship Id="rId18" Type="http://schemas.openxmlformats.org/officeDocument/2006/relationships/image" Target="media/image7.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image" Target="media/image21.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6.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11.jpg"/><Relationship Id="rId32" Type="http://schemas.openxmlformats.org/officeDocument/2006/relationships/chart" Target="charts/chart2.xml"/><Relationship Id="rId37" Type="http://schemas.openxmlformats.org/officeDocument/2006/relationships/hyperlink" Target="http://www.prfoods.ee/investor-relations/reports/annual-report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9.png"/><Relationship Id="rId28" Type="http://schemas.openxmlformats.org/officeDocument/2006/relationships/image" Target="media/image20.png"/><Relationship Id="rId36" Type="http://schemas.openxmlformats.org/officeDocument/2006/relationships/hyperlink" Target="http://www.prfoods.ee/about/governance/supervisory-board" TargetMode="External"/><Relationship Id="rId10" Type="http://schemas.openxmlformats.org/officeDocument/2006/relationships/image" Target="media/image15.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3.png"/><Relationship Id="rId22"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chart" Target="charts/chart4.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40.pn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_tri\Downloads\Kala_turuhinna_graafikud%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p_tri\Downloads\Kala_turuhinna_graafikud%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pp1\data\FILES\StockExchangeReports\Master%20data\Graphs_AA_parandatud%20(1)%20MR202206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p1\data\FILES\StockExchangeReports\Master%20data\Graphs_AA_parandatud%20(1)%20MR202206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06239129747342E-2"/>
          <c:y val="0.10563212844809002"/>
          <c:w val="0.82996095775688916"/>
          <c:h val="0.69410768740612616"/>
        </c:manualLayout>
      </c:layout>
      <c:lineChart>
        <c:grouping val="standard"/>
        <c:varyColors val="0"/>
        <c:ser>
          <c:idx val="0"/>
          <c:order val="0"/>
          <c:tx>
            <c:strRef>
              <c:f>Lõhe_FinY!$D$1</c:f>
              <c:strCache>
                <c:ptCount val="1"/>
                <c:pt idx="0">
                  <c:v>2016/2017</c:v>
                </c:pt>
              </c:strCache>
            </c:strRef>
          </c:tx>
          <c:spPr>
            <a:ln w="6350" cap="rnd" cmpd="sng" algn="ctr">
              <a:solidFill>
                <a:srgbClr val="F2BFB7"/>
              </a:solidFill>
              <a:prstDash val="sysDash"/>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Lõhe_FinY!$D$2:$D$53</c:f>
              <c:numCache>
                <c:formatCode>General</c:formatCode>
                <c:ptCount val="52"/>
                <c:pt idx="0">
                  <c:v>8.1300000000000008</c:v>
                </c:pt>
                <c:pt idx="1">
                  <c:v>8.02</c:v>
                </c:pt>
                <c:pt idx="2">
                  <c:v>7.21</c:v>
                </c:pt>
                <c:pt idx="3">
                  <c:v>6.5</c:v>
                </c:pt>
                <c:pt idx="4">
                  <c:v>6.09</c:v>
                </c:pt>
                <c:pt idx="5">
                  <c:v>6.42</c:v>
                </c:pt>
                <c:pt idx="6">
                  <c:v>6.45</c:v>
                </c:pt>
                <c:pt idx="7">
                  <c:v>6.19</c:v>
                </c:pt>
                <c:pt idx="8">
                  <c:v>6.16</c:v>
                </c:pt>
                <c:pt idx="9">
                  <c:v>5.99</c:v>
                </c:pt>
                <c:pt idx="10">
                  <c:v>5.65</c:v>
                </c:pt>
                <c:pt idx="11">
                  <c:v>5.73</c:v>
                </c:pt>
                <c:pt idx="12">
                  <c:v>5.99</c:v>
                </c:pt>
                <c:pt idx="13">
                  <c:v>6.56</c:v>
                </c:pt>
                <c:pt idx="14">
                  <c:v>6.92</c:v>
                </c:pt>
                <c:pt idx="15">
                  <c:v>7.03</c:v>
                </c:pt>
                <c:pt idx="16">
                  <c:v>7.17</c:v>
                </c:pt>
                <c:pt idx="17">
                  <c:v>7.01</c:v>
                </c:pt>
                <c:pt idx="18">
                  <c:v>6.85</c:v>
                </c:pt>
                <c:pt idx="19">
                  <c:v>7.35</c:v>
                </c:pt>
                <c:pt idx="20">
                  <c:v>7.14</c:v>
                </c:pt>
                <c:pt idx="21">
                  <c:v>7.32</c:v>
                </c:pt>
                <c:pt idx="22">
                  <c:v>7.71</c:v>
                </c:pt>
                <c:pt idx="23">
                  <c:v>8.16</c:v>
                </c:pt>
                <c:pt idx="24">
                  <c:v>8.6999999999999993</c:v>
                </c:pt>
                <c:pt idx="25">
                  <c:v>8.7200000000000006</c:v>
                </c:pt>
                <c:pt idx="26">
                  <c:v>8.7799999999999994</c:v>
                </c:pt>
                <c:pt idx="27">
                  <c:v>8.11</c:v>
                </c:pt>
                <c:pt idx="28">
                  <c:v>8.08</c:v>
                </c:pt>
                <c:pt idx="29">
                  <c:v>7.86</c:v>
                </c:pt>
                <c:pt idx="30">
                  <c:v>7.35</c:v>
                </c:pt>
                <c:pt idx="31">
                  <c:v>7.22</c:v>
                </c:pt>
                <c:pt idx="32">
                  <c:v>7.16</c:v>
                </c:pt>
                <c:pt idx="33">
                  <c:v>7.05</c:v>
                </c:pt>
                <c:pt idx="34">
                  <c:v>6.6</c:v>
                </c:pt>
                <c:pt idx="35">
                  <c:v>6.4</c:v>
                </c:pt>
                <c:pt idx="36">
                  <c:v>6.86</c:v>
                </c:pt>
                <c:pt idx="37">
                  <c:v>6.97</c:v>
                </c:pt>
                <c:pt idx="38">
                  <c:v>6.85</c:v>
                </c:pt>
                <c:pt idx="39">
                  <c:v>6.82</c:v>
                </c:pt>
                <c:pt idx="40">
                  <c:v>7.06</c:v>
                </c:pt>
                <c:pt idx="41">
                  <c:v>7.11</c:v>
                </c:pt>
                <c:pt idx="42">
                  <c:v>6.76</c:v>
                </c:pt>
                <c:pt idx="43">
                  <c:v>7.05</c:v>
                </c:pt>
                <c:pt idx="44">
                  <c:v>7.54</c:v>
                </c:pt>
                <c:pt idx="45">
                  <c:v>7.92</c:v>
                </c:pt>
                <c:pt idx="46">
                  <c:v>7.7</c:v>
                </c:pt>
                <c:pt idx="47">
                  <c:v>6.95</c:v>
                </c:pt>
                <c:pt idx="48">
                  <c:v>7.49</c:v>
                </c:pt>
                <c:pt idx="49">
                  <c:v>7.16</c:v>
                </c:pt>
                <c:pt idx="50">
                  <c:v>7.31</c:v>
                </c:pt>
                <c:pt idx="51">
                  <c:v>7.3</c:v>
                </c:pt>
              </c:numCache>
            </c:numRef>
          </c:val>
          <c:smooth val="1"/>
          <c:extLst>
            <c:ext xmlns:c16="http://schemas.microsoft.com/office/drawing/2014/chart" uri="{C3380CC4-5D6E-409C-BE32-E72D297353CC}">
              <c16:uniqueId val="{00000000-7B64-4688-8769-0678CEB76F36}"/>
            </c:ext>
          </c:extLst>
        </c:ser>
        <c:ser>
          <c:idx val="1"/>
          <c:order val="1"/>
          <c:tx>
            <c:strRef>
              <c:f>Lõhe_FinY!$E$1</c:f>
              <c:strCache>
                <c:ptCount val="1"/>
                <c:pt idx="0">
                  <c:v>2017/2018</c:v>
                </c:pt>
              </c:strCache>
            </c:strRef>
          </c:tx>
          <c:spPr>
            <a:ln w="9525" cap="rnd" cmpd="sng" algn="ctr">
              <a:solidFill>
                <a:srgbClr val="F2BFB7"/>
              </a:solidFill>
              <a:prstDash val="lgDash"/>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Lõhe_FinY!$E$2:$E$53</c:f>
              <c:numCache>
                <c:formatCode>General</c:formatCode>
                <c:ptCount val="52"/>
                <c:pt idx="0">
                  <c:v>6.75</c:v>
                </c:pt>
                <c:pt idx="1">
                  <c:v>6.48</c:v>
                </c:pt>
                <c:pt idx="2">
                  <c:v>6.92</c:v>
                </c:pt>
                <c:pt idx="3">
                  <c:v>6.48</c:v>
                </c:pt>
                <c:pt idx="4">
                  <c:v>6.25</c:v>
                </c:pt>
                <c:pt idx="5">
                  <c:v>6.06</c:v>
                </c:pt>
                <c:pt idx="6">
                  <c:v>5.6</c:v>
                </c:pt>
                <c:pt idx="7">
                  <c:v>5.77</c:v>
                </c:pt>
                <c:pt idx="8">
                  <c:v>5.59</c:v>
                </c:pt>
                <c:pt idx="9">
                  <c:v>5.71</c:v>
                </c:pt>
                <c:pt idx="10">
                  <c:v>5.42</c:v>
                </c:pt>
                <c:pt idx="11">
                  <c:v>5.64</c:v>
                </c:pt>
                <c:pt idx="12">
                  <c:v>5.91</c:v>
                </c:pt>
                <c:pt idx="13">
                  <c:v>5.86</c:v>
                </c:pt>
                <c:pt idx="14">
                  <c:v>5.46</c:v>
                </c:pt>
                <c:pt idx="15">
                  <c:v>5.64</c:v>
                </c:pt>
                <c:pt idx="16">
                  <c:v>5.3</c:v>
                </c:pt>
                <c:pt idx="17">
                  <c:v>4.7</c:v>
                </c:pt>
                <c:pt idx="18">
                  <c:v>4.92</c:v>
                </c:pt>
                <c:pt idx="19">
                  <c:v>5.36</c:v>
                </c:pt>
                <c:pt idx="20">
                  <c:v>4.6399999999999997</c:v>
                </c:pt>
                <c:pt idx="21">
                  <c:v>4.51</c:v>
                </c:pt>
                <c:pt idx="22">
                  <c:v>5.12</c:v>
                </c:pt>
                <c:pt idx="23">
                  <c:v>5.07</c:v>
                </c:pt>
                <c:pt idx="24">
                  <c:v>5.07</c:v>
                </c:pt>
                <c:pt idx="25">
                  <c:v>5.3</c:v>
                </c:pt>
                <c:pt idx="26">
                  <c:v>5.67</c:v>
                </c:pt>
                <c:pt idx="27">
                  <c:v>5.57</c:v>
                </c:pt>
                <c:pt idx="28">
                  <c:v>5.45</c:v>
                </c:pt>
                <c:pt idx="29">
                  <c:v>5.69</c:v>
                </c:pt>
                <c:pt idx="30">
                  <c:v>5.57</c:v>
                </c:pt>
                <c:pt idx="31">
                  <c:v>5.34</c:v>
                </c:pt>
                <c:pt idx="32">
                  <c:v>5.55</c:v>
                </c:pt>
                <c:pt idx="33">
                  <c:v>6.33</c:v>
                </c:pt>
                <c:pt idx="34">
                  <c:v>6.88</c:v>
                </c:pt>
                <c:pt idx="35">
                  <c:v>7.25</c:v>
                </c:pt>
                <c:pt idx="36">
                  <c:v>7.23</c:v>
                </c:pt>
                <c:pt idx="37">
                  <c:v>6.92</c:v>
                </c:pt>
                <c:pt idx="38">
                  <c:v>7.99</c:v>
                </c:pt>
                <c:pt idx="39">
                  <c:v>7.78</c:v>
                </c:pt>
                <c:pt idx="40">
                  <c:v>7.2</c:v>
                </c:pt>
                <c:pt idx="41">
                  <c:v>7.08</c:v>
                </c:pt>
                <c:pt idx="42">
                  <c:v>7.04</c:v>
                </c:pt>
                <c:pt idx="43">
                  <c:v>7.72</c:v>
                </c:pt>
                <c:pt idx="44">
                  <c:v>8.31</c:v>
                </c:pt>
                <c:pt idx="45">
                  <c:v>8.3000000000000007</c:v>
                </c:pt>
                <c:pt idx="46">
                  <c:v>8.08</c:v>
                </c:pt>
                <c:pt idx="47">
                  <c:v>6.82</c:v>
                </c:pt>
                <c:pt idx="48">
                  <c:v>6.26</c:v>
                </c:pt>
                <c:pt idx="49">
                  <c:v>6.76</c:v>
                </c:pt>
                <c:pt idx="50">
                  <c:v>6.39</c:v>
                </c:pt>
                <c:pt idx="51">
                  <c:v>5.82</c:v>
                </c:pt>
              </c:numCache>
            </c:numRef>
          </c:val>
          <c:smooth val="1"/>
          <c:extLst>
            <c:ext xmlns:c16="http://schemas.microsoft.com/office/drawing/2014/chart" uri="{C3380CC4-5D6E-409C-BE32-E72D297353CC}">
              <c16:uniqueId val="{00000001-7B64-4688-8769-0678CEB76F36}"/>
            </c:ext>
          </c:extLst>
        </c:ser>
        <c:ser>
          <c:idx val="3"/>
          <c:order val="2"/>
          <c:tx>
            <c:strRef>
              <c:f>Lõhe_FinY!$F$1</c:f>
              <c:strCache>
                <c:ptCount val="1"/>
                <c:pt idx="0">
                  <c:v>2018/2019</c:v>
                </c:pt>
              </c:strCache>
            </c:strRef>
          </c:tx>
          <c:spPr>
            <a:ln w="12700"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Lõhe_FinY!$F$2:$F$53</c:f>
              <c:numCache>
                <c:formatCode>General</c:formatCode>
                <c:ptCount val="52"/>
                <c:pt idx="0">
                  <c:v>5.91</c:v>
                </c:pt>
                <c:pt idx="1">
                  <c:v>5.48</c:v>
                </c:pt>
                <c:pt idx="2">
                  <c:v>5.56</c:v>
                </c:pt>
                <c:pt idx="3">
                  <c:v>5.56</c:v>
                </c:pt>
                <c:pt idx="4">
                  <c:v>5.61</c:v>
                </c:pt>
                <c:pt idx="5">
                  <c:v>5.67</c:v>
                </c:pt>
                <c:pt idx="6">
                  <c:v>5.27</c:v>
                </c:pt>
                <c:pt idx="7">
                  <c:v>5.05</c:v>
                </c:pt>
                <c:pt idx="8">
                  <c:v>5.57</c:v>
                </c:pt>
                <c:pt idx="9">
                  <c:v>6.44</c:v>
                </c:pt>
                <c:pt idx="10">
                  <c:v>6.18</c:v>
                </c:pt>
                <c:pt idx="11">
                  <c:v>6.05</c:v>
                </c:pt>
                <c:pt idx="12">
                  <c:v>6.01</c:v>
                </c:pt>
                <c:pt idx="13">
                  <c:v>5.78</c:v>
                </c:pt>
                <c:pt idx="14">
                  <c:v>5.93</c:v>
                </c:pt>
                <c:pt idx="15">
                  <c:v>5.98</c:v>
                </c:pt>
                <c:pt idx="16">
                  <c:v>5.87</c:v>
                </c:pt>
                <c:pt idx="17">
                  <c:v>5.97</c:v>
                </c:pt>
                <c:pt idx="18">
                  <c:v>5.76</c:v>
                </c:pt>
                <c:pt idx="19">
                  <c:v>5.52</c:v>
                </c:pt>
                <c:pt idx="20">
                  <c:v>5.17</c:v>
                </c:pt>
                <c:pt idx="21">
                  <c:v>5.46</c:v>
                </c:pt>
                <c:pt idx="22">
                  <c:v>5.92</c:v>
                </c:pt>
                <c:pt idx="23">
                  <c:v>5.9</c:v>
                </c:pt>
                <c:pt idx="24">
                  <c:v>5.64</c:v>
                </c:pt>
                <c:pt idx="25">
                  <c:v>6.59</c:v>
                </c:pt>
                <c:pt idx="26">
                  <c:v>6.55</c:v>
                </c:pt>
                <c:pt idx="27">
                  <c:v>6.24</c:v>
                </c:pt>
                <c:pt idx="28">
                  <c:v>6.18</c:v>
                </c:pt>
                <c:pt idx="29">
                  <c:v>5.93</c:v>
                </c:pt>
                <c:pt idx="30">
                  <c:v>5.67</c:v>
                </c:pt>
                <c:pt idx="31">
                  <c:v>5.63</c:v>
                </c:pt>
                <c:pt idx="32">
                  <c:v>5.62</c:v>
                </c:pt>
                <c:pt idx="33">
                  <c:v>5.89</c:v>
                </c:pt>
                <c:pt idx="34">
                  <c:v>6.74</c:v>
                </c:pt>
                <c:pt idx="35">
                  <c:v>7.56</c:v>
                </c:pt>
                <c:pt idx="36">
                  <c:v>7.33</c:v>
                </c:pt>
                <c:pt idx="37">
                  <c:v>6.85</c:v>
                </c:pt>
                <c:pt idx="38">
                  <c:v>6.59</c:v>
                </c:pt>
                <c:pt idx="39">
                  <c:v>6.96</c:v>
                </c:pt>
                <c:pt idx="40">
                  <c:v>6.93</c:v>
                </c:pt>
                <c:pt idx="41">
                  <c:v>7.59</c:v>
                </c:pt>
                <c:pt idx="42">
                  <c:v>7.01</c:v>
                </c:pt>
                <c:pt idx="43">
                  <c:v>6.15</c:v>
                </c:pt>
                <c:pt idx="44">
                  <c:v>6.04</c:v>
                </c:pt>
                <c:pt idx="45">
                  <c:v>6.41</c:v>
                </c:pt>
                <c:pt idx="46">
                  <c:v>5.9</c:v>
                </c:pt>
                <c:pt idx="47">
                  <c:v>5.62</c:v>
                </c:pt>
                <c:pt idx="48">
                  <c:v>6.14</c:v>
                </c:pt>
                <c:pt idx="49">
                  <c:v>7.19</c:v>
                </c:pt>
                <c:pt idx="50">
                  <c:v>6.21</c:v>
                </c:pt>
                <c:pt idx="51">
                  <c:v>5.74</c:v>
                </c:pt>
              </c:numCache>
            </c:numRef>
          </c:val>
          <c:smooth val="1"/>
          <c:extLst>
            <c:ext xmlns:c16="http://schemas.microsoft.com/office/drawing/2014/chart" uri="{C3380CC4-5D6E-409C-BE32-E72D297353CC}">
              <c16:uniqueId val="{00000002-7B64-4688-8769-0678CEB76F36}"/>
            </c:ext>
          </c:extLst>
        </c:ser>
        <c:dLbls>
          <c:showLegendKey val="0"/>
          <c:showVal val="0"/>
          <c:showCatName val="0"/>
          <c:showSerName val="0"/>
          <c:showPercent val="0"/>
          <c:showBubbleSize val="0"/>
        </c:dLbls>
        <c:marker val="1"/>
        <c:smooth val="0"/>
        <c:axId val="81874536"/>
        <c:axId val="81869832"/>
      </c:lineChart>
      <c:lineChart>
        <c:grouping val="standard"/>
        <c:varyColors val="0"/>
        <c:ser>
          <c:idx val="4"/>
          <c:order val="3"/>
          <c:tx>
            <c:strRef>
              <c:f>Lõhe_FinY!$G$1</c:f>
              <c:strCache>
                <c:ptCount val="1"/>
                <c:pt idx="0">
                  <c:v>2019/2020</c:v>
                </c:pt>
              </c:strCache>
            </c:strRef>
          </c:tx>
          <c:spPr>
            <a:ln w="22225"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Lõhe_FinY!$G$2:$G$53</c:f>
              <c:numCache>
                <c:formatCode>General</c:formatCode>
                <c:ptCount val="52"/>
                <c:pt idx="0">
                  <c:v>6.04</c:v>
                </c:pt>
                <c:pt idx="1">
                  <c:v>6.46</c:v>
                </c:pt>
                <c:pt idx="2">
                  <c:v>5.79</c:v>
                </c:pt>
                <c:pt idx="3">
                  <c:v>5.37</c:v>
                </c:pt>
                <c:pt idx="4">
                  <c:v>5.1100000000000003</c:v>
                </c:pt>
                <c:pt idx="5">
                  <c:v>5.0599999999999996</c:v>
                </c:pt>
                <c:pt idx="6">
                  <c:v>4.9400000000000004</c:v>
                </c:pt>
                <c:pt idx="7">
                  <c:v>4.58</c:v>
                </c:pt>
                <c:pt idx="8">
                  <c:v>5</c:v>
                </c:pt>
                <c:pt idx="9">
                  <c:v>4.62</c:v>
                </c:pt>
                <c:pt idx="10">
                  <c:v>4.32</c:v>
                </c:pt>
                <c:pt idx="11">
                  <c:v>4.24</c:v>
                </c:pt>
                <c:pt idx="12">
                  <c:v>4.22</c:v>
                </c:pt>
                <c:pt idx="13">
                  <c:v>4.07</c:v>
                </c:pt>
                <c:pt idx="14">
                  <c:v>4.5599999999999996</c:v>
                </c:pt>
                <c:pt idx="15">
                  <c:v>5.08</c:v>
                </c:pt>
                <c:pt idx="16">
                  <c:v>4.97</c:v>
                </c:pt>
                <c:pt idx="17">
                  <c:v>4.62</c:v>
                </c:pt>
                <c:pt idx="18">
                  <c:v>4.91</c:v>
                </c:pt>
                <c:pt idx="19">
                  <c:v>5.5</c:v>
                </c:pt>
                <c:pt idx="20">
                  <c:v>5.99</c:v>
                </c:pt>
                <c:pt idx="21">
                  <c:v>6.12</c:v>
                </c:pt>
                <c:pt idx="22">
                  <c:v>6.14</c:v>
                </c:pt>
                <c:pt idx="23">
                  <c:v>6.78</c:v>
                </c:pt>
                <c:pt idx="24">
                  <c:v>7.31</c:v>
                </c:pt>
                <c:pt idx="25">
                  <c:v>7.85</c:v>
                </c:pt>
                <c:pt idx="26">
                  <c:v>8.0299999999999994</c:v>
                </c:pt>
                <c:pt idx="27">
                  <c:v>8.0399999999999991</c:v>
                </c:pt>
                <c:pt idx="28">
                  <c:v>7.86</c:v>
                </c:pt>
                <c:pt idx="29">
                  <c:v>7.82</c:v>
                </c:pt>
                <c:pt idx="30">
                  <c:v>6.87</c:v>
                </c:pt>
                <c:pt idx="31">
                  <c:v>6.31</c:v>
                </c:pt>
                <c:pt idx="32">
                  <c:v>6.14</c:v>
                </c:pt>
                <c:pt idx="33">
                  <c:v>6.78</c:v>
                </c:pt>
                <c:pt idx="34">
                  <c:v>7.31</c:v>
                </c:pt>
                <c:pt idx="35">
                  <c:v>6.47</c:v>
                </c:pt>
                <c:pt idx="36">
                  <c:v>6.2</c:v>
                </c:pt>
                <c:pt idx="37">
                  <c:v>5.13</c:v>
                </c:pt>
                <c:pt idx="38">
                  <c:v>4.54</c:v>
                </c:pt>
                <c:pt idx="39">
                  <c:v>4.5199999999999996</c:v>
                </c:pt>
                <c:pt idx="40">
                  <c:v>4.6900000000000004</c:v>
                </c:pt>
                <c:pt idx="41">
                  <c:v>4.5999999999999996</c:v>
                </c:pt>
                <c:pt idx="42">
                  <c:v>4.53</c:v>
                </c:pt>
                <c:pt idx="43">
                  <c:v>4.3</c:v>
                </c:pt>
                <c:pt idx="44">
                  <c:v>4.3499999999999996</c:v>
                </c:pt>
                <c:pt idx="45">
                  <c:v>5.01</c:v>
                </c:pt>
                <c:pt idx="46">
                  <c:v>6.03</c:v>
                </c:pt>
                <c:pt idx="47">
                  <c:v>5.9</c:v>
                </c:pt>
                <c:pt idx="48">
                  <c:v>6.43</c:v>
                </c:pt>
                <c:pt idx="49">
                  <c:v>6.74</c:v>
                </c:pt>
                <c:pt idx="50">
                  <c:v>5.64</c:v>
                </c:pt>
                <c:pt idx="51">
                  <c:v>5.31</c:v>
                </c:pt>
              </c:numCache>
            </c:numRef>
          </c:val>
          <c:smooth val="1"/>
          <c:extLst>
            <c:ext xmlns:c16="http://schemas.microsoft.com/office/drawing/2014/chart" uri="{C3380CC4-5D6E-409C-BE32-E72D297353CC}">
              <c16:uniqueId val="{00000003-7B64-4688-8769-0678CEB76F36}"/>
            </c:ext>
          </c:extLst>
        </c:ser>
        <c:ser>
          <c:idx val="2"/>
          <c:order val="4"/>
          <c:tx>
            <c:strRef>
              <c:f>Lõhe_FinY!$H$1</c:f>
              <c:strCache>
                <c:ptCount val="1"/>
                <c:pt idx="0">
                  <c:v>2020/2021</c:v>
                </c:pt>
              </c:strCache>
            </c:strRef>
          </c:tx>
          <c:spPr>
            <a:ln w="28575"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Lõhe_FinY!$H$2:$H$53</c:f>
              <c:numCache>
                <c:formatCode>0.00</c:formatCode>
                <c:ptCount val="52"/>
                <c:pt idx="0">
                  <c:v>5.42</c:v>
                </c:pt>
                <c:pt idx="1">
                  <c:v>5.0999999999999996</c:v>
                </c:pt>
                <c:pt idx="2">
                  <c:v>4.5</c:v>
                </c:pt>
                <c:pt idx="3">
                  <c:v>4.3600000000000003</c:v>
                </c:pt>
                <c:pt idx="4">
                  <c:v>4.21</c:v>
                </c:pt>
                <c:pt idx="5">
                  <c:v>4.18</c:v>
                </c:pt>
                <c:pt idx="6">
                  <c:v>4.5599999999999996</c:v>
                </c:pt>
                <c:pt idx="7">
                  <c:v>4.6100000000000003</c:v>
                </c:pt>
                <c:pt idx="8">
                  <c:v>4.25</c:v>
                </c:pt>
                <c:pt idx="9">
                  <c:v>4.34</c:v>
                </c:pt>
                <c:pt idx="10">
                  <c:v>4.3600000000000003</c:v>
                </c:pt>
                <c:pt idx="11">
                  <c:v>4.04</c:v>
                </c:pt>
                <c:pt idx="12">
                  <c:v>4.4000000000000004</c:v>
                </c:pt>
                <c:pt idx="13">
                  <c:v>4.12</c:v>
                </c:pt>
                <c:pt idx="14">
                  <c:v>3.98</c:v>
                </c:pt>
                <c:pt idx="15">
                  <c:v>4.24</c:v>
                </c:pt>
                <c:pt idx="16">
                  <c:v>4.03</c:v>
                </c:pt>
                <c:pt idx="17">
                  <c:v>3.78</c:v>
                </c:pt>
                <c:pt idx="18">
                  <c:v>3.85</c:v>
                </c:pt>
                <c:pt idx="19">
                  <c:v>3.87</c:v>
                </c:pt>
                <c:pt idx="20">
                  <c:v>4.17</c:v>
                </c:pt>
                <c:pt idx="21">
                  <c:v>4</c:v>
                </c:pt>
                <c:pt idx="22">
                  <c:v>3.86</c:v>
                </c:pt>
                <c:pt idx="23">
                  <c:v>3.9</c:v>
                </c:pt>
                <c:pt idx="24">
                  <c:v>4.2249999999999996</c:v>
                </c:pt>
                <c:pt idx="25">
                  <c:v>4.8899999999999997</c:v>
                </c:pt>
                <c:pt idx="26">
                  <c:v>4.3899999999999997</c:v>
                </c:pt>
                <c:pt idx="27">
                  <c:v>4.13</c:v>
                </c:pt>
                <c:pt idx="28">
                  <c:v>4.5199999999999996</c:v>
                </c:pt>
                <c:pt idx="29">
                  <c:v>4.3099999999999996</c:v>
                </c:pt>
                <c:pt idx="30">
                  <c:v>4.3099999999999996</c:v>
                </c:pt>
                <c:pt idx="31">
                  <c:v>4.7300000000000004</c:v>
                </c:pt>
                <c:pt idx="32">
                  <c:v>4.76</c:v>
                </c:pt>
                <c:pt idx="33">
                  <c:v>5.36</c:v>
                </c:pt>
                <c:pt idx="34">
                  <c:v>6.14</c:v>
                </c:pt>
                <c:pt idx="35">
                  <c:v>6.16</c:v>
                </c:pt>
                <c:pt idx="36">
                  <c:v>5.98</c:v>
                </c:pt>
                <c:pt idx="37">
                  <c:v>6.29</c:v>
                </c:pt>
                <c:pt idx="38" formatCode="General">
                  <c:v>6.81</c:v>
                </c:pt>
                <c:pt idx="39">
                  <c:v>6.67</c:v>
                </c:pt>
                <c:pt idx="40">
                  <c:v>5.94</c:v>
                </c:pt>
                <c:pt idx="41">
                  <c:v>5.98</c:v>
                </c:pt>
                <c:pt idx="42">
                  <c:v>6.55</c:v>
                </c:pt>
                <c:pt idx="43">
                  <c:v>6.65</c:v>
                </c:pt>
                <c:pt idx="44">
                  <c:v>7.43</c:v>
                </c:pt>
                <c:pt idx="45">
                  <c:v>6.94</c:v>
                </c:pt>
                <c:pt idx="46">
                  <c:v>6.12</c:v>
                </c:pt>
                <c:pt idx="47">
                  <c:v>5.62</c:v>
                </c:pt>
                <c:pt idx="48">
                  <c:v>5.55</c:v>
                </c:pt>
                <c:pt idx="49">
                  <c:v>6.09</c:v>
                </c:pt>
                <c:pt idx="50">
                  <c:v>5.77</c:v>
                </c:pt>
                <c:pt idx="51" formatCode="General">
                  <c:v>5.63</c:v>
                </c:pt>
              </c:numCache>
            </c:numRef>
          </c:val>
          <c:smooth val="1"/>
          <c:extLst>
            <c:ext xmlns:c16="http://schemas.microsoft.com/office/drawing/2014/chart" uri="{C3380CC4-5D6E-409C-BE32-E72D297353CC}">
              <c16:uniqueId val="{00000004-7B64-4688-8769-0678CEB76F36}"/>
            </c:ext>
          </c:extLst>
        </c:ser>
        <c:ser>
          <c:idx val="7"/>
          <c:order val="5"/>
          <c:tx>
            <c:strRef>
              <c:f>Lõhe_FinY!$I$1</c:f>
              <c:strCache>
                <c:ptCount val="1"/>
                <c:pt idx="0">
                  <c:v>2021/2022</c:v>
                </c:pt>
              </c:strCache>
            </c:strRef>
          </c:tx>
          <c:spPr>
            <a:ln w="22225" cap="rnd" cmpd="sng" algn="ctr">
              <a:solidFill>
                <a:schemeClr val="accent2">
                  <a:lumMod val="60000"/>
                </a:schemeClr>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Lõhe_FinY!$I$2:$I$53</c:f>
              <c:numCache>
                <c:formatCode>0.00</c:formatCode>
                <c:ptCount val="52"/>
                <c:pt idx="0">
                  <c:v>5.74</c:v>
                </c:pt>
                <c:pt idx="1">
                  <c:v>6.26</c:v>
                </c:pt>
                <c:pt idx="2">
                  <c:v>6.27</c:v>
                </c:pt>
                <c:pt idx="3">
                  <c:v>5.5</c:v>
                </c:pt>
                <c:pt idx="4">
                  <c:v>5.33</c:v>
                </c:pt>
                <c:pt idx="5">
                  <c:v>5.47</c:v>
                </c:pt>
                <c:pt idx="6">
                  <c:v>5.14</c:v>
                </c:pt>
                <c:pt idx="7">
                  <c:v>5.03</c:v>
                </c:pt>
                <c:pt idx="8">
                  <c:v>5.05</c:v>
                </c:pt>
                <c:pt idx="9">
                  <c:v>4.8600000000000003</c:v>
                </c:pt>
                <c:pt idx="10">
                  <c:v>4.92</c:v>
                </c:pt>
                <c:pt idx="11">
                  <c:v>4.93</c:v>
                </c:pt>
                <c:pt idx="12">
                  <c:v>5.0199999999999996</c:v>
                </c:pt>
                <c:pt idx="13">
                  <c:v>5.38</c:v>
                </c:pt>
                <c:pt idx="14">
                  <c:v>5.82</c:v>
                </c:pt>
                <c:pt idx="15">
                  <c:v>5.92</c:v>
                </c:pt>
                <c:pt idx="16">
                  <c:v>5.79</c:v>
                </c:pt>
                <c:pt idx="17">
                  <c:v>5.55</c:v>
                </c:pt>
                <c:pt idx="18">
                  <c:v>5.4</c:v>
                </c:pt>
                <c:pt idx="19">
                  <c:v>5.82</c:v>
                </c:pt>
                <c:pt idx="20">
                  <c:v>6.18</c:v>
                </c:pt>
                <c:pt idx="21">
                  <c:v>5.9</c:v>
                </c:pt>
                <c:pt idx="22">
                  <c:v>6.37</c:v>
                </c:pt>
                <c:pt idx="23">
                  <c:v>7.35</c:v>
                </c:pt>
                <c:pt idx="24">
                  <c:v>6.82</c:v>
                </c:pt>
                <c:pt idx="25">
                  <c:v>6.41</c:v>
                </c:pt>
                <c:pt idx="26">
                  <c:v>6.61</c:v>
                </c:pt>
                <c:pt idx="27">
                  <c:v>7.24</c:v>
                </c:pt>
                <c:pt idx="28">
                  <c:v>7.25</c:v>
                </c:pt>
                <c:pt idx="29">
                  <c:v>7.1</c:v>
                </c:pt>
                <c:pt idx="30">
                  <c:v>7.35</c:v>
                </c:pt>
                <c:pt idx="31">
                  <c:v>8.0299999999999994</c:v>
                </c:pt>
                <c:pt idx="32">
                  <c:v>9.2200000000000006</c:v>
                </c:pt>
                <c:pt idx="33">
                  <c:v>9.01</c:v>
                </c:pt>
                <c:pt idx="34">
                  <c:v>8.61</c:v>
                </c:pt>
                <c:pt idx="35">
                  <c:v>8.41</c:v>
                </c:pt>
                <c:pt idx="36">
                  <c:v>8.11</c:v>
                </c:pt>
                <c:pt idx="37">
                  <c:v>8.8699999999999992</c:v>
                </c:pt>
                <c:pt idx="38" formatCode="General">
                  <c:v>9.1999999999999993</c:v>
                </c:pt>
                <c:pt idx="39">
                  <c:v>10.59</c:v>
                </c:pt>
                <c:pt idx="40">
                  <c:v>11.41</c:v>
                </c:pt>
                <c:pt idx="41">
                  <c:v>11.73</c:v>
                </c:pt>
                <c:pt idx="42">
                  <c:v>12.76</c:v>
                </c:pt>
                <c:pt idx="43">
                  <c:v>12.4</c:v>
                </c:pt>
                <c:pt idx="44">
                  <c:v>9.9499999999999993</c:v>
                </c:pt>
                <c:pt idx="45">
                  <c:v>9.73</c:v>
                </c:pt>
                <c:pt idx="46">
                  <c:v>9.8800000000000008</c:v>
                </c:pt>
                <c:pt idx="47">
                  <c:v>9.85</c:v>
                </c:pt>
                <c:pt idx="48">
                  <c:v>10.38</c:v>
                </c:pt>
                <c:pt idx="49">
                  <c:v>10.37</c:v>
                </c:pt>
                <c:pt idx="50">
                  <c:v>10.029999999999999</c:v>
                </c:pt>
                <c:pt idx="51" formatCode="General">
                  <c:v>9.44</c:v>
                </c:pt>
              </c:numCache>
            </c:numRef>
          </c:val>
          <c:smooth val="0"/>
          <c:extLst>
            <c:ext xmlns:c16="http://schemas.microsoft.com/office/drawing/2014/chart" uri="{C3380CC4-5D6E-409C-BE32-E72D297353CC}">
              <c16:uniqueId val="{00000005-7B64-4688-8769-0678CEB76F36}"/>
            </c:ext>
          </c:extLst>
        </c:ser>
        <c:dLbls>
          <c:showLegendKey val="0"/>
          <c:showVal val="0"/>
          <c:showCatName val="0"/>
          <c:showSerName val="0"/>
          <c:showPercent val="0"/>
          <c:showBubbleSize val="0"/>
        </c:dLbls>
        <c:marker val="1"/>
        <c:smooth val="0"/>
        <c:axId val="1419027376"/>
        <c:axId val="868910656"/>
      </c:lineChart>
      <c:catAx>
        <c:axId val="81874536"/>
        <c:scaling>
          <c:orientation val="minMax"/>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sz="800"/>
                  <a:t>WEEK</a:t>
                </a:r>
              </a:p>
            </c:rich>
          </c:tx>
          <c:layout>
            <c:manualLayout>
              <c:xMode val="edge"/>
              <c:yMode val="edge"/>
              <c:x val="7.451912112881624E-4"/>
              <c:y val="0.82675008089742208"/>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title>
        <c:numFmt formatCode="General" sourceLinked="1"/>
        <c:majorTickMark val="none"/>
        <c:minorTickMark val="none"/>
        <c:tickLblPos val="nextTo"/>
        <c:spPr>
          <a:noFill/>
          <a:ln w="9525" cap="flat" cmpd="sng" algn="ctr">
            <a:solidFill>
              <a:sysClr val="windowText" lastClr="000000">
                <a:lumMod val="35000"/>
                <a:lumOff val="65000"/>
              </a:sys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crossAx val="81869832"/>
        <c:crosses val="autoZero"/>
        <c:auto val="0"/>
        <c:lblAlgn val="ctr"/>
        <c:lblOffset val="150"/>
        <c:tickLblSkip val="2"/>
        <c:tickMarkSkip val="2"/>
        <c:noMultiLvlLbl val="0"/>
      </c:catAx>
      <c:valAx>
        <c:axId val="81869832"/>
        <c:scaling>
          <c:orientation val="minMax"/>
          <c:max val="13"/>
          <c:min val="3"/>
        </c:scaling>
        <c:delete val="0"/>
        <c:axPos val="l"/>
        <c:majorGridlines>
          <c:spPr>
            <a:ln>
              <a:solidFill>
                <a:schemeClr val="dk1">
                  <a:lumMod val="15000"/>
                  <a:lumOff val="85000"/>
                </a:schemeClr>
              </a:solidFill>
            </a:ln>
            <a:effectLst/>
          </c:spPr>
        </c:majorGridlines>
        <c:title>
          <c:tx>
            <c:rich>
              <a:bodyPr rot="0" spcFirstLastPara="1" vertOverflow="ellipsis" wrap="square" anchor="ctr" anchorCtr="1"/>
              <a:lstStyle/>
              <a:p>
                <a:pPr>
                  <a:defRPr sz="900" b="0" i="0" u="none" strike="noStrike" kern="1200" cap="none"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cap="none" baseline="0"/>
                  <a:t>EUR/kg</a:t>
                </a:r>
                <a:endParaRPr lang="et-EE" cap="none" baseline="0"/>
              </a:p>
            </c:rich>
          </c:tx>
          <c:layout>
            <c:manualLayout>
              <c:xMode val="edge"/>
              <c:yMode val="edge"/>
              <c:x val="1.7365841318028017E-2"/>
              <c:y val="3.2341570080793365E-2"/>
            </c:manualLayout>
          </c:layout>
          <c:overlay val="0"/>
          <c:spPr>
            <a:noFill/>
            <a:ln>
              <a:noFill/>
            </a:ln>
            <a:effectLst/>
          </c:spPr>
          <c:txPr>
            <a:bodyPr rot="0" spcFirstLastPara="1" vertOverflow="ellipsis" wrap="square" anchor="ctr" anchorCtr="1"/>
            <a:lstStyle/>
            <a:p>
              <a:pPr>
                <a:defRPr sz="900" b="0" i="0" u="none" strike="noStrike" kern="1200" cap="none"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crossAx val="81874536"/>
        <c:crosses val="autoZero"/>
        <c:crossBetween val="between"/>
        <c:majorUnit val="1"/>
      </c:valAx>
      <c:valAx>
        <c:axId val="868910656"/>
        <c:scaling>
          <c:orientation val="minMax"/>
          <c:max val="13"/>
          <c:min val="3"/>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crossAx val="1419027376"/>
        <c:crosses val="max"/>
        <c:crossBetween val="between"/>
      </c:valAx>
      <c:catAx>
        <c:axId val="1419027376"/>
        <c:scaling>
          <c:orientation val="minMax"/>
        </c:scaling>
        <c:delete val="1"/>
        <c:axPos val="t"/>
        <c:numFmt formatCode="General" sourceLinked="1"/>
        <c:majorTickMark val="out"/>
        <c:minorTickMark val="none"/>
        <c:tickLblPos val="nextTo"/>
        <c:crossAx val="868910656"/>
        <c:crosses val="max"/>
        <c:auto val="1"/>
        <c:lblAlgn val="ctr"/>
        <c:lblOffset val="100"/>
        <c:noMultiLvlLbl val="0"/>
      </c:catAx>
      <c:spPr>
        <a:gradFill>
          <a:gsLst>
            <a:gs pos="100000">
              <a:schemeClr val="lt1">
                <a:lumMod val="95000"/>
              </a:schemeClr>
            </a:gs>
            <a:gs pos="0">
              <a:schemeClr val="lt1"/>
            </a:gs>
          </a:gsLst>
          <a:lin ang="5400000" scaled="0"/>
        </a:gradFill>
        <a:ln>
          <a:noFill/>
        </a:ln>
        <a:effectLst/>
      </c:spPr>
    </c:plotArea>
    <c:legend>
      <c:legendPos val="t"/>
      <c:layout>
        <c:manualLayout>
          <c:xMode val="edge"/>
          <c:yMode val="edge"/>
          <c:x val="6.4627999255998519E-2"/>
          <c:y val="3.7854862736752502E-2"/>
          <c:w val="0.92685825134644051"/>
          <c:h val="4.69985474434477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legend>
    <c:plotVisOnly val="1"/>
    <c:dispBlanksAs val="gap"/>
    <c:showDLblsOverMax val="0"/>
  </c:chart>
  <c:spPr>
    <a:solidFill>
      <a:sysClr val="window" lastClr="FFFFFF"/>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EE"/>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067024939749619E-2"/>
          <c:y val="0.10719390721866158"/>
          <c:w val="0.86853502340332234"/>
          <c:h val="0.74334829059829055"/>
        </c:manualLayout>
      </c:layout>
      <c:lineChart>
        <c:grouping val="standard"/>
        <c:varyColors val="0"/>
        <c:ser>
          <c:idx val="0"/>
          <c:order val="0"/>
          <c:tx>
            <c:strRef>
              <c:f>Forell_FinY!$D$1</c:f>
              <c:strCache>
                <c:ptCount val="1"/>
                <c:pt idx="0">
                  <c:v>2016/2017</c:v>
                </c:pt>
              </c:strCache>
            </c:strRef>
          </c:tx>
          <c:spPr>
            <a:ln w="9525" cap="rnd" cmpd="sng" algn="ctr">
              <a:solidFill>
                <a:srgbClr val="BFC5E9"/>
              </a:solidFill>
              <a:prstDash val="sysDot"/>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Forell_FinY!$D$2:$D$53</c:f>
              <c:numCache>
                <c:formatCode>0.00</c:formatCode>
                <c:ptCount val="52"/>
                <c:pt idx="0">
                  <c:v>6.6990546013026053</c:v>
                </c:pt>
                <c:pt idx="1">
                  <c:v>6.6187274298755865</c:v>
                </c:pt>
                <c:pt idx="2">
                  <c:v>6.5086640640873386</c:v>
                </c:pt>
                <c:pt idx="3">
                  <c:v>6.2562074757593358</c:v>
                </c:pt>
                <c:pt idx="4">
                  <c:v>6.184240054694798</c:v>
                </c:pt>
                <c:pt idx="5">
                  <c:v>6.2604537642410394</c:v>
                </c:pt>
                <c:pt idx="6">
                  <c:v>6.4367496689267298</c:v>
                </c:pt>
                <c:pt idx="7">
                  <c:v>5.5601884132850703</c:v>
                </c:pt>
                <c:pt idx="8">
                  <c:v>5.9669984087626666</c:v>
                </c:pt>
                <c:pt idx="9">
                  <c:v>5.932628732416581</c:v>
                </c:pt>
                <c:pt idx="10">
                  <c:v>5.7996091126796196</c:v>
                </c:pt>
                <c:pt idx="11">
                  <c:v>5.9930090526120079</c:v>
                </c:pt>
                <c:pt idx="12">
                  <c:v>5.9431923166002587</c:v>
                </c:pt>
                <c:pt idx="13">
                  <c:v>6.463602127927504</c:v>
                </c:pt>
                <c:pt idx="14">
                  <c:v>6.452683511753933</c:v>
                </c:pt>
                <c:pt idx="15">
                  <c:v>6.7206037743354026</c:v>
                </c:pt>
                <c:pt idx="16">
                  <c:v>6.8126731651299011</c:v>
                </c:pt>
                <c:pt idx="17">
                  <c:v>7.1145738115415096</c:v>
                </c:pt>
                <c:pt idx="18">
                  <c:v>6.8666996210248801</c:v>
                </c:pt>
                <c:pt idx="19">
                  <c:v>6.6392711715890922</c:v>
                </c:pt>
                <c:pt idx="20">
                  <c:v>7.0968294711953082</c:v>
                </c:pt>
                <c:pt idx="21">
                  <c:v>7.4311751001496162</c:v>
                </c:pt>
                <c:pt idx="22">
                  <c:v>7.3901264585814888</c:v>
                </c:pt>
                <c:pt idx="23">
                  <c:v>7.6406833757045707</c:v>
                </c:pt>
                <c:pt idx="24">
                  <c:v>7.5249074758808945</c:v>
                </c:pt>
                <c:pt idx="25">
                  <c:v>7.3871840361446131</c:v>
                </c:pt>
                <c:pt idx="26">
                  <c:v>7.9354209769489898</c:v>
                </c:pt>
                <c:pt idx="27">
                  <c:v>7.929888991559209</c:v>
                </c:pt>
                <c:pt idx="28">
                  <c:v>7.646713639325073</c:v>
                </c:pt>
                <c:pt idx="29">
                  <c:v>8.0547895341409497</c:v>
                </c:pt>
                <c:pt idx="30">
                  <c:v>8.3456129060355284</c:v>
                </c:pt>
                <c:pt idx="31">
                  <c:v>7.5344987804039949</c:v>
                </c:pt>
                <c:pt idx="32">
                  <c:v>7.9699599235336471</c:v>
                </c:pt>
                <c:pt idx="33">
                  <c:v>7.8378680682122281</c:v>
                </c:pt>
                <c:pt idx="34">
                  <c:v>8.2222480903028323</c:v>
                </c:pt>
                <c:pt idx="35">
                  <c:v>7.9250150280626839</c:v>
                </c:pt>
                <c:pt idx="36">
                  <c:v>8.0098348006305198</c:v>
                </c:pt>
                <c:pt idx="37">
                  <c:v>8.3495430167424676</c:v>
                </c:pt>
                <c:pt idx="38">
                  <c:v>8.0555741824019691</c:v>
                </c:pt>
                <c:pt idx="39">
                  <c:v>7.6422690272038487</c:v>
                </c:pt>
                <c:pt idx="40">
                  <c:v>8.9434484275508321</c:v>
                </c:pt>
                <c:pt idx="41">
                  <c:v>8.3093308486930937</c:v>
                </c:pt>
                <c:pt idx="42">
                  <c:v>7.6380419929531724</c:v>
                </c:pt>
                <c:pt idx="43">
                  <c:v>7.8502073037415432</c:v>
                </c:pt>
                <c:pt idx="44">
                  <c:v>7.5506660189533372</c:v>
                </c:pt>
                <c:pt idx="45">
                  <c:v>8.7281992832918043</c:v>
                </c:pt>
                <c:pt idx="46">
                  <c:v>8.1962669078481856</c:v>
                </c:pt>
                <c:pt idx="47">
                  <c:v>8.0434842377886167</c:v>
                </c:pt>
                <c:pt idx="48">
                  <c:v>7.867329434633322</c:v>
                </c:pt>
                <c:pt idx="49">
                  <c:v>7.6428100921441979</c:v>
                </c:pt>
                <c:pt idx="50">
                  <c:v>7.916820551511675</c:v>
                </c:pt>
                <c:pt idx="51">
                  <c:v>8.1109968568598063</c:v>
                </c:pt>
              </c:numCache>
            </c:numRef>
          </c:val>
          <c:smooth val="1"/>
          <c:extLst>
            <c:ext xmlns:c16="http://schemas.microsoft.com/office/drawing/2014/chart" uri="{C3380CC4-5D6E-409C-BE32-E72D297353CC}">
              <c16:uniqueId val="{00000000-68C6-4B0E-A902-16E9F5DE1525}"/>
            </c:ext>
          </c:extLst>
        </c:ser>
        <c:ser>
          <c:idx val="1"/>
          <c:order val="1"/>
          <c:tx>
            <c:strRef>
              <c:f>Forell_FinY!$E$1</c:f>
              <c:strCache>
                <c:ptCount val="1"/>
                <c:pt idx="0">
                  <c:v>2017/2018</c:v>
                </c:pt>
              </c:strCache>
            </c:strRef>
          </c:tx>
          <c:spPr>
            <a:ln w="12700" cap="rnd" cmpd="sng" algn="ctr">
              <a:solidFill>
                <a:srgbClr val="9EA8DE"/>
              </a:solidFill>
              <a:prstDash val="dash"/>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Forell_FinY!$E$2:$E$53</c:f>
              <c:numCache>
                <c:formatCode>0.00</c:formatCode>
                <c:ptCount val="52"/>
                <c:pt idx="0">
                  <c:v>7.6580193234828737</c:v>
                </c:pt>
                <c:pt idx="1">
                  <c:v>8.0152454508835529</c:v>
                </c:pt>
                <c:pt idx="2">
                  <c:v>7.8230004710967131</c:v>
                </c:pt>
                <c:pt idx="3">
                  <c:v>7.620999888784179</c:v>
                </c:pt>
                <c:pt idx="4">
                  <c:v>7.3743039638228733</c:v>
                </c:pt>
                <c:pt idx="5">
                  <c:v>7.2261204645336603</c:v>
                </c:pt>
                <c:pt idx="6">
                  <c:v>6.9010953042904228</c:v>
                </c:pt>
                <c:pt idx="7">
                  <c:v>6.7958288046196866</c:v>
                </c:pt>
                <c:pt idx="8">
                  <c:v>6.9824872176818715</c:v>
                </c:pt>
                <c:pt idx="9">
                  <c:v>6.7438186577397463</c:v>
                </c:pt>
                <c:pt idx="10">
                  <c:v>6.2631383593231655</c:v>
                </c:pt>
                <c:pt idx="11">
                  <c:v>6.2265568540516165</c:v>
                </c:pt>
                <c:pt idx="12">
                  <c:v>6.2514074196608007</c:v>
                </c:pt>
                <c:pt idx="13">
                  <c:v>6.0998856441254352</c:v>
                </c:pt>
                <c:pt idx="14">
                  <c:v>6.2005004057158928</c:v>
                </c:pt>
                <c:pt idx="15">
                  <c:v>6.4768740088981041</c:v>
                </c:pt>
                <c:pt idx="16">
                  <c:v>6.2151438531466141</c:v>
                </c:pt>
                <c:pt idx="17">
                  <c:v>5.948717362714075</c:v>
                </c:pt>
                <c:pt idx="18">
                  <c:v>5.9373218930218847</c:v>
                </c:pt>
                <c:pt idx="19">
                  <c:v>5.5088970729888356</c:v>
                </c:pt>
                <c:pt idx="20">
                  <c:v>5.4537706694204626</c:v>
                </c:pt>
                <c:pt idx="21">
                  <c:v>5.3593960233995723</c:v>
                </c:pt>
                <c:pt idx="22">
                  <c:v>5.6113391245964728</c:v>
                </c:pt>
                <c:pt idx="23">
                  <c:v>5.7565291954390236</c:v>
                </c:pt>
                <c:pt idx="24">
                  <c:v>5.7490556538928024</c:v>
                </c:pt>
                <c:pt idx="25">
                  <c:v>5.953427360864386</c:v>
                </c:pt>
                <c:pt idx="26">
                  <c:v>5.9355439518026261</c:v>
                </c:pt>
                <c:pt idx="27">
                  <c:v>5.6205508509359587</c:v>
                </c:pt>
                <c:pt idx="28">
                  <c:v>5.7855979801821515</c:v>
                </c:pt>
                <c:pt idx="29">
                  <c:v>5.9086731765519422</c:v>
                </c:pt>
                <c:pt idx="30">
                  <c:v>6.1612224885795399</c:v>
                </c:pt>
                <c:pt idx="31">
                  <c:v>5.8660328846500986</c:v>
                </c:pt>
                <c:pt idx="32">
                  <c:v>5.8530255010442236</c:v>
                </c:pt>
                <c:pt idx="33">
                  <c:v>6.2942118683676673</c:v>
                </c:pt>
                <c:pt idx="34">
                  <c:v>6.1691570702193417</c:v>
                </c:pt>
                <c:pt idx="35">
                  <c:v>6.5389444308561</c:v>
                </c:pt>
                <c:pt idx="36">
                  <c:v>6.2769499556137047</c:v>
                </c:pt>
                <c:pt idx="37">
                  <c:v>6.5474071912120611</c:v>
                </c:pt>
                <c:pt idx="38">
                  <c:v>6.6205975115666051</c:v>
                </c:pt>
                <c:pt idx="39">
                  <c:v>6.2491824092233497</c:v>
                </c:pt>
                <c:pt idx="40">
                  <c:v>6.3960862051662808</c:v>
                </c:pt>
                <c:pt idx="41">
                  <c:v>6.4453159274737537</c:v>
                </c:pt>
                <c:pt idx="42">
                  <c:v>6.1874358599287858</c:v>
                </c:pt>
                <c:pt idx="43">
                  <c:v>6.4595020555536626</c:v>
                </c:pt>
                <c:pt idx="44">
                  <c:v>6.7873117518758228</c:v>
                </c:pt>
                <c:pt idx="45">
                  <c:v>7.2294564975836382</c:v>
                </c:pt>
                <c:pt idx="46">
                  <c:v>6.7552329162098195</c:v>
                </c:pt>
                <c:pt idx="47">
                  <c:v>6.7262562401494543</c:v>
                </c:pt>
                <c:pt idx="48">
                  <c:v>6.6333337431818098</c:v>
                </c:pt>
                <c:pt idx="49">
                  <c:v>6.8358875292663299</c:v>
                </c:pt>
                <c:pt idx="50">
                  <c:v>8.1995377384344135</c:v>
                </c:pt>
                <c:pt idx="51">
                  <c:v>6.4701675519629367</c:v>
                </c:pt>
              </c:numCache>
            </c:numRef>
          </c:val>
          <c:smooth val="1"/>
          <c:extLst>
            <c:ext xmlns:c16="http://schemas.microsoft.com/office/drawing/2014/chart" uri="{C3380CC4-5D6E-409C-BE32-E72D297353CC}">
              <c16:uniqueId val="{00000001-68C6-4B0E-A902-16E9F5DE1525}"/>
            </c:ext>
          </c:extLst>
        </c:ser>
        <c:ser>
          <c:idx val="3"/>
          <c:order val="2"/>
          <c:tx>
            <c:strRef>
              <c:f>Forell_FinY!$F$1</c:f>
              <c:strCache>
                <c:ptCount val="1"/>
                <c:pt idx="0">
                  <c:v>2018/2019</c:v>
                </c:pt>
              </c:strCache>
            </c:strRef>
          </c:tx>
          <c:spPr>
            <a:ln w="12700"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Forell_FinY!$F$2:$F$53</c:f>
              <c:numCache>
                <c:formatCode>0.00</c:formatCode>
                <c:ptCount val="52"/>
                <c:pt idx="0">
                  <c:v>6.5682508334597323</c:v>
                </c:pt>
                <c:pt idx="1">
                  <c:v>6.205766021500124</c:v>
                </c:pt>
                <c:pt idx="2">
                  <c:v>5.9424955863119111</c:v>
                </c:pt>
                <c:pt idx="3">
                  <c:v>5.4317353819835121</c:v>
                </c:pt>
                <c:pt idx="4">
                  <c:v>5.5953616390178462</c:v>
                </c:pt>
                <c:pt idx="5">
                  <c:v>5.6527296794430981</c:v>
                </c:pt>
                <c:pt idx="6">
                  <c:v>5.9036664422794614</c:v>
                </c:pt>
                <c:pt idx="7">
                  <c:v>5.9772967724939656</c:v>
                </c:pt>
                <c:pt idx="8">
                  <c:v>6.1888941545105443</c:v>
                </c:pt>
                <c:pt idx="9">
                  <c:v>6.3928110613514768</c:v>
                </c:pt>
                <c:pt idx="10">
                  <c:v>6.4070905905390099</c:v>
                </c:pt>
                <c:pt idx="11">
                  <c:v>5.979680982185414</c:v>
                </c:pt>
                <c:pt idx="12">
                  <c:v>5.7234979265956296</c:v>
                </c:pt>
                <c:pt idx="13">
                  <c:v>5.6982129904286776</c:v>
                </c:pt>
                <c:pt idx="14">
                  <c:v>5.871633260975349</c:v>
                </c:pt>
                <c:pt idx="15">
                  <c:v>5.7851338073964351</c:v>
                </c:pt>
                <c:pt idx="16">
                  <c:v>5.8256696433998467</c:v>
                </c:pt>
                <c:pt idx="17">
                  <c:v>5.7533920718325167</c:v>
                </c:pt>
                <c:pt idx="18">
                  <c:v>5.7243944277740963</c:v>
                </c:pt>
                <c:pt idx="19">
                  <c:v>5.5917689901087178</c:v>
                </c:pt>
                <c:pt idx="20">
                  <c:v>5.5052691640961902</c:v>
                </c:pt>
                <c:pt idx="21">
                  <c:v>5.3588858899213978</c:v>
                </c:pt>
                <c:pt idx="22">
                  <c:v>5.6991557217854458</c:v>
                </c:pt>
                <c:pt idx="23">
                  <c:v>5.2841431497722038</c:v>
                </c:pt>
                <c:pt idx="24">
                  <c:v>5.2960061840802819</c:v>
                </c:pt>
                <c:pt idx="25">
                  <c:v>5.8814187805598488</c:v>
                </c:pt>
                <c:pt idx="26">
                  <c:v>5.9941518855326583</c:v>
                </c:pt>
                <c:pt idx="27">
                  <c:v>6.1477829119033496</c:v>
                </c:pt>
                <c:pt idx="28">
                  <c:v>6.1933806126487614</c:v>
                </c:pt>
                <c:pt idx="29">
                  <c:v>6.0592761472954244</c:v>
                </c:pt>
                <c:pt idx="30">
                  <c:v>6.090522710293917</c:v>
                </c:pt>
                <c:pt idx="31">
                  <c:v>5.9897719117306627</c:v>
                </c:pt>
                <c:pt idx="32">
                  <c:v>5.8234815888543556</c:v>
                </c:pt>
                <c:pt idx="33">
                  <c:v>6.0800139750030482</c:v>
                </c:pt>
                <c:pt idx="34">
                  <c:v>6.5687658598207559</c:v>
                </c:pt>
                <c:pt idx="35">
                  <c:v>6.5119271200076794</c:v>
                </c:pt>
                <c:pt idx="36">
                  <c:v>6.9712659550506144</c:v>
                </c:pt>
                <c:pt idx="37">
                  <c:v>6.9468252692851582</c:v>
                </c:pt>
                <c:pt idx="38">
                  <c:v>6.6457850033720565</c:v>
                </c:pt>
                <c:pt idx="39">
                  <c:v>6.6652514179999933</c:v>
                </c:pt>
                <c:pt idx="40">
                  <c:v>6.6490338581392212</c:v>
                </c:pt>
                <c:pt idx="41">
                  <c:v>6.8764063957263364</c:v>
                </c:pt>
                <c:pt idx="42">
                  <c:v>6.3863975864441684</c:v>
                </c:pt>
                <c:pt idx="43">
                  <c:v>6.058944356448948</c:v>
                </c:pt>
                <c:pt idx="44">
                  <c:v>6.0991474638078289</c:v>
                </c:pt>
                <c:pt idx="45">
                  <c:v>5.9668320504527665</c:v>
                </c:pt>
                <c:pt idx="46">
                  <c:v>5.9264369161867991</c:v>
                </c:pt>
                <c:pt idx="47">
                  <c:v>5.6321100787250655</c:v>
                </c:pt>
                <c:pt idx="48">
                  <c:v>5.6625956258698924</c:v>
                </c:pt>
                <c:pt idx="49">
                  <c:v>5.616285981925154</c:v>
                </c:pt>
                <c:pt idx="50">
                  <c:v>5.603370402479376</c:v>
                </c:pt>
                <c:pt idx="51">
                  <c:v>5.7644574267731734</c:v>
                </c:pt>
              </c:numCache>
            </c:numRef>
          </c:val>
          <c:smooth val="1"/>
          <c:extLst>
            <c:ext xmlns:c16="http://schemas.microsoft.com/office/drawing/2014/chart" uri="{C3380CC4-5D6E-409C-BE32-E72D297353CC}">
              <c16:uniqueId val="{00000002-68C6-4B0E-A902-16E9F5DE152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1874144"/>
        <c:axId val="81876104"/>
        <c:extLst/>
      </c:lineChart>
      <c:lineChart>
        <c:grouping val="standard"/>
        <c:varyColors val="0"/>
        <c:ser>
          <c:idx val="4"/>
          <c:order val="3"/>
          <c:tx>
            <c:strRef>
              <c:f>Forell_FinY!$G$1</c:f>
              <c:strCache>
                <c:ptCount val="1"/>
                <c:pt idx="0">
                  <c:v>2019/2020</c:v>
                </c:pt>
              </c:strCache>
            </c:strRef>
          </c:tx>
          <c:spPr>
            <a:ln w="22225"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Forell_FinY!$G$2:$G$53</c:f>
              <c:numCache>
                <c:formatCode>0.00</c:formatCode>
                <c:ptCount val="52"/>
                <c:pt idx="0">
                  <c:v>5.4858203213496513</c:v>
                </c:pt>
                <c:pt idx="1">
                  <c:v>5.5477705950508502</c:v>
                </c:pt>
                <c:pt idx="2">
                  <c:v>5.3191977616130472</c:v>
                </c:pt>
                <c:pt idx="3">
                  <c:v>5.282611641916815</c:v>
                </c:pt>
                <c:pt idx="4">
                  <c:v>5.1213252899161104</c:v>
                </c:pt>
                <c:pt idx="5">
                  <c:v>4.8597351910658881</c:v>
                </c:pt>
                <c:pt idx="6">
                  <c:v>5.1154424140192152</c:v>
                </c:pt>
                <c:pt idx="7">
                  <c:v>5.0559384103105138</c:v>
                </c:pt>
                <c:pt idx="8">
                  <c:v>5.1229824634668422</c:v>
                </c:pt>
                <c:pt idx="9">
                  <c:v>4.9508813324960235</c:v>
                </c:pt>
                <c:pt idx="10">
                  <c:v>5.241784010895655</c:v>
                </c:pt>
                <c:pt idx="11">
                  <c:v>5.0311316061602431</c:v>
                </c:pt>
                <c:pt idx="12">
                  <c:v>4.9683917951948118</c:v>
                </c:pt>
                <c:pt idx="13">
                  <c:v>5.025109585515743</c:v>
                </c:pt>
                <c:pt idx="14">
                  <c:v>5.0121480273628194</c:v>
                </c:pt>
                <c:pt idx="15">
                  <c:v>5.2631195925037098</c:v>
                </c:pt>
                <c:pt idx="16">
                  <c:v>5.0799655717413863</c:v>
                </c:pt>
                <c:pt idx="17">
                  <c:v>5.0862319124727229</c:v>
                </c:pt>
                <c:pt idx="18">
                  <c:v>5.101241524852802</c:v>
                </c:pt>
                <c:pt idx="19">
                  <c:v>5.0563267973088886</c:v>
                </c:pt>
                <c:pt idx="20">
                  <c:v>5.3847103363682596</c:v>
                </c:pt>
                <c:pt idx="21">
                  <c:v>5.6141859346639871</c:v>
                </c:pt>
                <c:pt idx="22">
                  <c:v>5.5401661825281154</c:v>
                </c:pt>
                <c:pt idx="23">
                  <c:v>5.6425909066399038</c:v>
                </c:pt>
                <c:pt idx="24">
                  <c:v>5.969632145605817</c:v>
                </c:pt>
                <c:pt idx="25">
                  <c:v>6.3089522774362425</c:v>
                </c:pt>
                <c:pt idx="26">
                  <c:v>6.7423242651355277</c:v>
                </c:pt>
                <c:pt idx="27">
                  <c:v>6.0009067066317252</c:v>
                </c:pt>
                <c:pt idx="28">
                  <c:v>5.9948564525540808</c:v>
                </c:pt>
                <c:pt idx="29">
                  <c:v>5.7356038720608282</c:v>
                </c:pt>
                <c:pt idx="30">
                  <c:v>5.6031382004011023</c:v>
                </c:pt>
                <c:pt idx="31">
                  <c:v>5.6137421116541804</c:v>
                </c:pt>
                <c:pt idx="32">
                  <c:v>5.6610410387189587</c:v>
                </c:pt>
                <c:pt idx="33">
                  <c:v>5.6387009232428635</c:v>
                </c:pt>
                <c:pt idx="34">
                  <c:v>5.7268189557442293</c:v>
                </c:pt>
                <c:pt idx="35">
                  <c:v>5.5217830352888422</c:v>
                </c:pt>
                <c:pt idx="36">
                  <c:v>5.2755647029479436</c:v>
                </c:pt>
                <c:pt idx="37">
                  <c:v>4.5261650589243008</c:v>
                </c:pt>
                <c:pt idx="38">
                  <c:v>4.5200412098559442</c:v>
                </c:pt>
                <c:pt idx="39">
                  <c:v>4.4935833679119028</c:v>
                </c:pt>
                <c:pt idx="40">
                  <c:v>4.5722557829828361</c:v>
                </c:pt>
                <c:pt idx="41">
                  <c:v>4.6062681438216826</c:v>
                </c:pt>
                <c:pt idx="42">
                  <c:v>4.176319791766292</c:v>
                </c:pt>
                <c:pt idx="43">
                  <c:v>4.539435435033881</c:v>
                </c:pt>
                <c:pt idx="44">
                  <c:v>4.1354660917073947</c:v>
                </c:pt>
                <c:pt idx="45">
                  <c:v>4.1240918765967542</c:v>
                </c:pt>
                <c:pt idx="46">
                  <c:v>4.4856692415937012</c:v>
                </c:pt>
                <c:pt idx="47">
                  <c:v>4.4661346431287514</c:v>
                </c:pt>
                <c:pt idx="48">
                  <c:v>4.7933021702385341</c:v>
                </c:pt>
                <c:pt idx="49">
                  <c:v>4.7386183840601124</c:v>
                </c:pt>
                <c:pt idx="50">
                  <c:v>4.5285843955690437</c:v>
                </c:pt>
                <c:pt idx="51">
                  <c:v>4.3599981829559491</c:v>
                </c:pt>
              </c:numCache>
            </c:numRef>
          </c:val>
          <c:smooth val="1"/>
          <c:extLst>
            <c:ext xmlns:c16="http://schemas.microsoft.com/office/drawing/2014/chart" uri="{C3380CC4-5D6E-409C-BE32-E72D297353CC}">
              <c16:uniqueId val="{00000003-68C6-4B0E-A902-16E9F5DE1525}"/>
            </c:ext>
          </c:extLst>
        </c:ser>
        <c:ser>
          <c:idx val="2"/>
          <c:order val="4"/>
          <c:tx>
            <c:strRef>
              <c:f>Forell_FinY!$H$1</c:f>
              <c:strCache>
                <c:ptCount val="1"/>
                <c:pt idx="0">
                  <c:v>2020/2021</c:v>
                </c:pt>
              </c:strCache>
            </c:strRef>
          </c:tx>
          <c:spPr>
            <a:ln w="28575"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Forell_FinY!$H$2:$H$53</c:f>
              <c:numCache>
                <c:formatCode>0.00</c:formatCode>
                <c:ptCount val="52"/>
                <c:pt idx="0">
                  <c:v>4.4021515415090517</c:v>
                </c:pt>
                <c:pt idx="1">
                  <c:v>3.9395075631298915</c:v>
                </c:pt>
                <c:pt idx="2">
                  <c:v>4.1408809725128517</c:v>
                </c:pt>
                <c:pt idx="3">
                  <c:v>4.0819348227616699</c:v>
                </c:pt>
                <c:pt idx="4">
                  <c:v>3.9082241683740113</c:v>
                </c:pt>
                <c:pt idx="5">
                  <c:v>4.0366255302472336</c:v>
                </c:pt>
                <c:pt idx="6">
                  <c:v>4.0555882409590831</c:v>
                </c:pt>
                <c:pt idx="7">
                  <c:v>4.2010163543863808</c:v>
                </c:pt>
                <c:pt idx="8">
                  <c:v>3.8904799438811981</c:v>
                </c:pt>
                <c:pt idx="9">
                  <c:v>4.0787967965243519</c:v>
                </c:pt>
                <c:pt idx="10">
                  <c:v>3.9376102348087549</c:v>
                </c:pt>
                <c:pt idx="11">
                  <c:v>4.0811625024490992</c:v>
                </c:pt>
                <c:pt idx="12">
                  <c:v>4.0529997931601613</c:v>
                </c:pt>
                <c:pt idx="13">
                  <c:v>4.5103660675540915</c:v>
                </c:pt>
                <c:pt idx="14">
                  <c:v>4.1909279111996813</c:v>
                </c:pt>
                <c:pt idx="15">
                  <c:v>4.4669957862985594</c:v>
                </c:pt>
                <c:pt idx="16">
                  <c:v>4.3228407267667937</c:v>
                </c:pt>
                <c:pt idx="17">
                  <c:v>4.3455030675770168</c:v>
                </c:pt>
                <c:pt idx="18">
                  <c:v>4.2594955255644402</c:v>
                </c:pt>
                <c:pt idx="19">
                  <c:v>4.5522612693391382</c:v>
                </c:pt>
                <c:pt idx="20">
                  <c:v>4.4055724375418439</c:v>
                </c:pt>
                <c:pt idx="21">
                  <c:v>4.5016954932187581</c:v>
                </c:pt>
                <c:pt idx="22">
                  <c:v>4.4729740698286697</c:v>
                </c:pt>
                <c:pt idx="23">
                  <c:v>4.3522467153262978</c:v>
                </c:pt>
                <c:pt idx="24">
                  <c:v>4.5777863255589892</c:v>
                </c:pt>
                <c:pt idx="25">
                  <c:v>4.8875780827241613</c:v>
                </c:pt>
                <c:pt idx="26">
                  <c:v>4.9128768326552068</c:v>
                </c:pt>
                <c:pt idx="27">
                  <c:v>4.7505200497533817</c:v>
                </c:pt>
                <c:pt idx="28">
                  <c:v>4.8068105482749219</c:v>
                </c:pt>
                <c:pt idx="29">
                  <c:v>5.0438799746390659</c:v>
                </c:pt>
                <c:pt idx="30">
                  <c:v>5.2183372030261133</c:v>
                </c:pt>
                <c:pt idx="31">
                  <c:v>5.8912781144562469</c:v>
                </c:pt>
                <c:pt idx="32">
                  <c:v>5.5684433276468557</c:v>
                </c:pt>
                <c:pt idx="33">
                  <c:v>5.6124790084584957</c:v>
                </c:pt>
                <c:pt idx="34">
                  <c:v>5.6225590568539179</c:v>
                </c:pt>
                <c:pt idx="35">
                  <c:v>5.6489800056026027</c:v>
                </c:pt>
                <c:pt idx="36">
                  <c:v>5.719898218268189</c:v>
                </c:pt>
                <c:pt idx="37">
                  <c:v>5.7925102400154609</c:v>
                </c:pt>
                <c:pt idx="38">
                  <c:v>5.9950493542124583</c:v>
                </c:pt>
                <c:pt idx="39">
                  <c:v>5.868880922928267</c:v>
                </c:pt>
                <c:pt idx="40">
                  <c:v>5.8030375962620715</c:v>
                </c:pt>
                <c:pt idx="41">
                  <c:v>5.7306342223161613</c:v>
                </c:pt>
                <c:pt idx="42">
                  <c:v>6.2057156219204623</c:v>
                </c:pt>
                <c:pt idx="43">
                  <c:v>5.9921755249786237</c:v>
                </c:pt>
                <c:pt idx="44">
                  <c:v>5.8746354815420476</c:v>
                </c:pt>
                <c:pt idx="45">
                  <c:v>6.0335519325842641</c:v>
                </c:pt>
                <c:pt idx="46">
                  <c:v>5.853695054605609</c:v>
                </c:pt>
                <c:pt idx="47">
                  <c:v>5.7748059688297717</c:v>
                </c:pt>
                <c:pt idx="48">
                  <c:v>5.6581185999193195</c:v>
                </c:pt>
                <c:pt idx="49">
                  <c:v>5.5788041579037655</c:v>
                </c:pt>
                <c:pt idx="50">
                  <c:v>5.5991149787439731</c:v>
                </c:pt>
                <c:pt idx="51">
                  <c:v>5.5221582606819588</c:v>
                </c:pt>
              </c:numCache>
            </c:numRef>
          </c:val>
          <c:smooth val="1"/>
          <c:extLst>
            <c:ext xmlns:c16="http://schemas.microsoft.com/office/drawing/2014/chart" uri="{C3380CC4-5D6E-409C-BE32-E72D297353CC}">
              <c16:uniqueId val="{00000004-68C6-4B0E-A902-16E9F5DE1525}"/>
            </c:ext>
          </c:extLst>
        </c:ser>
        <c:ser>
          <c:idx val="5"/>
          <c:order val="5"/>
          <c:tx>
            <c:strRef>
              <c:f>Forell_FinY!$I$1</c:f>
              <c:strCache>
                <c:ptCount val="1"/>
                <c:pt idx="0">
                  <c:v>2021/2022</c:v>
                </c:pt>
              </c:strCache>
            </c:strRef>
          </c:tx>
          <c:spPr>
            <a:ln w="22225" cap="rnd" cmpd="sng" algn="ctr">
              <a:solidFill>
                <a:srgbClr val="DE604A">
                  <a:lumMod val="50000"/>
                </a:srgbClr>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Forell_FinY!$I$2:$I$53</c:f>
              <c:numCache>
                <c:formatCode>0.00</c:formatCode>
                <c:ptCount val="52"/>
                <c:pt idx="0">
                  <c:v>5.4185475946040187</c:v>
                </c:pt>
                <c:pt idx="1">
                  <c:v>5.244160255166471</c:v>
                </c:pt>
                <c:pt idx="2">
                  <c:v>5.2961762239605275</c:v>
                </c:pt>
                <c:pt idx="3">
                  <c:v>5.2880922036141973</c:v>
                </c:pt>
                <c:pt idx="4">
                  <c:v>5.2716483222872164</c:v>
                </c:pt>
                <c:pt idx="5">
                  <c:v>5.378498396022648</c:v>
                </c:pt>
                <c:pt idx="6">
                  <c:v>5.5202792793979176</c:v>
                </c:pt>
                <c:pt idx="7">
                  <c:v>5.3994112103311904</c:v>
                </c:pt>
                <c:pt idx="8">
                  <c:v>5.6053167850555541</c:v>
                </c:pt>
                <c:pt idx="9">
                  <c:v>5.6026613480383753</c:v>
                </c:pt>
                <c:pt idx="10">
                  <c:v>5.6281891788060276</c:v>
                </c:pt>
                <c:pt idx="11">
                  <c:v>5.6653286307265933</c:v>
                </c:pt>
                <c:pt idx="12">
                  <c:v>5.6711762082207722</c:v>
                </c:pt>
                <c:pt idx="13">
                  <c:v>5.8720685562033719</c:v>
                </c:pt>
                <c:pt idx="14">
                  <c:v>5.9637081381364396</c:v>
                </c:pt>
                <c:pt idx="15">
                  <c:v>6.0316495618258061</c:v>
                </c:pt>
                <c:pt idx="16">
                  <c:v>5.9089874204102548</c:v>
                </c:pt>
                <c:pt idx="17">
                  <c:v>5.8918574479273218</c:v>
                </c:pt>
                <c:pt idx="18">
                  <c:v>5.9062788396371966</c:v>
                </c:pt>
                <c:pt idx="19">
                  <c:v>5.974414074486468</c:v>
                </c:pt>
                <c:pt idx="20">
                  <c:v>6.0124171230226446</c:v>
                </c:pt>
                <c:pt idx="21">
                  <c:v>6.2297874834284688</c:v>
                </c:pt>
                <c:pt idx="22">
                  <c:v>6.2232968946478273</c:v>
                </c:pt>
                <c:pt idx="23">
                  <c:v>6.6135789584401037</c:v>
                </c:pt>
                <c:pt idx="24">
                  <c:v>6.7479484807325356</c:v>
                </c:pt>
                <c:pt idx="25">
                  <c:v>6.9558655583884903</c:v>
                </c:pt>
                <c:pt idx="26">
                  <c:v>6.5475664723910487</c:v>
                </c:pt>
                <c:pt idx="27">
                  <c:v>6.7046855789328994</c:v>
                </c:pt>
                <c:pt idx="28">
                  <c:v>7.2755622325975464</c:v>
                </c:pt>
                <c:pt idx="29">
                  <c:v>6.7778611934940782</c:v>
                </c:pt>
                <c:pt idx="30">
                  <c:v>6.9867497832941741</c:v>
                </c:pt>
                <c:pt idx="31">
                  <c:v>7.0050602295826696</c:v>
                </c:pt>
                <c:pt idx="32">
                  <c:v>8.0183761274484731</c:v>
                </c:pt>
                <c:pt idx="33">
                  <c:v>8.2134613979783193</c:v>
                </c:pt>
                <c:pt idx="34">
                  <c:v>8.0267544199795822</c:v>
                </c:pt>
                <c:pt idx="35">
                  <c:v>7.621682411891066</c:v>
                </c:pt>
                <c:pt idx="36">
                  <c:v>7.7941470704727998</c:v>
                </c:pt>
                <c:pt idx="37">
                  <c:v>8.2939176719528316</c:v>
                </c:pt>
                <c:pt idx="38">
                  <c:v>7.8999006990909981</c:v>
                </c:pt>
                <c:pt idx="39">
                  <c:v>8.9132458085620812</c:v>
                </c:pt>
                <c:pt idx="40">
                  <c:v>9.5795402279739044</c:v>
                </c:pt>
                <c:pt idx="41">
                  <c:v>9.3484952209744083</c:v>
                </c:pt>
                <c:pt idx="42">
                  <c:v>9.3620200639040227</c:v>
                </c:pt>
                <c:pt idx="43">
                  <c:v>10.19202067338585</c:v>
                </c:pt>
                <c:pt idx="44">
                  <c:v>9.6449874808071918</c:v>
                </c:pt>
                <c:pt idx="45">
                  <c:v>9.5533194677565731</c:v>
                </c:pt>
                <c:pt idx="46">
                  <c:v>9.4118907456419336</c:v>
                </c:pt>
                <c:pt idx="47">
                  <c:v>9.529633377948155</c:v>
                </c:pt>
                <c:pt idx="48">
                  <c:v>9.2297843694506163</c:v>
                </c:pt>
                <c:pt idx="49">
                  <c:v>9.1687079569333694</c:v>
                </c:pt>
                <c:pt idx="50">
                  <c:v>9.7435692243751202</c:v>
                </c:pt>
                <c:pt idx="51">
                  <c:v>9.7054559510068046</c:v>
                </c:pt>
              </c:numCache>
            </c:numRef>
          </c:val>
          <c:smooth val="0"/>
          <c:extLst>
            <c:ext xmlns:c16="http://schemas.microsoft.com/office/drawing/2014/chart" uri="{C3380CC4-5D6E-409C-BE32-E72D297353CC}">
              <c16:uniqueId val="{00000005-68C6-4B0E-A902-16E9F5DE1525}"/>
            </c:ext>
          </c:extLst>
        </c:ser>
        <c:dLbls>
          <c:showLegendKey val="0"/>
          <c:showVal val="0"/>
          <c:showCatName val="0"/>
          <c:showSerName val="0"/>
          <c:showPercent val="0"/>
          <c:showBubbleSize val="0"/>
        </c:dLbls>
        <c:marker val="1"/>
        <c:smooth val="0"/>
        <c:axId val="249308943"/>
        <c:axId val="575098815"/>
      </c:lineChart>
      <c:catAx>
        <c:axId val="81874144"/>
        <c:scaling>
          <c:orientation val="minMax"/>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a:t>WEEK</a:t>
                </a:r>
              </a:p>
            </c:rich>
          </c:tx>
          <c:layout>
            <c:manualLayout>
              <c:xMode val="edge"/>
              <c:yMode val="edge"/>
              <c:x val="0"/>
              <c:y val="0.87780808894951123"/>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crossAx val="81876104"/>
        <c:crosses val="autoZero"/>
        <c:auto val="1"/>
        <c:lblAlgn val="ctr"/>
        <c:lblOffset val="150"/>
        <c:tickLblSkip val="2"/>
        <c:noMultiLvlLbl val="0"/>
      </c:catAx>
      <c:valAx>
        <c:axId val="81876104"/>
        <c:scaling>
          <c:orientation val="minMax"/>
          <c:max val="11"/>
          <c:min val="3.5"/>
        </c:scaling>
        <c:delete val="0"/>
        <c:axPos val="l"/>
        <c:majorGridlines>
          <c:spPr>
            <a:ln>
              <a:solidFill>
                <a:schemeClr val="dk1">
                  <a:lumMod val="15000"/>
                  <a:lumOff val="85000"/>
                </a:schemeClr>
              </a:solidFill>
            </a:ln>
            <a:effectLst/>
          </c:spPr>
        </c:majorGridlines>
        <c:title>
          <c:tx>
            <c:rich>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t-EE"/>
                  <a:t>EUR/</a:t>
                </a:r>
                <a:r>
                  <a:rPr lang="et-EE" cap="none" baseline="0"/>
                  <a:t>kg</a:t>
                </a:r>
                <a:endParaRPr lang="et-EE"/>
              </a:p>
            </c:rich>
          </c:tx>
          <c:layout>
            <c:manualLayout>
              <c:xMode val="edge"/>
              <c:yMode val="edge"/>
              <c:x val="4.8648598884470876E-3"/>
              <c:y val="2.0266004622148785E-2"/>
            </c:manualLayout>
          </c:layout>
          <c:overlay val="0"/>
          <c:spPr>
            <a:noFill/>
            <a:ln>
              <a:noFill/>
            </a:ln>
            <a:effectLst/>
          </c:spPr>
          <c:txPr>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crossAx val="81874144"/>
        <c:crosses val="autoZero"/>
        <c:crossBetween val="midCat"/>
      </c:valAx>
      <c:valAx>
        <c:axId val="575098815"/>
        <c:scaling>
          <c:orientation val="minMax"/>
          <c:max val="11"/>
          <c:min val="3.5"/>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crossAx val="249308943"/>
        <c:crosses val="max"/>
        <c:crossBetween val="between"/>
        <c:majorUnit val="1"/>
      </c:valAx>
      <c:catAx>
        <c:axId val="249308943"/>
        <c:scaling>
          <c:orientation val="minMax"/>
        </c:scaling>
        <c:delete val="1"/>
        <c:axPos val="b"/>
        <c:numFmt formatCode="General" sourceLinked="1"/>
        <c:majorTickMark val="out"/>
        <c:minorTickMark val="none"/>
        <c:tickLblPos val="nextTo"/>
        <c:crossAx val="575098815"/>
        <c:crosses val="autoZero"/>
        <c:auto val="1"/>
        <c:lblAlgn val="ctr"/>
        <c:lblOffset val="100"/>
        <c:noMultiLvlLbl val="0"/>
      </c:catAx>
      <c:spPr>
        <a:solidFill>
          <a:schemeClr val="bg1"/>
        </a:solidFill>
        <a:ln>
          <a:noFill/>
        </a:ln>
        <a:effectLst/>
      </c:spPr>
    </c:plotArea>
    <c:legend>
      <c:legendPos val="l"/>
      <c:layout>
        <c:manualLayout>
          <c:xMode val="edge"/>
          <c:yMode val="edge"/>
          <c:x val="8.1260753551113438E-2"/>
          <c:y val="2.6280663626329437E-3"/>
          <c:w val="0.87884008589835361"/>
          <c:h val="0.108022206493851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EE"/>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EE"/>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strRef>
          <c:f>Graphs_Q!$AG$10</c:f>
          <c:strCache>
            <c:ptCount val="1"/>
            <c:pt idx="0">
              <c:v>Harvested volume, tonnes</c:v>
            </c:pt>
          </c:strCache>
        </c:strRef>
      </c:tx>
      <c:layout>
        <c:manualLayout>
          <c:xMode val="edge"/>
          <c:yMode val="edge"/>
          <c:x val="3.0169528654358693E-2"/>
          <c:y val="2.1041574584881671E-2"/>
        </c:manualLayout>
      </c:layout>
      <c:overlay val="0"/>
      <c:spPr>
        <a:noFill/>
        <a:ln>
          <a:noFill/>
        </a:ln>
        <a:effectLst/>
      </c:spPr>
      <c:txPr>
        <a:bodyPr rot="0" spcFirstLastPara="1" vertOverflow="ellipsis" vert="horz" wrap="square" anchor="ctr" anchorCtr="1"/>
        <a:lstStyle/>
        <a:p>
          <a:pPr>
            <a:defRPr sz="800" b="0" i="0" u="none" strike="noStrike" kern="1200" cap="none" spc="50"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title>
    <c:autoTitleDeleted val="0"/>
    <c:plotArea>
      <c:layout>
        <c:manualLayout>
          <c:layoutTarget val="inner"/>
          <c:xMode val="edge"/>
          <c:yMode val="edge"/>
          <c:x val="3.6829413019149819E-2"/>
          <c:y val="8.8563333333333327E-2"/>
          <c:w val="0.93966029885402569"/>
          <c:h val="0.73318606349298399"/>
        </c:manualLayout>
      </c:layout>
      <c:barChart>
        <c:barDir val="col"/>
        <c:grouping val="clustered"/>
        <c:varyColors val="0"/>
        <c:ser>
          <c:idx val="0"/>
          <c:order val="0"/>
          <c:tx>
            <c:strRef>
              <c:f>Graphs_AFY!$AG$10</c:f>
              <c:strCache>
                <c:ptCount val="1"/>
                <c:pt idx="0">
                  <c:v>Harvested volume, tonnes</c:v>
                </c:pt>
              </c:strCache>
            </c:strRef>
          </c:tx>
          <c:spPr>
            <a:solidFill>
              <a:srgbClr val="5E6EC8"/>
            </a:solidFill>
            <a:ln>
              <a:noFill/>
            </a:ln>
            <a:effectLst/>
          </c:spPr>
          <c:invertIfNegative val="0"/>
          <c:dPt>
            <c:idx val="4"/>
            <c:invertIfNegative val="0"/>
            <c:bubble3D val="0"/>
            <c:extLst>
              <c:ext xmlns:c16="http://schemas.microsoft.com/office/drawing/2014/chart" uri="{C3380CC4-5D6E-409C-BE32-E72D297353CC}">
                <c16:uniqueId val="{00000000-25E8-4941-BD8D-77DC0A0852D6}"/>
              </c:ext>
            </c:extLst>
          </c:dPt>
          <c:dLbls>
            <c:dLbl>
              <c:idx val="1"/>
              <c:layout>
                <c:manualLayout>
                  <c:x val="0"/>
                  <c:y val="0.125086625086625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E8-4941-BD8D-77DC0A0852D6}"/>
                </c:ext>
              </c:extLst>
            </c:dLbl>
            <c:numFmt formatCode="#,##0" sourceLinked="0"/>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n-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Graphs_AFY!$D$11:$D$15</c:f>
              <c:strCache>
                <c:ptCount val="5"/>
                <c:pt idx="0">
                  <c:v>2017/2018</c:v>
                </c:pt>
                <c:pt idx="1">
                  <c:v>2018/2019</c:v>
                </c:pt>
                <c:pt idx="2">
                  <c:v>2019/2020</c:v>
                </c:pt>
                <c:pt idx="3">
                  <c:v>2020/2021</c:v>
                </c:pt>
                <c:pt idx="4">
                  <c:v>2021/2022</c:v>
                </c:pt>
              </c:strCache>
            </c:strRef>
          </c:cat>
          <c:val>
            <c:numRef>
              <c:f>Graphs_AFY!$AG$11:$AG$15</c:f>
              <c:numCache>
                <c:formatCode>#,##0</c:formatCode>
                <c:ptCount val="5"/>
                <c:pt idx="0">
                  <c:v>2337</c:v>
                </c:pt>
                <c:pt idx="1">
                  <c:v>1900</c:v>
                </c:pt>
                <c:pt idx="2">
                  <c:v>1933</c:v>
                </c:pt>
                <c:pt idx="3">
                  <c:v>1973</c:v>
                </c:pt>
                <c:pt idx="4">
                  <c:v>1427.3320000000001</c:v>
                </c:pt>
              </c:numCache>
            </c:numRef>
          </c:val>
          <c:extLst>
            <c:ext xmlns:c16="http://schemas.microsoft.com/office/drawing/2014/chart" uri="{C3380CC4-5D6E-409C-BE32-E72D297353CC}">
              <c16:uniqueId val="{00000002-25E8-4941-BD8D-77DC0A0852D6}"/>
            </c:ext>
          </c:extLst>
        </c:ser>
        <c:dLbls>
          <c:dLblPos val="ctr"/>
          <c:showLegendKey val="0"/>
          <c:showVal val="1"/>
          <c:showCatName val="0"/>
          <c:showSerName val="0"/>
          <c:showPercent val="0"/>
          <c:showBubbleSize val="0"/>
        </c:dLbls>
        <c:gapWidth val="25"/>
        <c:axId val="336083000"/>
        <c:axId val="336085352"/>
      </c:barChart>
      <c:lineChart>
        <c:grouping val="stacked"/>
        <c:varyColors val="0"/>
        <c:ser>
          <c:idx val="1"/>
          <c:order val="1"/>
          <c:tx>
            <c:strRef>
              <c:f>Graphs_AFY!$AH$10</c:f>
              <c:strCache>
                <c:ptCount val="1"/>
                <c:pt idx="0">
                  <c:v> y-o-y, %</c:v>
                </c:pt>
              </c:strCache>
            </c:strRef>
          </c:tx>
          <c:spPr>
            <a:ln w="28575" cap="rnd">
              <a:solidFill>
                <a:srgbClr val="DE604A"/>
              </a:solidFill>
              <a:round/>
            </a:ln>
            <a:effectLst/>
          </c:spPr>
          <c:marker>
            <c:symbol val="circle"/>
            <c:size val="18"/>
            <c:spPr>
              <a:solidFill>
                <a:srgbClr val="DE604A"/>
              </a:solidFill>
              <a:ln w="9525" cap="flat" cmpd="sng" algn="ctr">
                <a:noFill/>
                <a:round/>
              </a:ln>
              <a:effectLst/>
            </c:spPr>
          </c:marker>
          <c:dLbls>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n-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Graphs_AFY!$D$11:$D$15</c:f>
              <c:strCache>
                <c:ptCount val="5"/>
                <c:pt idx="0">
                  <c:v>2017/2018</c:v>
                </c:pt>
                <c:pt idx="1">
                  <c:v>2018/2019</c:v>
                </c:pt>
                <c:pt idx="2">
                  <c:v>2019/2020</c:v>
                </c:pt>
                <c:pt idx="3">
                  <c:v>2020/2021</c:v>
                </c:pt>
                <c:pt idx="4">
                  <c:v>2021/2022</c:v>
                </c:pt>
              </c:strCache>
            </c:strRef>
          </c:cat>
          <c:val>
            <c:numRef>
              <c:f>Graphs_AFY!$AH$11:$AH$15</c:f>
              <c:numCache>
                <c:formatCode>0.0%</c:formatCode>
                <c:ptCount val="5"/>
                <c:pt idx="0">
                  <c:v>0.17732997481108304</c:v>
                </c:pt>
                <c:pt idx="1">
                  <c:v>-0.18699186991869921</c:v>
                </c:pt>
                <c:pt idx="2">
                  <c:v>1.7368421052631478E-2</c:v>
                </c:pt>
                <c:pt idx="3">
                  <c:v>2.0693222969477398E-2</c:v>
                </c:pt>
                <c:pt idx="4">
                  <c:v>-0.27656766345666495</c:v>
                </c:pt>
              </c:numCache>
            </c:numRef>
          </c:val>
          <c:smooth val="1"/>
          <c:extLst>
            <c:ext xmlns:c16="http://schemas.microsoft.com/office/drawing/2014/chart" uri="{C3380CC4-5D6E-409C-BE32-E72D297353CC}">
              <c16:uniqueId val="{00000003-25E8-4941-BD8D-77DC0A0852D6}"/>
            </c:ext>
          </c:extLst>
        </c:ser>
        <c:dLbls>
          <c:showLegendKey val="0"/>
          <c:showVal val="0"/>
          <c:showCatName val="0"/>
          <c:showSerName val="0"/>
          <c:showPercent val="0"/>
          <c:showBubbleSize val="0"/>
        </c:dLbls>
        <c:marker val="1"/>
        <c:smooth val="0"/>
        <c:axId val="336085744"/>
        <c:axId val="336083392"/>
      </c:lineChart>
      <c:catAx>
        <c:axId val="336083000"/>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crossAx val="336085352"/>
        <c:crossesAt val="0"/>
        <c:auto val="1"/>
        <c:lblAlgn val="ctr"/>
        <c:lblOffset val="100"/>
        <c:noMultiLvlLbl val="0"/>
      </c:catAx>
      <c:valAx>
        <c:axId val="336085352"/>
        <c:scaling>
          <c:orientation val="minMax"/>
        </c:scaling>
        <c:delete val="0"/>
        <c:axPos val="l"/>
        <c:majorGridlines>
          <c:spPr>
            <a:ln w="9525" cap="flat" cmpd="sng" algn="ctr">
              <a:noFill/>
              <a:round/>
            </a:ln>
            <a:effectLst/>
          </c:spPr>
        </c:majorGridlines>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crossAx val="336083000"/>
        <c:crossesAt val="1"/>
        <c:crossBetween val="between"/>
        <c:majorUnit val="10"/>
      </c:valAx>
      <c:valAx>
        <c:axId val="336083392"/>
        <c:scaling>
          <c:orientation val="minMax"/>
          <c:max val="1.9"/>
          <c:min val="-1.1000000000000001"/>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crossAx val="336085744"/>
        <c:crosses val="max"/>
        <c:crossBetween val="between"/>
      </c:valAx>
      <c:catAx>
        <c:axId val="336085744"/>
        <c:scaling>
          <c:orientation val="minMax"/>
        </c:scaling>
        <c:delete val="1"/>
        <c:axPos val="b"/>
        <c:numFmt formatCode="General" sourceLinked="1"/>
        <c:majorTickMark val="out"/>
        <c:minorTickMark val="none"/>
        <c:tickLblPos val="nextTo"/>
        <c:crossAx val="33608339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3.9869662968851681E-3"/>
          <c:y val="0.93708877728485718"/>
          <c:w val="0.58920552241634405"/>
          <c:h val="6.291203703703703E-2"/>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legend>
    <c:plotVisOnly val="0"/>
    <c:dispBlanksAs val="gap"/>
    <c:showDLblsOverMax val="0"/>
  </c:chart>
  <c:spPr>
    <a:solidFill>
      <a:schemeClr val="bg1"/>
    </a:solidFill>
    <a:ln w="9525" cap="flat" cmpd="sng" algn="ctr">
      <a:noFill/>
      <a:round/>
    </a:ln>
    <a:effectLst/>
  </c:spPr>
  <c:txPr>
    <a:bodyPr/>
    <a:lstStyle/>
    <a:p>
      <a:pPr>
        <a:defRPr sz="800" strike="noStrike"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strRef>
          <c:f>Graphs_Q!$AI$10</c:f>
          <c:strCache>
            <c:ptCount val="1"/>
            <c:pt idx="0">
              <c:v>Biomass volume, tonnes</c:v>
            </c:pt>
          </c:strCache>
        </c:strRef>
      </c:tx>
      <c:layout>
        <c:manualLayout>
          <c:xMode val="edge"/>
          <c:yMode val="edge"/>
          <c:x val="4.8421559491601165E-2"/>
          <c:y val="1.4110892388451443E-2"/>
        </c:manualLayout>
      </c:layout>
      <c:overlay val="0"/>
      <c:spPr>
        <a:noFill/>
        <a:ln>
          <a:noFill/>
        </a:ln>
        <a:effectLst/>
      </c:spPr>
      <c:txPr>
        <a:bodyPr rot="0" spcFirstLastPara="1" vertOverflow="ellipsis" vert="horz" wrap="square" anchor="ctr" anchorCtr="1"/>
        <a:lstStyle/>
        <a:p>
          <a:pPr>
            <a:defRPr sz="800" b="0" i="0" u="none" strike="noStrike" kern="1200" cap="none" spc="50"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title>
    <c:autoTitleDeleted val="0"/>
    <c:plotArea>
      <c:layout>
        <c:manualLayout>
          <c:layoutTarget val="inner"/>
          <c:xMode val="edge"/>
          <c:yMode val="edge"/>
          <c:x val="3.6829413019149819E-2"/>
          <c:y val="8.8563333333333327E-2"/>
          <c:w val="0.93966029885402569"/>
          <c:h val="0.74608548931383578"/>
        </c:manualLayout>
      </c:layout>
      <c:barChart>
        <c:barDir val="col"/>
        <c:grouping val="clustered"/>
        <c:varyColors val="0"/>
        <c:ser>
          <c:idx val="0"/>
          <c:order val="0"/>
          <c:tx>
            <c:strRef>
              <c:f>Graphs_AFY!$AI$10</c:f>
              <c:strCache>
                <c:ptCount val="1"/>
                <c:pt idx="0">
                  <c:v>Biomass volume, tonnes</c:v>
                </c:pt>
              </c:strCache>
            </c:strRef>
          </c:tx>
          <c:spPr>
            <a:solidFill>
              <a:srgbClr val="363270"/>
            </a:solidFill>
            <a:ln>
              <a:noFill/>
            </a:ln>
            <a:effectLst/>
          </c:spPr>
          <c:invertIfNegative val="0"/>
          <c:dPt>
            <c:idx val="4"/>
            <c:invertIfNegative val="0"/>
            <c:bubble3D val="0"/>
            <c:extLst>
              <c:ext xmlns:c16="http://schemas.microsoft.com/office/drawing/2014/chart" uri="{C3380CC4-5D6E-409C-BE32-E72D297353CC}">
                <c16:uniqueId val="{00000000-B051-2543-8BD9-65058BED8F28}"/>
              </c:ext>
            </c:extLst>
          </c:dPt>
          <c:dLbls>
            <c:numFmt formatCode="#,##0" sourceLinked="0"/>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n-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Graphs_AFY!$C$11:$C$15</c:f>
              <c:numCache>
                <c:formatCode>m/d/yyyy</c:formatCode>
                <c:ptCount val="5"/>
                <c:pt idx="0">
                  <c:v>43281</c:v>
                </c:pt>
                <c:pt idx="1">
                  <c:v>43646</c:v>
                </c:pt>
                <c:pt idx="2">
                  <c:v>44012</c:v>
                </c:pt>
                <c:pt idx="3">
                  <c:v>44377</c:v>
                </c:pt>
                <c:pt idx="4">
                  <c:v>44742</c:v>
                </c:pt>
              </c:numCache>
            </c:numRef>
          </c:cat>
          <c:val>
            <c:numRef>
              <c:f>Graphs_AFY!$AI$11:$AI$15</c:f>
              <c:numCache>
                <c:formatCode>#,##0</c:formatCode>
                <c:ptCount val="5"/>
                <c:pt idx="0">
                  <c:v>1183.63429</c:v>
                </c:pt>
                <c:pt idx="1">
                  <c:v>986.83799999999997</c:v>
                </c:pt>
                <c:pt idx="2">
                  <c:v>945.22699999999998</c:v>
                </c:pt>
                <c:pt idx="3">
                  <c:v>846</c:v>
                </c:pt>
                <c:pt idx="4">
                  <c:v>441</c:v>
                </c:pt>
              </c:numCache>
            </c:numRef>
          </c:val>
          <c:extLst>
            <c:ext xmlns:c16="http://schemas.microsoft.com/office/drawing/2014/chart" uri="{C3380CC4-5D6E-409C-BE32-E72D297353CC}">
              <c16:uniqueId val="{00000001-B051-2543-8BD9-65058BED8F28}"/>
            </c:ext>
          </c:extLst>
        </c:ser>
        <c:dLbls>
          <c:dLblPos val="ctr"/>
          <c:showLegendKey val="0"/>
          <c:showVal val="1"/>
          <c:showCatName val="0"/>
          <c:showSerName val="0"/>
          <c:showPercent val="0"/>
          <c:showBubbleSize val="0"/>
        </c:dLbls>
        <c:gapWidth val="25"/>
        <c:axId val="336083000"/>
        <c:axId val="336085352"/>
      </c:barChart>
      <c:lineChart>
        <c:grouping val="stacked"/>
        <c:varyColors val="0"/>
        <c:ser>
          <c:idx val="1"/>
          <c:order val="1"/>
          <c:tx>
            <c:strRef>
              <c:f>Graphs_AFY!$AJ$10</c:f>
              <c:strCache>
                <c:ptCount val="1"/>
                <c:pt idx="0">
                  <c:v> y-o-y, %</c:v>
                </c:pt>
              </c:strCache>
            </c:strRef>
          </c:tx>
          <c:spPr>
            <a:ln w="28575" cap="rnd">
              <a:solidFill>
                <a:srgbClr val="DE604A"/>
              </a:solidFill>
              <a:round/>
            </a:ln>
            <a:effectLst/>
          </c:spPr>
          <c:marker>
            <c:symbol val="circle"/>
            <c:size val="18"/>
            <c:spPr>
              <a:solidFill>
                <a:srgbClr val="DE604A"/>
              </a:solidFill>
              <a:ln w="9525" cap="flat" cmpd="sng" algn="ctr">
                <a:noFill/>
                <a:round/>
              </a:ln>
              <a:effectLst/>
            </c:spPr>
          </c:marker>
          <c:dLbls>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n-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Graphs_AFY!$D$11:$D$15</c:f>
              <c:strCache>
                <c:ptCount val="5"/>
                <c:pt idx="0">
                  <c:v>2017/2018</c:v>
                </c:pt>
                <c:pt idx="1">
                  <c:v>2018/2019</c:v>
                </c:pt>
                <c:pt idx="2">
                  <c:v>2019/2020</c:v>
                </c:pt>
                <c:pt idx="3">
                  <c:v>2020/2021</c:v>
                </c:pt>
                <c:pt idx="4">
                  <c:v>2021/2022</c:v>
                </c:pt>
              </c:strCache>
            </c:strRef>
          </c:cat>
          <c:val>
            <c:numRef>
              <c:f>Graphs_AFY!$AJ$11:$AJ$15</c:f>
              <c:numCache>
                <c:formatCode>0.0%</c:formatCode>
                <c:ptCount val="5"/>
                <c:pt idx="0">
                  <c:v>-0.16879687214077133</c:v>
                </c:pt>
                <c:pt idx="1">
                  <c:v>-0.16626443797940327</c:v>
                </c:pt>
                <c:pt idx="2">
                  <c:v>-4.2165988743846472E-2</c:v>
                </c:pt>
                <c:pt idx="3">
                  <c:v>-0.10497689972884816</c:v>
                </c:pt>
                <c:pt idx="4">
                  <c:v>-0.47872340425531912</c:v>
                </c:pt>
              </c:numCache>
            </c:numRef>
          </c:val>
          <c:smooth val="1"/>
          <c:extLst>
            <c:ext xmlns:c16="http://schemas.microsoft.com/office/drawing/2014/chart" uri="{C3380CC4-5D6E-409C-BE32-E72D297353CC}">
              <c16:uniqueId val="{00000002-B051-2543-8BD9-65058BED8F28}"/>
            </c:ext>
          </c:extLst>
        </c:ser>
        <c:dLbls>
          <c:showLegendKey val="0"/>
          <c:showVal val="0"/>
          <c:showCatName val="0"/>
          <c:showSerName val="0"/>
          <c:showPercent val="0"/>
          <c:showBubbleSize val="0"/>
        </c:dLbls>
        <c:marker val="1"/>
        <c:smooth val="0"/>
        <c:axId val="336085744"/>
        <c:axId val="336083392"/>
      </c:lineChart>
      <c:catAx>
        <c:axId val="336083000"/>
        <c:scaling>
          <c:orientation val="minMax"/>
          <c:min val="1"/>
        </c:scaling>
        <c:delete val="0"/>
        <c:axPos val="b"/>
        <c:numFmt formatCode="dd/mm/yy"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crossAx val="336085352"/>
        <c:crossesAt val="0"/>
        <c:auto val="0"/>
        <c:lblAlgn val="ctr"/>
        <c:lblOffset val="100"/>
        <c:tickLblSkip val="1"/>
        <c:noMultiLvlLbl val="0"/>
      </c:catAx>
      <c:valAx>
        <c:axId val="336085352"/>
        <c:scaling>
          <c:orientation val="minMax"/>
        </c:scaling>
        <c:delete val="0"/>
        <c:axPos val="l"/>
        <c:majorGridlines>
          <c:spPr>
            <a:ln w="9525" cap="flat" cmpd="sng" algn="ctr">
              <a:noFill/>
              <a:round/>
            </a:ln>
            <a:effectLst/>
          </c:spPr>
        </c:majorGridlines>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GothamBook" charset="0"/>
                <a:cs typeface="Arial" panose="020B0604020202020204" pitchFamily="34" charset="0"/>
              </a:defRPr>
            </a:pPr>
            <a:endParaRPr lang="en-EE"/>
          </a:p>
        </c:txPr>
        <c:crossAx val="336083000"/>
        <c:crossesAt val="1"/>
        <c:crossBetween val="between"/>
        <c:majorUnit val="10"/>
      </c:valAx>
      <c:valAx>
        <c:axId val="336083392"/>
        <c:scaling>
          <c:orientation val="minMax"/>
          <c:max val="6"/>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GothamBook" charset="0"/>
                <a:cs typeface="Arial" panose="020B0604020202020204" pitchFamily="34" charset="0"/>
              </a:defRPr>
            </a:pPr>
            <a:endParaRPr lang="en-EE"/>
          </a:p>
        </c:txPr>
        <c:crossAx val="336085744"/>
        <c:crosses val="max"/>
        <c:crossBetween val="between"/>
      </c:valAx>
      <c:catAx>
        <c:axId val="336085744"/>
        <c:scaling>
          <c:orientation val="minMax"/>
        </c:scaling>
        <c:delete val="1"/>
        <c:axPos val="b"/>
        <c:numFmt formatCode="General" sourceLinked="1"/>
        <c:majorTickMark val="out"/>
        <c:minorTickMark val="none"/>
        <c:tickLblPos val="nextTo"/>
        <c:crossAx val="33608339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3.9869662968851681E-3"/>
          <c:y val="0.93708877728485718"/>
          <c:w val="0.54509493506448525"/>
          <c:h val="6.291203703703703E-2"/>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n-EE"/>
        </a:p>
      </c:txPr>
    </c:legend>
    <c:plotVisOnly val="0"/>
    <c:dispBlanksAs val="gap"/>
    <c:showDLblsOverMax val="0"/>
  </c:chart>
  <c:spPr>
    <a:solidFill>
      <a:schemeClr val="bg1"/>
    </a:solidFill>
    <a:ln w="9525" cap="flat" cmpd="sng" algn="ctr">
      <a:noFill/>
      <a:round/>
    </a:ln>
    <a:effectLst/>
  </c:spPr>
  <c:txPr>
    <a:bodyPr/>
    <a:lstStyle/>
    <a:p>
      <a:pPr>
        <a:defRPr sz="800" strike="noStrike" cap="none" baseline="0">
          <a:latin typeface="Arial" panose="020B0604020202020204" pitchFamily="34" charset="0"/>
          <a:ea typeface="GothamBook" charset="0"/>
          <a:cs typeface="Arial" panose="020B0604020202020204" pitchFamily="34" charset="0"/>
        </a:defRPr>
      </a:pPr>
      <a:endParaRPr lang="en-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0.86874</cdr:y>
    </cdr:from>
    <cdr:to>
      <cdr:x>0.31225</cdr:x>
      <cdr:y>0.93133</cdr:y>
    </cdr:to>
    <cdr:sp macro="" textlink="">
      <cdr:nvSpPr>
        <cdr:cNvPr id="3" name="TextBox 1">
          <a:extLst xmlns:a="http://schemas.openxmlformats.org/drawingml/2006/main">
            <a:ext uri="{FF2B5EF4-FFF2-40B4-BE49-F238E27FC236}">
              <a16:creationId xmlns:a16="http://schemas.microsoft.com/office/drawing/2014/main" id="{D94560E0-E46A-4A20-B4F7-489C735CEFC3}"/>
            </a:ext>
          </a:extLst>
        </cdr:cNvPr>
        <cdr:cNvSpPr txBox="1"/>
      </cdr:nvSpPr>
      <cdr:spPr>
        <a:xfrm xmlns:a="http://schemas.openxmlformats.org/drawingml/2006/main">
          <a:off x="-285750" y="2570690"/>
          <a:ext cx="2034340" cy="1852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Arial" panose="020B0604020202020204" pitchFamily="34" charset="0"/>
              <a:cs typeface="Arial" panose="020B0604020202020204" pitchFamily="34" charset="0"/>
            </a:rPr>
            <a:t>Source:</a:t>
          </a:r>
          <a:r>
            <a:rPr lang="en-US" sz="800" baseline="0">
              <a:latin typeface="Arial" panose="020B0604020202020204" pitchFamily="34" charset="0"/>
              <a:cs typeface="Arial" panose="020B0604020202020204" pitchFamily="34" charset="0"/>
            </a:rPr>
            <a:t> Nasdaq Salmon price</a:t>
          </a:r>
          <a:endParaRPr lang="et-EE" sz="8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0.93487</cdr:y>
    </cdr:from>
    <cdr:to>
      <cdr:x>0.33247</cdr:x>
      <cdr:y>1</cdr:y>
    </cdr:to>
    <cdr:sp macro="" textlink="">
      <cdr:nvSpPr>
        <cdr:cNvPr id="3" name="TextBox 1">
          <a:extLst xmlns:a="http://schemas.openxmlformats.org/drawingml/2006/main">
            <a:ext uri="{FF2B5EF4-FFF2-40B4-BE49-F238E27FC236}">
              <a16:creationId xmlns:a16="http://schemas.microsoft.com/office/drawing/2014/main" id="{EB247F88-085B-42E4-AAE7-2802CFC6D5B9}"/>
            </a:ext>
          </a:extLst>
        </cdr:cNvPr>
        <cdr:cNvSpPr txBox="1"/>
      </cdr:nvSpPr>
      <cdr:spPr>
        <a:xfrm xmlns:a="http://schemas.openxmlformats.org/drawingml/2006/main">
          <a:off x="0" y="2187585"/>
          <a:ext cx="2034716" cy="152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tx1">
                  <a:lumMod val="65000"/>
                  <a:lumOff val="35000"/>
                </a:schemeClr>
              </a:solidFill>
              <a:latin typeface="Arial" panose="020B0604020202020204" pitchFamily="34" charset="0"/>
              <a:cs typeface="Arial" panose="020B0604020202020204" pitchFamily="34" charset="0"/>
            </a:rPr>
            <a:t>Source:</a:t>
          </a:r>
          <a:r>
            <a:rPr lang="en-US" sz="800" baseline="0">
              <a:solidFill>
                <a:schemeClr val="tx1">
                  <a:lumMod val="65000"/>
                  <a:lumOff val="35000"/>
                </a:schemeClr>
              </a:solidFill>
              <a:latin typeface="Arial" panose="020B0604020202020204" pitchFamily="34" charset="0"/>
              <a:cs typeface="Arial" panose="020B0604020202020204" pitchFamily="34" charset="0"/>
            </a:rPr>
            <a:t> akvafakta.no</a:t>
          </a:r>
          <a:endParaRPr lang="et-EE" sz="800">
            <a:solidFill>
              <a:schemeClr val="tx1">
                <a:lumMod val="65000"/>
                <a:lumOff val="35000"/>
              </a:schemeClr>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Sisukord">
  <a:themeElements>
    <a:clrScheme name="PRF">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Fn2TenoRUwwgaF9dxB0LrpASEQ==">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5035</Words>
  <Characters>28706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riina.oja@prfoods.ee</dc:creator>
  <cp:lastModifiedBy>Kristi Raudsepp</cp:lastModifiedBy>
  <cp:revision>2</cp:revision>
  <dcterms:created xsi:type="dcterms:W3CDTF">2022-08-31T18:23:00Z</dcterms:created>
  <dcterms:modified xsi:type="dcterms:W3CDTF">2022-08-31T18:23:00Z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0x010100457590FD837C2F4689DDA55ADA7F6698</vt:lpwstr>
  </property>
</Properties>
</file>