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79E0CCF" w14:textId="77777777" w:rsidR="00D16385" w:rsidRDefault="00373BDB">
      <w:pPr>
        <w:jc w:val="center"/>
      </w:pPr>
      <w:r>
        <w:rPr>
          <w:b/>
          <w:sz w:val="15"/>
        </w:rPr>
        <w:t>NOT FOR RELEASE, PUBLICATION OR DISTRIBUTION, DIRECTLY OR INDIRECTLY, IN OR INTO THE UNITED STATES, AUSTRALIA, CANADA, JAPAN, SOUTH AFRICA OR ANY OTHER JURISDICTION WHERE TO DO SO WOULD CONSTITUTE A VIOLATION OF APPLICABLE LAW OR REGULATION.</w:t>
      </w:r>
    </w:p>
    <w:p w14:paraId="155E3652" w14:textId="77777777" w:rsidR="00D16385" w:rsidRDefault="00373BDB">
      <w:pPr>
        <w:jc w:val="center"/>
      </w:pPr>
      <w:r>
        <w:rPr>
          <w:b/>
          <w:sz w:val="15"/>
        </w:rPr>
        <w:t>THIS ANNOUNCEMENT CONTAINS INFORMATION WHICH QUALIFIES OR MAY QUALIFY AS INSIDE INFORMATION FOR THE PURPOSES OF ARTICLE 7 OF THE EU MARKET ABUSE REGULATION.</w:t>
      </w:r>
    </w:p>
    <w:p w14:paraId="5A56A873" w14:textId="77777777" w:rsidR="00D16385" w:rsidRDefault="00373BDB">
      <w:pPr>
        <w:jc w:val="center"/>
      </w:pPr>
      <w:r>
        <w:rPr>
          <w:b/>
          <w:sz w:val="26"/>
        </w:rPr>
        <w:t>Global InterConnection Group Limited</w:t>
      </w:r>
    </w:p>
    <w:p w14:paraId="49893A9D" w14:textId="77777777" w:rsidR="00D16385" w:rsidRDefault="00373BDB">
      <w:pPr>
        <w:jc w:val="center"/>
      </w:pPr>
      <w:r>
        <w:t>(the "Company" or "GIG")</w:t>
      </w:r>
    </w:p>
    <w:p w14:paraId="309A7606" w14:textId="77777777" w:rsidR="00D16385" w:rsidRDefault="00373BDB">
      <w:pPr>
        <w:jc w:val="center"/>
      </w:pPr>
      <w:r>
        <w:rPr>
          <w:b/>
          <w:sz w:val="22"/>
        </w:rPr>
        <w:t>GIG Founders Co-Investment Club and proposed exchange offers</w:t>
      </w:r>
    </w:p>
    <w:p w14:paraId="30AE879E" w14:textId="42D34026" w:rsidR="00D16385" w:rsidRDefault="00373BDB">
      <w:pPr>
        <w:jc w:val="center"/>
      </w:pPr>
      <w:r>
        <w:t>2</w:t>
      </w:r>
      <w:r w:rsidR="006C5E7B">
        <w:t>6</w:t>
      </w:r>
      <w:r>
        <w:t xml:space="preserve"> June 2026</w:t>
      </w:r>
    </w:p>
    <w:p w14:paraId="32957E28" w14:textId="77777777" w:rsidR="00D16385" w:rsidRDefault="00373BDB">
      <w:r>
        <w:t>Global InterConnection Group Limited announces the proposed GIG Founders Co-Investment Club and related opportunity for eligible existing shareholders and bondholders to exchange into Founders Units in the private Global InterConnection Group / SwissASC platform.</w:t>
      </w:r>
    </w:p>
    <w:p w14:paraId="2C15A27E" w14:textId="77777777" w:rsidR="00D16385" w:rsidRDefault="00373BDB">
      <w:r>
        <w:t>The Club is expected to raise GBP 12.5 million of new cash development capital, alongside approximately GBP 1.9 million of sponsor / management capital on the same economic terms, for an indicative GBP 14.4 million total milestone programme.</w:t>
      </w:r>
    </w:p>
    <w:p w14:paraId="55078D12" w14:textId="77777777" w:rsidR="00D16385" w:rsidRDefault="00373BDB">
      <w:r>
        <w:t>The purpose is to complete defined development milestones before larger-scale institutional, strategic and project-level capital is sought. The Club is not intended to fund unsupported construction risk or an unsupported HVDC cable deposit.</w:t>
      </w:r>
    </w:p>
    <w:p w14:paraId="1DBBC874" w14:textId="77777777" w:rsidR="00D16385" w:rsidRDefault="00373BDB">
      <w:pPr>
        <w:pStyle w:val="Heading1"/>
      </w:pPr>
      <w:r>
        <w:t>Key terms</w:t>
      </w:r>
    </w:p>
    <w:tbl>
      <w:tblPr>
        <w:tblStyle w:val="TableGrid"/>
        <w:tblW w:w="0" w:type="auto"/>
        <w:jc w:val="center"/>
        <w:tblLook w:val="04A0" w:firstRow="1" w:lastRow="0" w:firstColumn="1" w:lastColumn="0" w:noHBand="0" w:noVBand="1"/>
      </w:tblPr>
      <w:tblGrid>
        <w:gridCol w:w="4098"/>
        <w:gridCol w:w="6260"/>
      </w:tblGrid>
      <w:tr w:rsidR="00D16385" w14:paraId="5F37B6CE" w14:textId="77777777">
        <w:trPr>
          <w:jc w:val="center"/>
        </w:trPr>
        <w:tc>
          <w:tcPr>
            <w:tcW w:w="5184" w:type="dxa"/>
            <w:shd w:val="clear" w:color="auto" w:fill="D9EAF7"/>
          </w:tcPr>
          <w:p w14:paraId="4805C69C" w14:textId="77777777" w:rsidR="00D16385" w:rsidRDefault="00373BDB">
            <w:r>
              <w:rPr>
                <w:b/>
                <w:sz w:val="17"/>
              </w:rPr>
              <w:t>Item</w:t>
            </w:r>
          </w:p>
        </w:tc>
        <w:tc>
          <w:tcPr>
            <w:tcW w:w="5184" w:type="dxa"/>
            <w:shd w:val="clear" w:color="auto" w:fill="D9EAF7"/>
          </w:tcPr>
          <w:p w14:paraId="20A1188E" w14:textId="77777777" w:rsidR="00D16385" w:rsidRDefault="00373BDB">
            <w:r>
              <w:rPr>
                <w:b/>
                <w:sz w:val="17"/>
              </w:rPr>
              <w:t>Position</w:t>
            </w:r>
          </w:p>
        </w:tc>
      </w:tr>
      <w:tr w:rsidR="00D16385" w14:paraId="313FE521" w14:textId="77777777">
        <w:trPr>
          <w:jc w:val="center"/>
        </w:trPr>
        <w:tc>
          <w:tcPr>
            <w:tcW w:w="2304" w:type="dxa"/>
          </w:tcPr>
          <w:p w14:paraId="776CF804" w14:textId="77777777" w:rsidR="00D16385" w:rsidRDefault="00373BDB">
            <w:r>
              <w:rPr>
                <w:b/>
                <w:sz w:val="17"/>
              </w:rPr>
              <w:t>Capital raise</w:t>
            </w:r>
          </w:p>
        </w:tc>
        <w:tc>
          <w:tcPr>
            <w:tcW w:w="8064" w:type="dxa"/>
          </w:tcPr>
          <w:p w14:paraId="2A73A2F9" w14:textId="77777777" w:rsidR="00D16385" w:rsidRDefault="00373BDB">
            <w:r>
              <w:rPr>
                <w:sz w:val="17"/>
              </w:rPr>
              <w:t>GBP 12.5 million of new cash development capital, plus approximately GBP 1.9 million of sponsor / management capital on the same economic terms.</w:t>
            </w:r>
          </w:p>
        </w:tc>
      </w:tr>
      <w:tr w:rsidR="00D16385" w14:paraId="0E6A5CD0" w14:textId="77777777">
        <w:trPr>
          <w:jc w:val="center"/>
        </w:trPr>
        <w:tc>
          <w:tcPr>
            <w:tcW w:w="2304" w:type="dxa"/>
          </w:tcPr>
          <w:p w14:paraId="7B45DF14" w14:textId="77777777" w:rsidR="00D16385" w:rsidRDefault="00373BDB">
            <w:r>
              <w:rPr>
                <w:b/>
                <w:sz w:val="17"/>
              </w:rPr>
              <w:t>Instrument</w:t>
            </w:r>
          </w:p>
        </w:tc>
        <w:tc>
          <w:tcPr>
            <w:tcW w:w="8064" w:type="dxa"/>
          </w:tcPr>
          <w:p w14:paraId="428BF608" w14:textId="77777777" w:rsidR="00D16385" w:rsidRDefault="00373BDB">
            <w:r>
              <w:rPr>
                <w:sz w:val="17"/>
              </w:rPr>
              <w:t>Senior milestone bridge / loan note subscription, with Founders Unit participation and final mechanics to be set out in formal documents.</w:t>
            </w:r>
          </w:p>
        </w:tc>
      </w:tr>
      <w:tr w:rsidR="00D16385" w14:paraId="4BA1439E" w14:textId="77777777">
        <w:trPr>
          <w:jc w:val="center"/>
        </w:trPr>
        <w:tc>
          <w:tcPr>
            <w:tcW w:w="2304" w:type="dxa"/>
          </w:tcPr>
          <w:p w14:paraId="21774B1E" w14:textId="77777777" w:rsidR="00D16385" w:rsidRDefault="00373BDB">
            <w:r>
              <w:rPr>
                <w:b/>
                <w:sz w:val="17"/>
              </w:rPr>
              <w:t>Use of proceeds</w:t>
            </w:r>
          </w:p>
        </w:tc>
        <w:tc>
          <w:tcPr>
            <w:tcW w:w="8064" w:type="dxa"/>
          </w:tcPr>
          <w:p w14:paraId="7889702C" w14:textId="77777777" w:rsidR="00D16385" w:rsidRDefault="00373BDB">
            <w:r>
              <w:rPr>
                <w:sz w:val="17"/>
              </w:rPr>
              <w:t>Arctic data-cable development; Icelandic AI data-centre land, grid, power-redundancy and anchor-customer milestones; Expertise Hub build-out; HVDC offtake, Cable-as-a-Service and bankable counterparty workstreams; and execution support.</w:t>
            </w:r>
          </w:p>
        </w:tc>
      </w:tr>
      <w:tr w:rsidR="00D16385" w14:paraId="471A082B" w14:textId="77777777">
        <w:trPr>
          <w:jc w:val="center"/>
        </w:trPr>
        <w:tc>
          <w:tcPr>
            <w:tcW w:w="2304" w:type="dxa"/>
          </w:tcPr>
          <w:p w14:paraId="04ABD301" w14:textId="77777777" w:rsidR="00D16385" w:rsidRDefault="00373BDB">
            <w:r>
              <w:rPr>
                <w:b/>
                <w:sz w:val="17"/>
              </w:rPr>
              <w:t>HVDC discipline</w:t>
            </w:r>
          </w:p>
        </w:tc>
        <w:tc>
          <w:tcPr>
            <w:tcW w:w="8064" w:type="dxa"/>
          </w:tcPr>
          <w:p w14:paraId="4ECA6F3B" w14:textId="77777777" w:rsidR="00D16385" w:rsidRDefault="00373BDB">
            <w:r>
              <w:rPr>
                <w:sz w:val="17"/>
              </w:rPr>
              <w:t>No full HVDC cable-deposit commitment unless binding offtake, deposit-assumption, stage-payment or financing arrangements are in place. GIG will not assume unsupported inventory risk.</w:t>
            </w:r>
          </w:p>
        </w:tc>
      </w:tr>
      <w:tr w:rsidR="00D16385" w14:paraId="06384B84" w14:textId="77777777">
        <w:trPr>
          <w:jc w:val="center"/>
        </w:trPr>
        <w:tc>
          <w:tcPr>
            <w:tcW w:w="2304" w:type="dxa"/>
          </w:tcPr>
          <w:p w14:paraId="4CB83C60" w14:textId="77777777" w:rsidR="00D16385" w:rsidRDefault="00373BDB">
            <w:r>
              <w:rPr>
                <w:b/>
                <w:sz w:val="17"/>
              </w:rPr>
              <w:t>Reporting</w:t>
            </w:r>
          </w:p>
        </w:tc>
        <w:tc>
          <w:tcPr>
            <w:tcW w:w="8064" w:type="dxa"/>
          </w:tcPr>
          <w:p w14:paraId="52F11826" w14:textId="77777777" w:rsidR="00D16385" w:rsidRDefault="00373BDB">
            <w:r>
              <w:rPr>
                <w:sz w:val="17"/>
              </w:rPr>
              <w:t>Monthly cash, budget-variance, milestone and counterparty reporting, with proceeds ring-fenced to the approved milestone programme.</w:t>
            </w:r>
          </w:p>
        </w:tc>
      </w:tr>
      <w:tr w:rsidR="00D16385" w14:paraId="416B5B1D" w14:textId="77777777">
        <w:trPr>
          <w:jc w:val="center"/>
        </w:trPr>
        <w:tc>
          <w:tcPr>
            <w:tcW w:w="2304" w:type="dxa"/>
          </w:tcPr>
          <w:p w14:paraId="38B5B509" w14:textId="77777777" w:rsidR="00D16385" w:rsidRDefault="00373BDB">
            <w:r>
              <w:rPr>
                <w:b/>
                <w:sz w:val="17"/>
              </w:rPr>
              <w:t>Reserved matters</w:t>
            </w:r>
          </w:p>
        </w:tc>
        <w:tc>
          <w:tcPr>
            <w:tcW w:w="8064" w:type="dxa"/>
          </w:tcPr>
          <w:p w14:paraId="2DEEE8F2" w14:textId="77777777" w:rsidR="00D16385" w:rsidRDefault="00373BDB">
            <w:r>
              <w:rPr>
                <w:sz w:val="17"/>
              </w:rPr>
              <w:t>Investor consent over material budget deviations, new senior debt, material disposals, related-party transactions and any full HVDC cable-deposit commitment.</w:t>
            </w:r>
          </w:p>
        </w:tc>
      </w:tr>
    </w:tbl>
    <w:p w14:paraId="4E934126" w14:textId="77777777" w:rsidR="00D16385" w:rsidRDefault="00373BDB">
      <w:pPr>
        <w:pStyle w:val="Heading1"/>
      </w:pPr>
      <w:r>
        <w:t>Exchange mechanics</w:t>
      </w:r>
    </w:p>
    <w:p w14:paraId="023731F0" w14:textId="77777777" w:rsidR="00D16385" w:rsidRDefault="00373BDB">
      <w:r>
        <w:t>The Club is designed to give existing GIGL shareholders and bondholders priority access before third-party allocations. Exchange participation is tied to new cash, so the Club raises development capital rather than becoming a paper exchange.</w:t>
      </w:r>
    </w:p>
    <w:p w14:paraId="1A838394" w14:textId="77777777" w:rsidR="00D16385" w:rsidRDefault="00373BDB">
      <w:pPr>
        <w:pStyle w:val="ListBullet"/>
        <w:spacing w:after="40"/>
      </w:pPr>
      <w:r>
        <w:t>Existing GIGL shareholders subscribing new cash may elect to exchange all or part of their existing shareholding into Founders Units at the latest quoted GIGL share price of GBP 2.78 per share, provided they subscribe at least 25 pence of new cash for every GBP 1 of exchange value.</w:t>
      </w:r>
    </w:p>
    <w:p w14:paraId="425B91DF" w14:textId="77777777" w:rsidR="00D16385" w:rsidRDefault="00373BDB">
      <w:pPr>
        <w:pStyle w:val="ListBullet"/>
        <w:spacing w:after="40"/>
      </w:pPr>
      <w:r>
        <w:t>Holders of ASC Energy plc 2056 Index-Linked Convertible GreenBonds and Advanced Cables plc 2028 Index-Linked Convertible GreenBonds may elect to exchange holdings into Founders Units at 120% of principal outstanding, inclusive of accrued interest to the exchange date, provided they subscribe at least 25 pence of new cash for every GBP 1 of exchange value.</w:t>
      </w:r>
    </w:p>
    <w:p w14:paraId="4DF7DEF8" w14:textId="77777777" w:rsidR="00D16385" w:rsidRDefault="00373BDB">
      <w:pPr>
        <w:pStyle w:val="ListBullet"/>
        <w:spacing w:after="40"/>
      </w:pPr>
      <w:r>
        <w:t>Final exchange ratios, limits, procedures, eligibility requirements and risk factors will be set out in the formal subscription and exchange documents.</w:t>
      </w:r>
    </w:p>
    <w:p w14:paraId="3931AA75" w14:textId="77777777" w:rsidR="00D16385" w:rsidRDefault="00373BDB">
      <w:pPr>
        <w:pStyle w:val="Heading1"/>
      </w:pPr>
      <w:r>
        <w:t>Commercial confidentiality</w:t>
      </w:r>
    </w:p>
    <w:p w14:paraId="41652697" w14:textId="77777777" w:rsidR="00D16385" w:rsidRDefault="00373BDB">
      <w:r>
        <w:t>Named counterparties, kilometre requirements, RFQ status, FEED requests, meeting history and non-public commercial discussions are reserved for controlled diligence materials and are not included in this announcement.</w:t>
      </w:r>
    </w:p>
    <w:p w14:paraId="608651C2" w14:textId="77777777" w:rsidR="00D16385" w:rsidRDefault="00373BDB">
      <w:pPr>
        <w:pStyle w:val="Heading1"/>
      </w:pPr>
      <w:r>
        <w:t>Listed Company position</w:t>
      </w:r>
    </w:p>
    <w:p w14:paraId="1BFB76B1" w14:textId="77777777" w:rsidR="00D16385" w:rsidRDefault="00373BDB">
      <w:r>
        <w:t>The listed Company remains dependent for liquidity on payment of the Senior Secured MBO Loan and/or completion of the proposed Niobium acquisition or another financing or strategic transaction capable of providing working capital to the listed-company perimeter.</w:t>
      </w:r>
    </w:p>
    <w:p w14:paraId="19051768" w14:textId="77777777" w:rsidR="00D16385" w:rsidRDefault="00373BDB">
      <w:r>
        <w:lastRenderedPageBreak/>
        <w:t>There can be no certainty that any such liquidity event will complete, or that it will complete within the timetable required to avoid further adverse consequences for the listed Company. The Company continues to face going concern uncertainty and the related risk of suspension or de-listing from Euronext if the position is not remedied.</w:t>
      </w:r>
    </w:p>
    <w:p w14:paraId="735F9F9C" w14:textId="77777777" w:rsidR="00D16385" w:rsidRDefault="00373BDB">
      <w:r>
        <w:t>The proposed exchange offers are voluntary. Investors who do not participate will retain their existing interests in the Company or the relevant bond issuer, subject to the risks attaching to those interests.</w:t>
      </w:r>
    </w:p>
    <w:p w14:paraId="367B11AB" w14:textId="77777777" w:rsidR="00D16385" w:rsidRDefault="00373BDB">
      <w:pPr>
        <w:pStyle w:val="Heading1"/>
      </w:pPr>
      <w:r>
        <w:t>Conditions and next steps</w:t>
      </w:r>
    </w:p>
    <w:p w14:paraId="2A61997A" w14:textId="77777777" w:rsidR="00D16385" w:rsidRDefault="00373BDB">
      <w:r>
        <w:t>Participation will be subject to eligibility under applicable securities laws, receipt and review of formal subscription and exchange documents, satisfactory KYC, AML, sanctions and investor-classification checks, tax, legal and regulatory requirements, Board approval of final terms and allocations and such other conditions as are set out in the formal documents.</w:t>
      </w:r>
    </w:p>
    <w:p w14:paraId="7D499450" w14:textId="77777777" w:rsidR="00D16385" w:rsidRDefault="00373BDB">
      <w:r>
        <w:t>The Founders Units, senior milestone bridge / loan notes, warrants and related interests are expected to be illiquid, unlisted and subject to transfer restrictions. Investors should take their own legal, tax, financial and investment advice.</w:t>
      </w:r>
    </w:p>
    <w:p w14:paraId="0ACBCDB5" w14:textId="77777777" w:rsidR="00D16385" w:rsidRDefault="00373BDB">
      <w:r>
        <w:t>Following completion of the exchange offer process, the Board expects to convene an extraordinary general meeting to consider, among other matters, the proposed change of the Company’s name, the proposed change of financial year end to 30 June and, only if required, authority to issue new shares in connection with the proposed DCIM acquisition.</w:t>
      </w:r>
    </w:p>
    <w:p w14:paraId="479F49FB" w14:textId="77777777" w:rsidR="00D16385" w:rsidRDefault="00373BDB">
      <w:pPr>
        <w:pStyle w:val="Heading1"/>
      </w:pPr>
      <w:r>
        <w:t>Important notices</w:t>
      </w:r>
    </w:p>
    <w:p w14:paraId="44E608FC" w14:textId="77777777" w:rsidR="00D16385" w:rsidRDefault="00373BDB">
      <w:r>
        <w:t>This announcement is for information purposes only and does not constitute or form part of any offer to sell, issue, exchange or subscribe for any securities, nor any solicitation of any offer to buy, exchange or subscribe for any securities. Any invitation, offer or exchange will be made solely through formal documentation and only in jurisdictions and to persons where and to whom it may lawfully be made.</w:t>
      </w:r>
    </w:p>
    <w:p w14:paraId="47F38D7A" w14:textId="77777777" w:rsidR="00D16385" w:rsidRDefault="00373BDB">
      <w:r>
        <w:t>This announcement contains forward-looking statements. These statements are based on current expectations and assumptions and involve risks and uncertainties. Actual results may differ materially from those expressed or implied. The Company undertakes no obligation to update any forward-looking statement except as required by applicable law or regulation.</w:t>
      </w:r>
    </w:p>
    <w:p w14:paraId="65876AAB" w14:textId="77777777" w:rsidR="00D16385" w:rsidRDefault="00373BDB">
      <w:pPr>
        <w:pStyle w:val="Heading1"/>
      </w:pPr>
      <w:r>
        <w:t>Enquiries</w:t>
      </w:r>
    </w:p>
    <w:p w14:paraId="17140ACC" w14:textId="7EE5FC62" w:rsidR="00D16385" w:rsidRDefault="00373BDB">
      <w:r>
        <w:t>Company enquiries: Chrissie.boyle@globalinterconnectiongroup.com</w:t>
      </w:r>
    </w:p>
    <w:p w14:paraId="76EF046E" w14:textId="77777777" w:rsidR="00D16385" w:rsidRDefault="00373BDB">
      <w:r>
        <w:t>Registered office: First Floor, 10 Lefebvre Street, St Peter Port, Guernsey GY1 2PE</w:t>
      </w:r>
    </w:p>
    <w:sectPr w:rsidR="00D16385" w:rsidSect="00034616">
      <w:footerReference w:type="default" r:id="rId8"/>
      <w:pgSz w:w="12240" w:h="15840"/>
      <w:pgMar w:top="792" w:right="936" w:bottom="792" w:left="93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0426939" w14:textId="77777777" w:rsidR="00351A14" w:rsidRDefault="00351A14">
      <w:pPr>
        <w:spacing w:after="0" w:line="240" w:lineRule="auto"/>
      </w:pPr>
      <w:r>
        <w:separator/>
      </w:r>
    </w:p>
  </w:endnote>
  <w:endnote w:type="continuationSeparator" w:id="0">
    <w:p w14:paraId="28617983" w14:textId="77777777" w:rsidR="00351A14" w:rsidRDefault="00351A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2196A86" w14:textId="77777777" w:rsidR="00D16385" w:rsidRDefault="00373BDB">
    <w:pPr>
      <w:pStyle w:val="Footer"/>
      <w:jc w:val="center"/>
    </w:pPr>
    <w:r>
      <w:rPr>
        <w:sz w:val="14"/>
      </w:rPr>
      <w:t>Global InterConnection Group Limited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DCFF6FD" w14:textId="77777777" w:rsidR="00351A14" w:rsidRDefault="00351A14">
      <w:pPr>
        <w:spacing w:after="0" w:line="240" w:lineRule="auto"/>
      </w:pPr>
      <w:r>
        <w:separator/>
      </w:r>
    </w:p>
  </w:footnote>
  <w:footnote w:type="continuationSeparator" w:id="0">
    <w:p w14:paraId="10B79152" w14:textId="77777777" w:rsidR="00351A14" w:rsidRDefault="00351A1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744646371">
    <w:abstractNumId w:val="8"/>
  </w:num>
  <w:num w:numId="2" w16cid:durableId="1222786653">
    <w:abstractNumId w:val="6"/>
  </w:num>
  <w:num w:numId="3" w16cid:durableId="1342199876">
    <w:abstractNumId w:val="5"/>
  </w:num>
  <w:num w:numId="4" w16cid:durableId="2045641088">
    <w:abstractNumId w:val="4"/>
  </w:num>
  <w:num w:numId="5" w16cid:durableId="1303577777">
    <w:abstractNumId w:val="7"/>
  </w:num>
  <w:num w:numId="6" w16cid:durableId="1855147883">
    <w:abstractNumId w:val="3"/>
  </w:num>
  <w:num w:numId="7" w16cid:durableId="612052987">
    <w:abstractNumId w:val="2"/>
  </w:num>
  <w:num w:numId="8" w16cid:durableId="1673679376">
    <w:abstractNumId w:val="1"/>
  </w:num>
  <w:num w:numId="9" w16cid:durableId="984745944">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5"/>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0CB9"/>
    <w:rsid w:val="00034616"/>
    <w:rsid w:val="0006063C"/>
    <w:rsid w:val="000F0577"/>
    <w:rsid w:val="0015074B"/>
    <w:rsid w:val="0029639D"/>
    <w:rsid w:val="002D1A05"/>
    <w:rsid w:val="00326F90"/>
    <w:rsid w:val="00351A14"/>
    <w:rsid w:val="00373BDB"/>
    <w:rsid w:val="00501C5C"/>
    <w:rsid w:val="00510719"/>
    <w:rsid w:val="006C5E7B"/>
    <w:rsid w:val="00AA1D8D"/>
    <w:rsid w:val="00B47730"/>
    <w:rsid w:val="00BA47AA"/>
    <w:rsid w:val="00CB0664"/>
    <w:rsid w:val="00D16385"/>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DF4E8CB"/>
  <w14:defaultImageDpi w14:val="300"/>
  <w15:docId w15:val="{7A1CCEEA-8C02-5A41-B823-9E239EEC52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80" w:line="252" w:lineRule="auto"/>
    </w:pPr>
    <w:rPr>
      <w:rFonts w:ascii="Arial" w:eastAsia="Arial" w:hAnsi="Arial"/>
      <w:sz w:val="18"/>
    </w:rPr>
  </w:style>
  <w:style w:type="paragraph" w:styleId="Heading1">
    <w:name w:val="heading 1"/>
    <w:basedOn w:val="Normal"/>
    <w:next w:val="Normal"/>
    <w:link w:val="Heading1Char"/>
    <w:uiPriority w:val="9"/>
    <w:qFormat/>
    <w:rsid w:val="00FC693F"/>
    <w:pPr>
      <w:keepNext/>
      <w:keepLines/>
      <w:spacing w:before="120" w:after="60"/>
      <w:outlineLvl w:val="0"/>
    </w:pPr>
    <w:rPr>
      <w:rFonts w:asciiTheme="majorHAnsi" w:eastAsiaTheme="majorEastAsia" w:hAnsiTheme="majorHAnsi" w:cstheme="majorBidi"/>
      <w:b/>
      <w:bCs/>
      <w:color w:val="000000"/>
      <w:sz w:val="24"/>
      <w:szCs w:val="28"/>
    </w:rPr>
  </w:style>
  <w:style w:type="paragraph" w:styleId="Heading2">
    <w:name w:val="heading 2"/>
    <w:basedOn w:val="Normal"/>
    <w:next w:val="Normal"/>
    <w:link w:val="Heading2Char"/>
    <w:uiPriority w:val="9"/>
    <w:unhideWhenUsed/>
    <w:qFormat/>
    <w:rsid w:val="00FC693F"/>
    <w:pPr>
      <w:keepNext/>
      <w:keepLines/>
      <w:spacing w:before="120" w:after="60"/>
      <w:outlineLvl w:val="1"/>
    </w:pPr>
    <w:rPr>
      <w:rFonts w:asciiTheme="majorHAnsi" w:eastAsiaTheme="majorEastAsia" w:hAnsiTheme="majorHAnsi" w:cstheme="majorBidi"/>
      <w:b/>
      <w:bCs/>
      <w:color w:val="000000"/>
      <w:sz w:val="20"/>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920</Words>
  <Characters>5528</Characters>
  <Application>Microsoft Office Word</Application>
  <DocSecurity>0</DocSecurity>
  <Lines>85</Lines>
  <Paragraphs>45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6406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Chrissie Boyle</cp:lastModifiedBy>
  <cp:revision>2</cp:revision>
  <dcterms:created xsi:type="dcterms:W3CDTF">2026-06-25T17:06:00Z</dcterms:created>
  <dcterms:modified xsi:type="dcterms:W3CDTF">2026-06-25T17:06:00Z</dcterms:modified>
  <cp:category/>
</cp:coreProperties>
</file>