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0F864" w14:textId="77777777" w:rsidR="000D0286" w:rsidRDefault="000D0286">
      <w:pPr>
        <w:rPr>
          <w:rFonts w:asciiTheme="majorHAnsi" w:eastAsiaTheme="majorEastAsia" w:hAnsiTheme="majorHAnsi" w:cstheme="majorBidi"/>
          <w:caps/>
        </w:rPr>
      </w:pPr>
    </w:p>
    <w:p w14:paraId="042600E7" w14:textId="77777777" w:rsidR="00E96CCD" w:rsidRPr="00034C7E" w:rsidRDefault="006B21FF" w:rsidP="00034C7E">
      <w:pPr>
        <w:rPr>
          <w:rFonts w:asciiTheme="majorHAnsi" w:eastAsiaTheme="majorEastAsia" w:hAnsiTheme="majorHAnsi" w:cstheme="majorBidi"/>
          <w:caps/>
        </w:rPr>
      </w:pPr>
      <w:r>
        <w:rPr>
          <w:rFonts w:asciiTheme="majorHAnsi" w:eastAsiaTheme="majorEastAsia" w:hAnsiTheme="majorHAnsi" w:cstheme="majorBidi"/>
          <w:caps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AEE320A" wp14:editId="7F02A077">
            <wp:simplePos x="0" y="0"/>
            <wp:positionH relativeFrom="column">
              <wp:posOffset>1488885</wp:posOffset>
            </wp:positionH>
            <wp:positionV relativeFrom="paragraph">
              <wp:posOffset>1547495</wp:posOffset>
            </wp:positionV>
            <wp:extent cx="2908300" cy="345440"/>
            <wp:effectExtent l="0" t="0" r="635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alitena 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59">
        <w:rPr>
          <w:rFonts w:asciiTheme="majorHAnsi" w:eastAsiaTheme="majorEastAsia" w:hAnsiTheme="majorHAnsi" w:cstheme="majorBidi"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2F895" wp14:editId="12972FA4">
                <wp:simplePos x="0" y="0"/>
                <wp:positionH relativeFrom="column">
                  <wp:posOffset>771525</wp:posOffset>
                </wp:positionH>
                <wp:positionV relativeFrom="paragraph">
                  <wp:posOffset>3692525</wp:posOffset>
                </wp:positionV>
                <wp:extent cx="4349750" cy="0"/>
                <wp:effectExtent l="0" t="0" r="1270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7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82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3C052" id="Rak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290.75pt" to="403.25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" strokecolor="#ff8200"/>
            </w:pict>
          </mc:Fallback>
        </mc:AlternateContent>
      </w:r>
      <w:r w:rsidR="005A5F59" w:rsidRPr="0000112D">
        <w:rPr>
          <w:rFonts w:asciiTheme="majorHAnsi" w:eastAsiaTheme="majorEastAsia" w:hAnsiTheme="majorHAnsi" w:cstheme="majorBidi"/>
          <w:cap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B734E" wp14:editId="4B53512D">
                <wp:simplePos x="0" y="0"/>
                <wp:positionH relativeFrom="column">
                  <wp:posOffset>770255</wp:posOffset>
                </wp:positionH>
                <wp:positionV relativeFrom="paragraph">
                  <wp:posOffset>2741768</wp:posOffset>
                </wp:positionV>
                <wp:extent cx="4349750" cy="1403985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57392" w14:textId="77777777" w:rsidR="0020445B" w:rsidRPr="00935902" w:rsidRDefault="0020445B" w:rsidP="0000112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</w:rPr>
                              <w:t>Delårsrapport</w:t>
                            </w:r>
                          </w:p>
                          <w:p w14:paraId="1D4F61BC" w14:textId="4906854C" w:rsidR="0020445B" w:rsidRPr="00FB6B0A" w:rsidRDefault="0020445B" w:rsidP="0000112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2019-01-01 – 2019-06-30</w:t>
                            </w:r>
                          </w:p>
                          <w:p w14:paraId="09653DE5" w14:textId="77777777" w:rsidR="0020445B" w:rsidRPr="00935902" w:rsidRDefault="0020445B" w:rsidP="000011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043071" w14:textId="77777777" w:rsidR="0020445B" w:rsidRPr="00935902" w:rsidRDefault="0020445B" w:rsidP="00935902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35902">
                              <w:rPr>
                                <w:rFonts w:ascii="Arial" w:hAnsi="Arial" w:cs="Arial"/>
                              </w:rPr>
                              <w:t>KVALITENA AB (PUBL)</w:t>
                            </w:r>
                          </w:p>
                          <w:p w14:paraId="17C32603" w14:textId="77777777" w:rsidR="0020445B" w:rsidRPr="00935902" w:rsidRDefault="0020445B" w:rsidP="00935902">
                            <w:pPr>
                              <w:pStyle w:val="Ingetavstnd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35902">
                              <w:rPr>
                                <w:rFonts w:ascii="Arial" w:hAnsi="Arial" w:cs="Arial"/>
                              </w:rPr>
                              <w:t>556527-3314</w:t>
                            </w:r>
                          </w:p>
                          <w:p w14:paraId="3495F517" w14:textId="77777777" w:rsidR="0020445B" w:rsidRPr="00935902" w:rsidRDefault="0020445B" w:rsidP="0000112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0B734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0.65pt;margin-top:215.9pt;width:34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" filled="f" stroked="f">
                <v:textbox style="mso-fit-shape-to-text:t">
                  <w:txbxContent>
                    <w:p w14:paraId="23A57392" w14:textId="77777777" w:rsidR="0020445B" w:rsidRPr="00935902" w:rsidRDefault="0020445B" w:rsidP="0000112D">
                      <w:pPr>
                        <w:jc w:val="center"/>
                        <w:rPr>
                          <w:rFonts w:ascii="Arial" w:hAnsi="Arial" w:cs="Arial"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</w:rPr>
                        <w:t>Delårsrapport</w:t>
                      </w:r>
                    </w:p>
                    <w:p w14:paraId="1D4F61BC" w14:textId="4906854C" w:rsidR="0020445B" w:rsidRPr="00FB6B0A" w:rsidRDefault="0020445B" w:rsidP="0000112D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2019-01-01 – 2019-06-30</w:t>
                      </w:r>
                    </w:p>
                    <w:p w14:paraId="09653DE5" w14:textId="77777777" w:rsidR="0020445B" w:rsidRPr="00935902" w:rsidRDefault="0020445B" w:rsidP="000011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043071" w14:textId="77777777" w:rsidR="0020445B" w:rsidRPr="00935902" w:rsidRDefault="0020445B" w:rsidP="00935902">
                      <w:pPr>
                        <w:pStyle w:val="Ingetavstnd"/>
                        <w:jc w:val="center"/>
                        <w:rPr>
                          <w:rFonts w:ascii="Arial" w:hAnsi="Arial" w:cs="Arial"/>
                        </w:rPr>
                      </w:pPr>
                      <w:r w:rsidRPr="00935902">
                        <w:rPr>
                          <w:rFonts w:ascii="Arial" w:hAnsi="Arial" w:cs="Arial"/>
                        </w:rPr>
                        <w:t>KVALITENA AB (PUBL)</w:t>
                      </w:r>
                    </w:p>
                    <w:p w14:paraId="17C32603" w14:textId="77777777" w:rsidR="0020445B" w:rsidRPr="00935902" w:rsidRDefault="0020445B" w:rsidP="00935902">
                      <w:pPr>
                        <w:pStyle w:val="Ingetavstnd"/>
                        <w:jc w:val="center"/>
                        <w:rPr>
                          <w:rFonts w:ascii="Arial" w:hAnsi="Arial" w:cs="Arial"/>
                        </w:rPr>
                      </w:pPr>
                      <w:r w:rsidRPr="00935902">
                        <w:rPr>
                          <w:rFonts w:ascii="Arial" w:hAnsi="Arial" w:cs="Arial"/>
                        </w:rPr>
                        <w:t>556527-3314</w:t>
                      </w:r>
                    </w:p>
                    <w:p w14:paraId="3495F517" w14:textId="77777777" w:rsidR="0020445B" w:rsidRPr="00935902" w:rsidRDefault="0020445B" w:rsidP="0000112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5F59" w:rsidRPr="000139C3">
        <w:rPr>
          <w:rFonts w:ascii="Arial" w:hAnsi="Arial" w:cs="Arial"/>
          <w:sz w:val="14"/>
          <w:szCs w:val="20"/>
        </w:rPr>
        <w:br w:type="page"/>
      </w:r>
    </w:p>
    <w:p w14:paraId="40FD58F6" w14:textId="77777777" w:rsidR="008D0210" w:rsidRPr="00B845CD" w:rsidRDefault="008D0210" w:rsidP="008D0210">
      <w:pPr>
        <w:rPr>
          <w:rFonts w:ascii="Arial" w:hAnsi="Arial" w:cs="Arial"/>
          <w:b/>
          <w:sz w:val="20"/>
        </w:rPr>
      </w:pPr>
      <w:bookmarkStart w:id="0" w:name="_Hlk507518504"/>
      <w:r w:rsidRPr="00B845CD">
        <w:rPr>
          <w:rFonts w:ascii="Arial" w:hAnsi="Arial" w:cs="Arial"/>
          <w:b/>
          <w:sz w:val="20"/>
        </w:rPr>
        <w:lastRenderedPageBreak/>
        <w:t>KVALITENA I KORTHET</w:t>
      </w:r>
    </w:p>
    <w:bookmarkEnd w:id="0"/>
    <w:p w14:paraId="16F3CD22" w14:textId="25FDFE49" w:rsidR="008D0210" w:rsidRDefault="00F258D8" w:rsidP="008D0210">
      <w:pPr>
        <w:jc w:val="both"/>
        <w:rPr>
          <w:rFonts w:ascii="Arial" w:hAnsi="Arial" w:cs="Arial"/>
          <w:sz w:val="20"/>
        </w:rPr>
      </w:pPr>
      <w:proofErr w:type="spellStart"/>
      <w:r w:rsidRPr="00F258D8">
        <w:rPr>
          <w:rFonts w:ascii="Arial" w:hAnsi="Arial" w:cs="Arial"/>
          <w:sz w:val="20"/>
        </w:rPr>
        <w:t>Kvalitena</w:t>
      </w:r>
      <w:proofErr w:type="spellEnd"/>
      <w:r w:rsidRPr="00F258D8">
        <w:rPr>
          <w:rFonts w:ascii="Arial" w:hAnsi="Arial" w:cs="Arial"/>
          <w:sz w:val="20"/>
        </w:rPr>
        <w:t xml:space="preserve"> är ett privatägt fastighetsbolag grundat 1995. Bolagets innehav består i huvudsak av onoterade fastighetsbolag samt direktägda fastigheter. Grunden i </w:t>
      </w:r>
      <w:proofErr w:type="spellStart"/>
      <w:r w:rsidRPr="00F258D8">
        <w:rPr>
          <w:rFonts w:ascii="Arial" w:hAnsi="Arial" w:cs="Arial"/>
          <w:sz w:val="20"/>
        </w:rPr>
        <w:t>Kvalitenas</w:t>
      </w:r>
      <w:proofErr w:type="spellEnd"/>
      <w:r w:rsidRPr="00F258D8">
        <w:rPr>
          <w:rFonts w:ascii="Arial" w:hAnsi="Arial" w:cs="Arial"/>
          <w:sz w:val="20"/>
        </w:rPr>
        <w:t xml:space="preserve"> verksamhet är förvärv, utveckling och förvaltning av fastigheter inom segmenten lager och lätt industri, bostäder samt samhällsfastigheter.</w:t>
      </w:r>
    </w:p>
    <w:p w14:paraId="22115F0E" w14:textId="4A2F61CF" w:rsidR="008D0210" w:rsidRPr="00B845CD" w:rsidRDefault="008D0210" w:rsidP="008D0210">
      <w:pPr>
        <w:pStyle w:val="Ingetavstnd"/>
        <w:jc w:val="both"/>
        <w:rPr>
          <w:rFonts w:ascii="Arial" w:hAnsi="Arial" w:cs="Arial"/>
          <w:b/>
          <w:sz w:val="20"/>
        </w:rPr>
      </w:pPr>
      <w:r w:rsidRPr="00B845CD">
        <w:rPr>
          <w:rFonts w:ascii="Arial" w:hAnsi="Arial" w:cs="Arial"/>
          <w:b/>
          <w:sz w:val="20"/>
        </w:rPr>
        <w:t xml:space="preserve">JANUARI – </w:t>
      </w:r>
      <w:r w:rsidR="005C65B1">
        <w:rPr>
          <w:rFonts w:ascii="Arial" w:hAnsi="Arial" w:cs="Arial"/>
          <w:b/>
          <w:sz w:val="20"/>
        </w:rPr>
        <w:t>JUNI</w:t>
      </w:r>
      <w:r w:rsidRPr="00B845CD">
        <w:rPr>
          <w:rFonts w:ascii="Arial" w:hAnsi="Arial" w:cs="Arial"/>
          <w:b/>
          <w:sz w:val="20"/>
        </w:rPr>
        <w:t xml:space="preserve"> 201</w:t>
      </w:r>
      <w:r w:rsidR="00802E7A">
        <w:rPr>
          <w:rFonts w:ascii="Arial" w:hAnsi="Arial" w:cs="Arial"/>
          <w:b/>
          <w:sz w:val="20"/>
        </w:rPr>
        <w:t>9</w:t>
      </w:r>
      <w:r w:rsidRPr="00B845CD">
        <w:rPr>
          <w:rFonts w:ascii="Arial" w:hAnsi="Arial" w:cs="Arial"/>
          <w:b/>
          <w:sz w:val="20"/>
        </w:rPr>
        <w:t xml:space="preserve">  </w:t>
      </w:r>
    </w:p>
    <w:p w14:paraId="0F785D6D" w14:textId="77777777" w:rsidR="008D0210" w:rsidRPr="00791FAF" w:rsidRDefault="008D0210" w:rsidP="008D0210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17A4E110" w14:textId="21E9638C" w:rsidR="008D0210" w:rsidRPr="00791FAF" w:rsidRDefault="008D0210" w:rsidP="008D0210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91FAF">
        <w:rPr>
          <w:rFonts w:ascii="Arial" w:hAnsi="Arial" w:cs="Arial"/>
          <w:sz w:val="20"/>
        </w:rPr>
        <w:t xml:space="preserve">Nettoomsättningen uppgick till </w:t>
      </w:r>
      <w:r w:rsidR="005C65B1">
        <w:rPr>
          <w:rFonts w:ascii="Arial" w:hAnsi="Arial" w:cs="Arial"/>
          <w:sz w:val="20"/>
        </w:rPr>
        <w:t>111,4</w:t>
      </w:r>
      <w:r w:rsidRPr="00791FAF">
        <w:rPr>
          <w:rFonts w:ascii="Arial" w:hAnsi="Arial" w:cs="Arial"/>
          <w:b/>
          <w:sz w:val="20"/>
        </w:rPr>
        <w:t xml:space="preserve"> </w:t>
      </w:r>
      <w:r w:rsidR="00CE1018" w:rsidRPr="00CE1018">
        <w:rPr>
          <w:rFonts w:ascii="Arial" w:hAnsi="Arial" w:cs="Arial"/>
          <w:bCs/>
          <w:sz w:val="20"/>
        </w:rPr>
        <w:t>(</w:t>
      </w:r>
      <w:r w:rsidR="005C65B1">
        <w:rPr>
          <w:rFonts w:ascii="Arial" w:hAnsi="Arial" w:cs="Arial"/>
          <w:bCs/>
          <w:sz w:val="20"/>
        </w:rPr>
        <w:t>120,6</w:t>
      </w:r>
      <w:r w:rsidRPr="00CE1018">
        <w:rPr>
          <w:rFonts w:ascii="Arial" w:hAnsi="Arial" w:cs="Arial"/>
          <w:bCs/>
          <w:sz w:val="20"/>
        </w:rPr>
        <w:t>)</w:t>
      </w:r>
      <w:r w:rsidRPr="00791FAF">
        <w:rPr>
          <w:rFonts w:ascii="Arial" w:hAnsi="Arial" w:cs="Arial"/>
          <w:sz w:val="20"/>
        </w:rPr>
        <w:t xml:space="preserve"> miljoner kronor</w:t>
      </w:r>
      <w:r>
        <w:rPr>
          <w:rFonts w:ascii="Arial" w:hAnsi="Arial" w:cs="Arial"/>
          <w:sz w:val="20"/>
        </w:rPr>
        <w:t>.</w:t>
      </w:r>
      <w:r w:rsidRPr="00791FAF">
        <w:rPr>
          <w:rFonts w:ascii="Arial" w:hAnsi="Arial" w:cs="Arial"/>
          <w:sz w:val="20"/>
        </w:rPr>
        <w:t xml:space="preserve"> </w:t>
      </w:r>
    </w:p>
    <w:p w14:paraId="57853EEC" w14:textId="3995118D" w:rsidR="008D0210" w:rsidRPr="00791FAF" w:rsidRDefault="008D0210" w:rsidP="008D0210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91FAF">
        <w:rPr>
          <w:rFonts w:ascii="Arial" w:hAnsi="Arial" w:cs="Arial"/>
          <w:sz w:val="20"/>
        </w:rPr>
        <w:t xml:space="preserve">Rörelseresultatet uppgick till </w:t>
      </w:r>
      <w:r w:rsidR="005C65B1">
        <w:rPr>
          <w:rFonts w:ascii="Arial" w:hAnsi="Arial" w:cs="Arial"/>
          <w:sz w:val="20"/>
        </w:rPr>
        <w:t>4,6</w:t>
      </w:r>
      <w:r>
        <w:rPr>
          <w:rFonts w:ascii="Arial" w:hAnsi="Arial" w:cs="Arial"/>
          <w:b/>
          <w:sz w:val="20"/>
        </w:rPr>
        <w:t xml:space="preserve"> </w:t>
      </w:r>
      <w:r w:rsidRPr="00956FEE">
        <w:rPr>
          <w:rFonts w:ascii="Arial" w:hAnsi="Arial" w:cs="Arial"/>
          <w:bCs/>
          <w:sz w:val="20"/>
        </w:rPr>
        <w:t>(</w:t>
      </w:r>
      <w:r w:rsidR="00CE1018">
        <w:rPr>
          <w:rFonts w:ascii="Arial" w:hAnsi="Arial" w:cs="Arial"/>
          <w:bCs/>
          <w:sz w:val="20"/>
        </w:rPr>
        <w:t>-</w:t>
      </w:r>
      <w:r w:rsidR="005C65B1">
        <w:rPr>
          <w:rFonts w:ascii="Arial" w:hAnsi="Arial" w:cs="Arial"/>
          <w:bCs/>
          <w:sz w:val="20"/>
        </w:rPr>
        <w:t>11,3</w:t>
      </w:r>
      <w:r w:rsidRPr="00956FEE">
        <w:rPr>
          <w:rFonts w:ascii="Arial" w:hAnsi="Arial" w:cs="Arial"/>
          <w:bCs/>
          <w:sz w:val="20"/>
        </w:rPr>
        <w:t>)</w:t>
      </w:r>
      <w:r w:rsidRPr="00791FAF">
        <w:rPr>
          <w:rFonts w:ascii="Arial" w:hAnsi="Arial" w:cs="Arial"/>
          <w:sz w:val="20"/>
        </w:rPr>
        <w:t xml:space="preserve"> miljoner kronor</w:t>
      </w:r>
      <w:r>
        <w:rPr>
          <w:rFonts w:ascii="Arial" w:hAnsi="Arial" w:cs="Arial"/>
          <w:sz w:val="20"/>
        </w:rPr>
        <w:t>.</w:t>
      </w:r>
    </w:p>
    <w:p w14:paraId="2DCBD687" w14:textId="4E1538C7" w:rsidR="008D0210" w:rsidRPr="009034F4" w:rsidRDefault="008D0210" w:rsidP="009034F4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791FAF">
        <w:rPr>
          <w:rFonts w:ascii="Arial" w:hAnsi="Arial" w:cs="Arial"/>
          <w:sz w:val="20"/>
        </w:rPr>
        <w:t xml:space="preserve">Periodens resultat </w:t>
      </w:r>
      <w:r w:rsidR="00174DEC">
        <w:rPr>
          <w:rFonts w:ascii="Arial" w:hAnsi="Arial" w:cs="Arial"/>
          <w:sz w:val="20"/>
        </w:rPr>
        <w:t xml:space="preserve">innan positiva värdeförändringar i noterade innehav </w:t>
      </w:r>
      <w:r w:rsidRPr="00791FAF">
        <w:rPr>
          <w:rFonts w:ascii="Arial" w:hAnsi="Arial" w:cs="Arial"/>
          <w:sz w:val="20"/>
        </w:rPr>
        <w:t>uppgick till</w:t>
      </w:r>
      <w:r w:rsidR="009034F4">
        <w:rPr>
          <w:rFonts w:ascii="Arial" w:hAnsi="Arial" w:cs="Arial"/>
          <w:sz w:val="20"/>
        </w:rPr>
        <w:t xml:space="preserve">                  </w:t>
      </w:r>
      <w:r w:rsidRPr="009034F4">
        <w:rPr>
          <w:rFonts w:ascii="Arial" w:hAnsi="Arial" w:cs="Arial"/>
          <w:sz w:val="20"/>
        </w:rPr>
        <w:t xml:space="preserve"> </w:t>
      </w:r>
      <w:r w:rsidR="00CE1018" w:rsidRPr="009034F4">
        <w:rPr>
          <w:rFonts w:ascii="Arial" w:hAnsi="Arial" w:cs="Arial"/>
          <w:sz w:val="20"/>
        </w:rPr>
        <w:t>-</w:t>
      </w:r>
      <w:r w:rsidR="005C65B1" w:rsidRPr="009034F4">
        <w:rPr>
          <w:rFonts w:ascii="Arial" w:hAnsi="Arial" w:cs="Arial"/>
          <w:sz w:val="20"/>
        </w:rPr>
        <w:t>115,6</w:t>
      </w:r>
      <w:r w:rsidRPr="009034F4">
        <w:rPr>
          <w:rFonts w:ascii="Arial" w:hAnsi="Arial" w:cs="Arial"/>
          <w:b/>
          <w:sz w:val="20"/>
        </w:rPr>
        <w:t xml:space="preserve"> </w:t>
      </w:r>
      <w:r w:rsidRPr="009034F4">
        <w:rPr>
          <w:rFonts w:ascii="Arial" w:hAnsi="Arial" w:cs="Arial"/>
          <w:bCs/>
          <w:sz w:val="20"/>
        </w:rPr>
        <w:t>(</w:t>
      </w:r>
      <w:r w:rsidR="005C65B1" w:rsidRPr="009034F4">
        <w:rPr>
          <w:rFonts w:ascii="Arial" w:hAnsi="Arial" w:cs="Arial"/>
          <w:bCs/>
          <w:sz w:val="20"/>
        </w:rPr>
        <w:t>-41,8</w:t>
      </w:r>
      <w:r w:rsidRPr="009034F4">
        <w:rPr>
          <w:rFonts w:ascii="Arial" w:hAnsi="Arial" w:cs="Arial"/>
          <w:bCs/>
          <w:sz w:val="20"/>
        </w:rPr>
        <w:t>)</w:t>
      </w:r>
      <w:r w:rsidRPr="009034F4">
        <w:rPr>
          <w:rFonts w:ascii="Arial" w:hAnsi="Arial" w:cs="Arial"/>
          <w:sz w:val="20"/>
        </w:rPr>
        <w:t xml:space="preserve"> miljoner kronor.</w:t>
      </w:r>
    </w:p>
    <w:p w14:paraId="7959748C" w14:textId="6FCC2FFF" w:rsidR="00CE1018" w:rsidRPr="00791FAF" w:rsidRDefault="00CE1018" w:rsidP="008D0210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Periodens totalresultat uppgick till </w:t>
      </w:r>
      <w:r w:rsidR="005C65B1">
        <w:rPr>
          <w:rFonts w:ascii="Arial" w:hAnsi="Arial" w:cs="Arial"/>
          <w:sz w:val="20"/>
        </w:rPr>
        <w:t>138,7</w:t>
      </w:r>
      <w:r>
        <w:rPr>
          <w:rFonts w:ascii="Arial" w:hAnsi="Arial" w:cs="Arial"/>
          <w:sz w:val="20"/>
        </w:rPr>
        <w:t xml:space="preserve"> (</w:t>
      </w:r>
      <w:r w:rsidR="005C65B1">
        <w:rPr>
          <w:rFonts w:ascii="Arial" w:hAnsi="Arial" w:cs="Arial"/>
          <w:sz w:val="20"/>
        </w:rPr>
        <w:t>8,9</w:t>
      </w:r>
      <w:r>
        <w:rPr>
          <w:rFonts w:ascii="Arial" w:hAnsi="Arial" w:cs="Arial"/>
          <w:sz w:val="20"/>
        </w:rPr>
        <w:t>) miljoner kronor.</w:t>
      </w:r>
    </w:p>
    <w:p w14:paraId="7FF1B701" w14:textId="77777777" w:rsidR="008D0210" w:rsidRDefault="008D0210" w:rsidP="006605DA">
      <w:pPr>
        <w:jc w:val="both"/>
        <w:rPr>
          <w:rFonts w:ascii="Arial" w:eastAsiaTheme="minorEastAsia" w:hAnsi="Arial" w:cs="Arial"/>
          <w:b/>
          <w:color w:val="FF8200"/>
          <w:sz w:val="20"/>
          <w:lang w:eastAsia="sv-SE"/>
        </w:rPr>
      </w:pPr>
    </w:p>
    <w:p w14:paraId="500DBBB7" w14:textId="61FE87E2" w:rsidR="00BB13A6" w:rsidRPr="00B845CD" w:rsidRDefault="00BB13A6" w:rsidP="00BB13A6">
      <w:pPr>
        <w:rPr>
          <w:rFonts w:ascii="Arial" w:hAnsi="Arial" w:cs="Arial"/>
          <w:b/>
          <w:sz w:val="20"/>
        </w:rPr>
      </w:pPr>
      <w:r w:rsidRPr="00B845CD">
        <w:rPr>
          <w:rFonts w:ascii="Arial" w:hAnsi="Arial" w:cs="Arial"/>
          <w:b/>
          <w:sz w:val="20"/>
        </w:rPr>
        <w:t xml:space="preserve">VÄSENTLIGA HÄNDELSER UNDER DET </w:t>
      </w:r>
      <w:r w:rsidR="004D2D7F">
        <w:rPr>
          <w:rFonts w:ascii="Arial" w:hAnsi="Arial" w:cs="Arial"/>
          <w:b/>
          <w:sz w:val="20"/>
        </w:rPr>
        <w:t>FÖRSTA</w:t>
      </w:r>
      <w:r w:rsidRPr="00B845CD">
        <w:rPr>
          <w:rFonts w:ascii="Arial" w:hAnsi="Arial" w:cs="Arial"/>
          <w:b/>
          <w:sz w:val="20"/>
        </w:rPr>
        <w:t xml:space="preserve"> </w:t>
      </w:r>
      <w:r w:rsidR="00871744">
        <w:rPr>
          <w:rFonts w:ascii="Arial" w:hAnsi="Arial" w:cs="Arial"/>
          <w:b/>
          <w:sz w:val="20"/>
        </w:rPr>
        <w:t>HALVÅRET</w:t>
      </w:r>
    </w:p>
    <w:p w14:paraId="7E725BEC" w14:textId="77777777" w:rsidR="00BB13A6" w:rsidRDefault="00BB13A6" w:rsidP="00BB13A6">
      <w:pPr>
        <w:pStyle w:val="Ingetavstnd"/>
        <w:jc w:val="both"/>
        <w:rPr>
          <w:rFonts w:ascii="Arial" w:hAnsi="Arial" w:cs="Arial"/>
          <w:b/>
          <w:sz w:val="20"/>
        </w:rPr>
      </w:pPr>
      <w:r w:rsidRPr="00BE3860">
        <w:rPr>
          <w:rFonts w:ascii="Arial" w:hAnsi="Arial" w:cs="Arial"/>
          <w:b/>
          <w:sz w:val="20"/>
        </w:rPr>
        <w:t>Förvärv och avyttringar</w:t>
      </w:r>
    </w:p>
    <w:p w14:paraId="2AE75999" w14:textId="279AF33E" w:rsidR="00BB13A6" w:rsidRPr="00BB13A6" w:rsidRDefault="00BB13A6" w:rsidP="00BB13A6">
      <w:pPr>
        <w:pStyle w:val="Ingetavstnd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70713782" w14:textId="13795EEB" w:rsidR="00D07A7F" w:rsidRPr="006B3ECE" w:rsidRDefault="00D07A7F" w:rsidP="00D07A7F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b/>
          <w:sz w:val="20"/>
        </w:rPr>
      </w:pPr>
      <w:r w:rsidRPr="00D07A7F">
        <w:rPr>
          <w:rFonts w:ascii="Arial" w:hAnsi="Arial" w:cs="Arial"/>
          <w:sz w:val="20"/>
        </w:rPr>
        <w:t xml:space="preserve">Under första </w:t>
      </w:r>
      <w:r w:rsidR="00871744">
        <w:rPr>
          <w:rFonts w:ascii="Arial" w:hAnsi="Arial" w:cs="Arial"/>
          <w:sz w:val="20"/>
        </w:rPr>
        <w:t>halvåret</w:t>
      </w:r>
      <w:r w:rsidRPr="00D07A7F">
        <w:rPr>
          <w:rFonts w:ascii="Arial" w:hAnsi="Arial" w:cs="Arial"/>
          <w:sz w:val="20"/>
        </w:rPr>
        <w:t xml:space="preserve"> 201</w:t>
      </w:r>
      <w:r w:rsidR="0057532D">
        <w:rPr>
          <w:rFonts w:ascii="Arial" w:hAnsi="Arial" w:cs="Arial"/>
          <w:sz w:val="20"/>
        </w:rPr>
        <w:t>9</w:t>
      </w:r>
      <w:r w:rsidRPr="00D07A7F">
        <w:rPr>
          <w:rFonts w:ascii="Arial" w:hAnsi="Arial" w:cs="Arial"/>
          <w:sz w:val="20"/>
        </w:rPr>
        <w:t xml:space="preserve"> har </w:t>
      </w:r>
      <w:proofErr w:type="spellStart"/>
      <w:r w:rsidRPr="00D07A7F">
        <w:rPr>
          <w:rFonts w:ascii="Arial" w:hAnsi="Arial" w:cs="Arial"/>
          <w:sz w:val="20"/>
        </w:rPr>
        <w:t>Kvalitena</w:t>
      </w:r>
      <w:proofErr w:type="spellEnd"/>
      <w:r w:rsidRPr="00D07A7F">
        <w:rPr>
          <w:rFonts w:ascii="Arial" w:hAnsi="Arial" w:cs="Arial"/>
          <w:sz w:val="20"/>
        </w:rPr>
        <w:t xml:space="preserve"> förvärvat </w:t>
      </w:r>
      <w:r w:rsidR="00871744">
        <w:rPr>
          <w:rFonts w:ascii="Arial" w:hAnsi="Arial" w:cs="Arial"/>
          <w:sz w:val="20"/>
        </w:rPr>
        <w:t>8</w:t>
      </w:r>
      <w:r w:rsidRPr="00D07A7F">
        <w:rPr>
          <w:rFonts w:ascii="Arial" w:hAnsi="Arial" w:cs="Arial"/>
          <w:sz w:val="20"/>
        </w:rPr>
        <w:t xml:space="preserve"> lager och lättindustrifastigheter i Nyköping, Norrköping, Linköping</w:t>
      </w:r>
      <w:r w:rsidR="00871744">
        <w:rPr>
          <w:rFonts w:ascii="Arial" w:hAnsi="Arial" w:cs="Arial"/>
          <w:sz w:val="20"/>
        </w:rPr>
        <w:t>,</w:t>
      </w:r>
      <w:r w:rsidRPr="00D07A7F">
        <w:rPr>
          <w:rFonts w:ascii="Arial" w:hAnsi="Arial" w:cs="Arial"/>
          <w:sz w:val="20"/>
        </w:rPr>
        <w:t xml:space="preserve"> Uppsala</w:t>
      </w:r>
      <w:r w:rsidR="00871744">
        <w:rPr>
          <w:rFonts w:ascii="Arial" w:hAnsi="Arial" w:cs="Arial"/>
          <w:sz w:val="20"/>
        </w:rPr>
        <w:t xml:space="preserve"> och</w:t>
      </w:r>
      <w:r w:rsidR="001C4FBC">
        <w:rPr>
          <w:rFonts w:ascii="Arial" w:hAnsi="Arial" w:cs="Arial"/>
          <w:sz w:val="20"/>
        </w:rPr>
        <w:t xml:space="preserve"> Haninge</w:t>
      </w:r>
      <w:r w:rsidRPr="00D07A7F">
        <w:rPr>
          <w:rFonts w:ascii="Arial" w:hAnsi="Arial" w:cs="Arial"/>
          <w:sz w:val="20"/>
        </w:rPr>
        <w:t xml:space="preserve"> genom bolagsförvärv</w:t>
      </w:r>
      <w:r>
        <w:rPr>
          <w:rFonts w:ascii="Arial" w:hAnsi="Arial" w:cs="Arial"/>
          <w:sz w:val="20"/>
        </w:rPr>
        <w:t xml:space="preserve">. </w:t>
      </w:r>
      <w:r w:rsidRPr="00D07A7F">
        <w:rPr>
          <w:rFonts w:ascii="Arial" w:hAnsi="Arial" w:cs="Arial"/>
          <w:sz w:val="20"/>
        </w:rPr>
        <w:t xml:space="preserve">Fastigheterna omfattar en uthyrningsbar area om </w:t>
      </w:r>
      <w:r w:rsidR="006B3ECE">
        <w:rPr>
          <w:rFonts w:ascii="Arial" w:hAnsi="Arial" w:cs="Arial"/>
          <w:sz w:val="20"/>
        </w:rPr>
        <w:t xml:space="preserve">ca </w:t>
      </w:r>
      <w:r w:rsidRPr="00D07A7F">
        <w:rPr>
          <w:rFonts w:ascii="Arial" w:hAnsi="Arial" w:cs="Arial"/>
          <w:sz w:val="20"/>
        </w:rPr>
        <w:t>3</w:t>
      </w:r>
      <w:r w:rsidR="006B3ECE">
        <w:rPr>
          <w:rFonts w:ascii="Arial" w:hAnsi="Arial" w:cs="Arial"/>
          <w:sz w:val="20"/>
        </w:rPr>
        <w:t>1</w:t>
      </w:r>
      <w:r w:rsidRPr="00D07A7F">
        <w:rPr>
          <w:rFonts w:ascii="Arial" w:hAnsi="Arial" w:cs="Arial"/>
          <w:sz w:val="20"/>
        </w:rPr>
        <w:t xml:space="preserve"> </w:t>
      </w:r>
      <w:r w:rsidR="006B3ECE">
        <w:rPr>
          <w:rFonts w:ascii="Arial" w:hAnsi="Arial" w:cs="Arial"/>
          <w:sz w:val="20"/>
        </w:rPr>
        <w:t>7</w:t>
      </w:r>
      <w:r w:rsidRPr="00D07A7F">
        <w:rPr>
          <w:rFonts w:ascii="Arial" w:hAnsi="Arial" w:cs="Arial"/>
          <w:sz w:val="20"/>
        </w:rPr>
        <w:t xml:space="preserve">00 kvadratmeter huvudsakligen bestående av lokaler för lager och lätt industri. </w:t>
      </w:r>
    </w:p>
    <w:p w14:paraId="4F0A56DC" w14:textId="6E8B9A76" w:rsidR="006B3ECE" w:rsidRPr="008D0210" w:rsidRDefault="006B3ECE" w:rsidP="006B3ECE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Kvalitena</w:t>
      </w:r>
      <w:proofErr w:type="spellEnd"/>
      <w:r>
        <w:rPr>
          <w:rFonts w:ascii="Arial" w:hAnsi="Arial" w:cs="Arial"/>
          <w:sz w:val="20"/>
        </w:rPr>
        <w:t xml:space="preserve"> </w:t>
      </w:r>
      <w:r w:rsidRPr="008D0210">
        <w:rPr>
          <w:rFonts w:ascii="Arial" w:hAnsi="Arial" w:cs="Arial"/>
          <w:sz w:val="20"/>
        </w:rPr>
        <w:t xml:space="preserve">har </w:t>
      </w:r>
      <w:r>
        <w:rPr>
          <w:rFonts w:ascii="Arial" w:hAnsi="Arial" w:cs="Arial"/>
          <w:sz w:val="20"/>
        </w:rPr>
        <w:t>under</w:t>
      </w:r>
      <w:r w:rsidRPr="008D0210">
        <w:rPr>
          <w:rFonts w:ascii="Arial" w:hAnsi="Arial" w:cs="Arial"/>
          <w:sz w:val="20"/>
        </w:rPr>
        <w:t xml:space="preserve"> perioden</w:t>
      </w:r>
      <w:r>
        <w:rPr>
          <w:rFonts w:ascii="Arial" w:hAnsi="Arial" w:cs="Arial"/>
          <w:sz w:val="20"/>
        </w:rPr>
        <w:t xml:space="preserve"> </w:t>
      </w:r>
      <w:r w:rsidRPr="00D07A7F">
        <w:rPr>
          <w:rFonts w:ascii="Arial" w:hAnsi="Arial" w:cs="Arial"/>
          <w:sz w:val="20"/>
        </w:rPr>
        <w:t xml:space="preserve">genom </w:t>
      </w:r>
      <w:r>
        <w:rPr>
          <w:rFonts w:ascii="Arial" w:hAnsi="Arial" w:cs="Arial"/>
          <w:sz w:val="20"/>
        </w:rPr>
        <w:t>intresse</w:t>
      </w:r>
      <w:r w:rsidRPr="00D07A7F">
        <w:rPr>
          <w:rFonts w:ascii="Arial" w:hAnsi="Arial" w:cs="Arial"/>
          <w:sz w:val="20"/>
        </w:rPr>
        <w:t xml:space="preserve">bolaget </w:t>
      </w:r>
      <w:proofErr w:type="spellStart"/>
      <w:r w:rsidRPr="00D07A7F">
        <w:rPr>
          <w:rFonts w:ascii="Arial" w:hAnsi="Arial" w:cs="Arial"/>
          <w:sz w:val="20"/>
        </w:rPr>
        <w:t>Kvalitena</w:t>
      </w:r>
      <w:proofErr w:type="spellEnd"/>
      <w:r w:rsidRPr="00D07A7F">
        <w:rPr>
          <w:rFonts w:ascii="Arial" w:hAnsi="Arial" w:cs="Arial"/>
          <w:sz w:val="20"/>
        </w:rPr>
        <w:t xml:space="preserve"> Danmark AB avyttrat hela sitt innehav i </w:t>
      </w:r>
      <w:proofErr w:type="spellStart"/>
      <w:r w:rsidRPr="00D07A7F">
        <w:rPr>
          <w:rFonts w:ascii="Arial" w:hAnsi="Arial" w:cs="Arial"/>
          <w:sz w:val="20"/>
        </w:rPr>
        <w:t>Admiral</w:t>
      </w:r>
      <w:proofErr w:type="spellEnd"/>
      <w:r w:rsidRPr="00D07A7F">
        <w:rPr>
          <w:rFonts w:ascii="Arial" w:hAnsi="Arial" w:cs="Arial"/>
          <w:sz w:val="20"/>
        </w:rPr>
        <w:t xml:space="preserve"> </w:t>
      </w:r>
      <w:proofErr w:type="spellStart"/>
      <w:r w:rsidRPr="00D07A7F">
        <w:rPr>
          <w:rFonts w:ascii="Arial" w:hAnsi="Arial" w:cs="Arial"/>
          <w:sz w:val="20"/>
        </w:rPr>
        <w:t>Capital</w:t>
      </w:r>
      <w:proofErr w:type="spellEnd"/>
      <w:r w:rsidRPr="00D07A7F">
        <w:rPr>
          <w:rFonts w:ascii="Arial" w:hAnsi="Arial" w:cs="Arial"/>
          <w:sz w:val="20"/>
        </w:rPr>
        <w:t xml:space="preserve"> A/S. Avyttringen ske</w:t>
      </w:r>
      <w:r>
        <w:rPr>
          <w:rFonts w:ascii="Arial" w:hAnsi="Arial" w:cs="Arial"/>
          <w:sz w:val="20"/>
        </w:rPr>
        <w:t>dde</w:t>
      </w:r>
      <w:r w:rsidRPr="00D07A7F">
        <w:rPr>
          <w:rFonts w:ascii="Arial" w:hAnsi="Arial" w:cs="Arial"/>
          <w:sz w:val="20"/>
        </w:rPr>
        <w:t xml:space="preserve"> till följd av det publika bud som lades på bolaget av Castlelake</w:t>
      </w:r>
      <w:r>
        <w:rPr>
          <w:rFonts w:ascii="Arial" w:hAnsi="Arial" w:cs="Arial"/>
          <w:sz w:val="20"/>
        </w:rPr>
        <w:t xml:space="preserve">, LP. </w:t>
      </w:r>
      <w:r w:rsidRPr="00D07A7F">
        <w:rPr>
          <w:rFonts w:ascii="Arial" w:hAnsi="Arial" w:cs="Arial"/>
          <w:sz w:val="20"/>
        </w:rPr>
        <w:t xml:space="preserve"> genom CL </w:t>
      </w:r>
      <w:proofErr w:type="spellStart"/>
      <w:r w:rsidRPr="00D07A7F">
        <w:rPr>
          <w:rFonts w:ascii="Arial" w:hAnsi="Arial" w:cs="Arial"/>
          <w:sz w:val="20"/>
        </w:rPr>
        <w:t>Denmark</w:t>
      </w:r>
      <w:proofErr w:type="spellEnd"/>
      <w:r w:rsidRPr="00D07A7F">
        <w:rPr>
          <w:rFonts w:ascii="Arial" w:hAnsi="Arial" w:cs="Arial"/>
          <w:sz w:val="20"/>
        </w:rPr>
        <w:t xml:space="preserve"> </w:t>
      </w:r>
      <w:proofErr w:type="spellStart"/>
      <w:r w:rsidRPr="00D07A7F">
        <w:rPr>
          <w:rFonts w:ascii="Arial" w:hAnsi="Arial" w:cs="Arial"/>
          <w:sz w:val="20"/>
        </w:rPr>
        <w:t>ApS</w:t>
      </w:r>
      <w:proofErr w:type="spellEnd"/>
      <w:r w:rsidRPr="00D07A7F">
        <w:rPr>
          <w:rFonts w:ascii="Arial" w:hAnsi="Arial" w:cs="Arial"/>
          <w:sz w:val="20"/>
        </w:rPr>
        <w:t>.</w:t>
      </w:r>
    </w:p>
    <w:p w14:paraId="1AB5E477" w14:textId="1C0AD19C" w:rsidR="006B3ECE" w:rsidRPr="006B3ECE" w:rsidRDefault="006F1917" w:rsidP="00D07A7F">
      <w:pPr>
        <w:numPr>
          <w:ilvl w:val="0"/>
          <w:numId w:val="10"/>
        </w:numPr>
        <w:ind w:left="714" w:hanging="35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sz w:val="20"/>
        </w:rPr>
        <w:t xml:space="preserve">Under andra kvartalet 2019 inledde </w:t>
      </w:r>
      <w:proofErr w:type="spellStart"/>
      <w:r>
        <w:rPr>
          <w:rFonts w:ascii="Arial" w:hAnsi="Arial" w:cs="Arial"/>
          <w:bCs/>
          <w:sz w:val="20"/>
        </w:rPr>
        <w:t>Kvalitena</w:t>
      </w:r>
      <w:proofErr w:type="spellEnd"/>
      <w:r>
        <w:rPr>
          <w:rFonts w:ascii="Arial" w:hAnsi="Arial" w:cs="Arial"/>
          <w:bCs/>
          <w:sz w:val="20"/>
        </w:rPr>
        <w:t xml:space="preserve"> ett samarbete med EQT Real </w:t>
      </w:r>
      <w:proofErr w:type="spellStart"/>
      <w:r>
        <w:rPr>
          <w:rFonts w:ascii="Arial" w:hAnsi="Arial" w:cs="Arial"/>
          <w:bCs/>
          <w:sz w:val="20"/>
        </w:rPr>
        <w:t>Estate</w:t>
      </w:r>
      <w:proofErr w:type="spellEnd"/>
      <w:r>
        <w:rPr>
          <w:rFonts w:ascii="Arial" w:hAnsi="Arial" w:cs="Arial"/>
          <w:bCs/>
          <w:sz w:val="20"/>
        </w:rPr>
        <w:t xml:space="preserve"> genom EQT Real </w:t>
      </w:r>
      <w:proofErr w:type="spellStart"/>
      <w:r>
        <w:rPr>
          <w:rFonts w:ascii="Arial" w:hAnsi="Arial" w:cs="Arial"/>
          <w:bCs/>
          <w:sz w:val="20"/>
        </w:rPr>
        <w:t>Estates</w:t>
      </w:r>
      <w:proofErr w:type="spellEnd"/>
      <w:r>
        <w:rPr>
          <w:rFonts w:ascii="Arial" w:hAnsi="Arial" w:cs="Arial"/>
          <w:bCs/>
          <w:sz w:val="20"/>
        </w:rPr>
        <w:t xml:space="preserve"> förvärv en portfölj om 21 </w:t>
      </w:r>
      <w:r w:rsidR="00EC3E83">
        <w:rPr>
          <w:rFonts w:ascii="Arial" w:hAnsi="Arial" w:cs="Arial"/>
          <w:bCs/>
          <w:sz w:val="20"/>
        </w:rPr>
        <w:t>verksamhets</w:t>
      </w:r>
      <w:r>
        <w:rPr>
          <w:rFonts w:ascii="Arial" w:hAnsi="Arial" w:cs="Arial"/>
          <w:bCs/>
          <w:sz w:val="20"/>
        </w:rPr>
        <w:t xml:space="preserve">fastigheter i Mälardalen. </w:t>
      </w:r>
      <w:proofErr w:type="spellStart"/>
      <w:r>
        <w:rPr>
          <w:rFonts w:ascii="Arial" w:hAnsi="Arial" w:cs="Arial"/>
          <w:bCs/>
          <w:sz w:val="20"/>
        </w:rPr>
        <w:t>Kvalitena</w:t>
      </w:r>
      <w:proofErr w:type="spellEnd"/>
      <w:r>
        <w:rPr>
          <w:rFonts w:ascii="Arial" w:hAnsi="Arial" w:cs="Arial"/>
          <w:bCs/>
          <w:sz w:val="20"/>
        </w:rPr>
        <w:t xml:space="preserve"> kvarstår som minoritetsägare.</w:t>
      </w:r>
    </w:p>
    <w:p w14:paraId="77E97591" w14:textId="5942D659" w:rsidR="006B3ECE" w:rsidRDefault="006B3ECE" w:rsidP="006B3ECE">
      <w:pPr>
        <w:pStyle w:val="Ingetavstnd"/>
        <w:jc w:val="both"/>
        <w:rPr>
          <w:rFonts w:ascii="Arial" w:hAnsi="Arial" w:cs="Arial"/>
          <w:b/>
          <w:sz w:val="20"/>
        </w:rPr>
      </w:pPr>
      <w:r w:rsidRPr="00420FDF">
        <w:rPr>
          <w:rFonts w:ascii="Arial" w:hAnsi="Arial" w:cs="Arial"/>
          <w:b/>
          <w:sz w:val="20"/>
        </w:rPr>
        <w:t>Finansiering</w:t>
      </w:r>
    </w:p>
    <w:p w14:paraId="7425F702" w14:textId="6F821065" w:rsidR="006B3ECE" w:rsidRDefault="006B3ECE" w:rsidP="006B3ECE">
      <w:pPr>
        <w:pStyle w:val="Ingetavstnd"/>
        <w:jc w:val="both"/>
        <w:rPr>
          <w:rFonts w:ascii="Arial" w:hAnsi="Arial" w:cs="Arial"/>
          <w:b/>
          <w:sz w:val="20"/>
        </w:rPr>
      </w:pPr>
    </w:p>
    <w:p w14:paraId="6FB9508E" w14:textId="44F5C4A4" w:rsidR="006F1917" w:rsidRPr="00420FDF" w:rsidRDefault="006F1917" w:rsidP="006F1917">
      <w:pPr>
        <w:numPr>
          <w:ilvl w:val="0"/>
          <w:numId w:val="10"/>
        </w:numPr>
        <w:jc w:val="both"/>
        <w:rPr>
          <w:rFonts w:ascii="Arial" w:hAnsi="Arial" w:cs="Arial"/>
          <w:b/>
          <w:color w:val="FF8200"/>
          <w:sz w:val="20"/>
        </w:rPr>
      </w:pPr>
      <w:proofErr w:type="spellStart"/>
      <w:r w:rsidRPr="00420FDF">
        <w:rPr>
          <w:rFonts w:ascii="Arial" w:hAnsi="Arial" w:cs="Arial"/>
          <w:sz w:val="20"/>
        </w:rPr>
        <w:t>Kvalitena</w:t>
      </w:r>
      <w:proofErr w:type="spellEnd"/>
      <w:r w:rsidRPr="00420FDF">
        <w:rPr>
          <w:rFonts w:ascii="Arial" w:hAnsi="Arial" w:cs="Arial"/>
          <w:sz w:val="20"/>
        </w:rPr>
        <w:t xml:space="preserve"> har </w:t>
      </w:r>
      <w:r>
        <w:rPr>
          <w:rFonts w:ascii="Arial" w:hAnsi="Arial" w:cs="Arial"/>
          <w:sz w:val="20"/>
        </w:rPr>
        <w:t>i maj 2019</w:t>
      </w:r>
      <w:r w:rsidRPr="00420FDF">
        <w:rPr>
          <w:rFonts w:ascii="Arial" w:hAnsi="Arial" w:cs="Arial"/>
          <w:sz w:val="20"/>
        </w:rPr>
        <w:t xml:space="preserve"> emitterat ett icke-säkerställt obligationslån om 500 MSEK, inom ett </w:t>
      </w:r>
      <w:proofErr w:type="spellStart"/>
      <w:r w:rsidRPr="00420FDF">
        <w:rPr>
          <w:rFonts w:ascii="Arial" w:hAnsi="Arial" w:cs="Arial"/>
          <w:sz w:val="20"/>
        </w:rPr>
        <w:t>rambelopp</w:t>
      </w:r>
      <w:proofErr w:type="spellEnd"/>
      <w:r w:rsidRPr="00420FDF">
        <w:rPr>
          <w:rFonts w:ascii="Arial" w:hAnsi="Arial" w:cs="Arial"/>
          <w:sz w:val="20"/>
        </w:rPr>
        <w:t xml:space="preserve"> om 800 MSEK, med en löptid om 3,5 år</w:t>
      </w:r>
      <w:r>
        <w:rPr>
          <w:rFonts w:ascii="Arial" w:hAnsi="Arial" w:cs="Arial"/>
          <w:sz w:val="20"/>
        </w:rPr>
        <w:t xml:space="preserve">. </w:t>
      </w:r>
      <w:r w:rsidRPr="00420FDF">
        <w:rPr>
          <w:rFonts w:ascii="Arial" w:hAnsi="Arial" w:cs="Arial"/>
          <w:sz w:val="20"/>
        </w:rPr>
        <w:t>Obligationslånet löper med en rörlig ränta om STIBOR 3m + 600 räntepunkter och har slutligt förfall i december 2022.</w:t>
      </w:r>
      <w:r>
        <w:rPr>
          <w:rFonts w:ascii="Arial" w:hAnsi="Arial" w:cs="Arial"/>
          <w:sz w:val="20"/>
        </w:rPr>
        <w:t xml:space="preserve"> </w:t>
      </w:r>
      <w:r w:rsidRPr="00420FDF">
        <w:rPr>
          <w:rFonts w:ascii="Arial" w:hAnsi="Arial" w:cs="Arial"/>
          <w:sz w:val="20"/>
        </w:rPr>
        <w:t>I samband med emissionen</w:t>
      </w:r>
      <w:r w:rsidR="00157CFC">
        <w:rPr>
          <w:rFonts w:ascii="Arial" w:hAnsi="Arial" w:cs="Arial"/>
          <w:sz w:val="20"/>
        </w:rPr>
        <w:t xml:space="preserve"> har</w:t>
      </w:r>
      <w:r w:rsidRPr="00420FDF">
        <w:rPr>
          <w:rFonts w:ascii="Arial" w:hAnsi="Arial" w:cs="Arial"/>
          <w:sz w:val="20"/>
        </w:rPr>
        <w:t xml:space="preserve"> K</w:t>
      </w:r>
      <w:proofErr w:type="spellStart"/>
      <w:r w:rsidRPr="00420FDF">
        <w:rPr>
          <w:rFonts w:ascii="Arial" w:hAnsi="Arial" w:cs="Arial"/>
          <w:sz w:val="20"/>
        </w:rPr>
        <w:t>valitena</w:t>
      </w:r>
      <w:proofErr w:type="spellEnd"/>
      <w:r w:rsidRPr="00420FDF">
        <w:rPr>
          <w:rFonts w:ascii="Arial" w:hAnsi="Arial" w:cs="Arial"/>
          <w:sz w:val="20"/>
        </w:rPr>
        <w:t xml:space="preserve"> </w:t>
      </w:r>
      <w:r w:rsidR="00EE10B7">
        <w:rPr>
          <w:rFonts w:ascii="Arial" w:hAnsi="Arial" w:cs="Arial"/>
          <w:sz w:val="20"/>
        </w:rPr>
        <w:t>köpt</w:t>
      </w:r>
      <w:r w:rsidRPr="00420FDF">
        <w:rPr>
          <w:rFonts w:ascii="Arial" w:hAnsi="Arial" w:cs="Arial"/>
          <w:sz w:val="20"/>
        </w:rPr>
        <w:t xml:space="preserve"> tillbaka 450 MSEK av totalt 800 MSEK utestående i Bolagets obligationslån med förfall i september 2020 (SE0009664949)</w:t>
      </w:r>
      <w:r>
        <w:rPr>
          <w:rFonts w:ascii="Arial" w:hAnsi="Arial" w:cs="Arial"/>
          <w:sz w:val="20"/>
        </w:rPr>
        <w:t>.</w:t>
      </w:r>
    </w:p>
    <w:p w14:paraId="6BBBD884" w14:textId="77777777" w:rsidR="006B3ECE" w:rsidRDefault="006B3ECE" w:rsidP="006B3ECE">
      <w:pPr>
        <w:pStyle w:val="Ingetavstnd"/>
        <w:jc w:val="both"/>
        <w:rPr>
          <w:rFonts w:ascii="Arial" w:hAnsi="Arial" w:cs="Arial"/>
          <w:b/>
          <w:sz w:val="20"/>
        </w:rPr>
      </w:pPr>
    </w:p>
    <w:p w14:paraId="55B01B24" w14:textId="02B62B6D" w:rsidR="008D0210" w:rsidRPr="00D07D82" w:rsidRDefault="008D0210" w:rsidP="00D07A7F">
      <w:pPr>
        <w:jc w:val="both"/>
        <w:rPr>
          <w:rFonts w:ascii="Arial" w:hAnsi="Arial" w:cs="Arial"/>
          <w:b/>
          <w:sz w:val="20"/>
        </w:rPr>
      </w:pPr>
      <w:r w:rsidRPr="00D07D82">
        <w:rPr>
          <w:rFonts w:ascii="Arial" w:hAnsi="Arial" w:cs="Arial"/>
          <w:b/>
          <w:sz w:val="20"/>
        </w:rPr>
        <w:t>VÄSENTLIGA HÄNDELSER EFTER PERIODENS UTGÅNG</w:t>
      </w:r>
    </w:p>
    <w:p w14:paraId="600E1E66" w14:textId="77777777" w:rsidR="008D0210" w:rsidRDefault="008D0210" w:rsidP="008D0210">
      <w:pPr>
        <w:pStyle w:val="Ingetavstnd"/>
        <w:jc w:val="both"/>
        <w:rPr>
          <w:rFonts w:ascii="Arial" w:hAnsi="Arial" w:cs="Arial"/>
          <w:b/>
          <w:sz w:val="20"/>
        </w:rPr>
      </w:pPr>
      <w:r w:rsidRPr="00BE3860">
        <w:rPr>
          <w:rFonts w:ascii="Arial" w:hAnsi="Arial" w:cs="Arial"/>
          <w:b/>
          <w:sz w:val="20"/>
        </w:rPr>
        <w:t>Förvärv och avyttringar</w:t>
      </w:r>
    </w:p>
    <w:p w14:paraId="18B12598" w14:textId="77777777" w:rsidR="008D0210" w:rsidRPr="00633DF8" w:rsidRDefault="008D0210" w:rsidP="008D0210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37AE17CF" w14:textId="4B3E4082" w:rsidR="00EC4581" w:rsidRDefault="00EC4581" w:rsidP="008D0210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Kvalitena</w:t>
      </w:r>
      <w:proofErr w:type="spellEnd"/>
      <w:r>
        <w:rPr>
          <w:rFonts w:ascii="Arial" w:hAnsi="Arial" w:cs="Arial"/>
          <w:sz w:val="20"/>
        </w:rPr>
        <w:t xml:space="preserve"> har </w:t>
      </w:r>
      <w:r w:rsidR="00C91961">
        <w:rPr>
          <w:rFonts w:ascii="Arial" w:hAnsi="Arial" w:cs="Arial"/>
          <w:sz w:val="20"/>
        </w:rPr>
        <w:t xml:space="preserve">efter periodens utgång </w:t>
      </w:r>
      <w:r w:rsidR="006B3ECE">
        <w:rPr>
          <w:rFonts w:ascii="Arial" w:hAnsi="Arial" w:cs="Arial"/>
          <w:sz w:val="20"/>
        </w:rPr>
        <w:t>tillträtt</w:t>
      </w:r>
      <w:r>
        <w:rPr>
          <w:rFonts w:ascii="Arial" w:hAnsi="Arial" w:cs="Arial"/>
          <w:sz w:val="20"/>
        </w:rPr>
        <w:t xml:space="preserve"> fastigheten Konsumenten 2 i Umeå genom ett bolagsförvärv. Total uthyrbar area uppgår till ca 18 000 kvadratmeter. </w:t>
      </w:r>
    </w:p>
    <w:p w14:paraId="2E3DA4F4" w14:textId="7E35B8D4" w:rsidR="00D07D82" w:rsidRDefault="00D07D82" w:rsidP="008D0210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Kvalitena</w:t>
      </w:r>
      <w:proofErr w:type="spellEnd"/>
      <w:r>
        <w:rPr>
          <w:rFonts w:ascii="Arial" w:hAnsi="Arial" w:cs="Arial"/>
          <w:sz w:val="20"/>
        </w:rPr>
        <w:t xml:space="preserve"> har efter periodens utgång tecknat avtal om förvärv av </w:t>
      </w:r>
      <w:r w:rsidR="00006A9B">
        <w:rPr>
          <w:rFonts w:ascii="Arial" w:hAnsi="Arial" w:cs="Arial"/>
          <w:sz w:val="20"/>
        </w:rPr>
        <w:t>en</w:t>
      </w:r>
      <w:r>
        <w:rPr>
          <w:rFonts w:ascii="Arial" w:hAnsi="Arial" w:cs="Arial"/>
          <w:sz w:val="20"/>
        </w:rPr>
        <w:t xml:space="preserve"> verksamhetsfastighet i Uppsala</w:t>
      </w:r>
      <w:r w:rsidR="00006A9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Total uthyrbara area uppgår till ca </w:t>
      </w:r>
      <w:r w:rsidR="00006A9B">
        <w:rPr>
          <w:rFonts w:ascii="Arial" w:hAnsi="Arial" w:cs="Arial"/>
          <w:sz w:val="20"/>
        </w:rPr>
        <w:t>3 300</w:t>
      </w:r>
      <w:r>
        <w:rPr>
          <w:rFonts w:ascii="Arial" w:hAnsi="Arial" w:cs="Arial"/>
          <w:sz w:val="20"/>
        </w:rPr>
        <w:t xml:space="preserve"> kvadratmeter. Tillträde förväntas ske under tredjekvartalet 2019.</w:t>
      </w:r>
    </w:p>
    <w:p w14:paraId="08C1CAE8" w14:textId="47E8905C" w:rsidR="00A77144" w:rsidRPr="00075BA0" w:rsidRDefault="00633DF8" w:rsidP="00802E7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FF8200"/>
          <w:sz w:val="20"/>
        </w:rPr>
        <w:br w:type="page"/>
      </w:r>
      <w:r w:rsidR="00A77144" w:rsidRPr="00075BA0">
        <w:rPr>
          <w:rFonts w:ascii="Arial" w:hAnsi="Arial" w:cs="Arial"/>
          <w:b/>
          <w:sz w:val="20"/>
        </w:rPr>
        <w:lastRenderedPageBreak/>
        <w:t>NYCKELTAL FÖR KONCERNEN</w:t>
      </w:r>
    </w:p>
    <w:p w14:paraId="0D91DEDB" w14:textId="77777777" w:rsidR="00A77144" w:rsidRDefault="00A77144" w:rsidP="00A77144">
      <w:pPr>
        <w:pStyle w:val="Ingetavstnd"/>
        <w:rPr>
          <w:rFonts w:ascii="Arial" w:hAnsi="Arial" w:cs="Arial"/>
          <w:sz w:val="20"/>
        </w:rPr>
      </w:pPr>
    </w:p>
    <w:tbl>
      <w:tblPr>
        <w:tblW w:w="500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6"/>
        <w:gridCol w:w="160"/>
        <w:gridCol w:w="160"/>
        <w:gridCol w:w="162"/>
        <w:gridCol w:w="163"/>
      </w:tblGrid>
      <w:tr w:rsidR="00CB4FD1" w:rsidRPr="00CB4FD1" w14:paraId="6B4ED6A3" w14:textId="77777777" w:rsidTr="00280A4E">
        <w:trPr>
          <w:trHeight w:val="300"/>
        </w:trPr>
        <w:tc>
          <w:tcPr>
            <w:tcW w:w="4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8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1340"/>
              <w:gridCol w:w="1340"/>
              <w:gridCol w:w="1340"/>
              <w:gridCol w:w="1340"/>
            </w:tblGrid>
            <w:tr w:rsidR="00D62918" w:rsidRPr="00D62918" w14:paraId="0C966359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1BC0BD8" w14:textId="77777777" w:rsidR="00D62918" w:rsidRPr="00D62918" w:rsidRDefault="00D62918" w:rsidP="00D62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1F2F37" w14:textId="77777777" w:rsidR="00D62918" w:rsidRPr="00D62918" w:rsidRDefault="00D62918" w:rsidP="00D629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633156" w14:textId="086DB2C7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68A0B6" w14:textId="00A6573F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EA323F" w14:textId="3F03677F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60674" w:rsidRPr="00060674" w14:paraId="7B476CCC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FCF6E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582E1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ADC5D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2019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4A18B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2018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62F75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2018</w:t>
                  </w:r>
                </w:p>
              </w:tc>
            </w:tr>
            <w:tr w:rsidR="00060674" w:rsidRPr="00060674" w14:paraId="0FF17C2E" w14:textId="77777777" w:rsidTr="00060674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5D161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Fastighetsrelaterade nyckeltal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DE7F6F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CB8F47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Jan - juni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447B59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Jan - juni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D62E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Jan – dec</w:t>
                  </w:r>
                </w:p>
              </w:tc>
            </w:tr>
            <w:tr w:rsidR="00060674" w:rsidRPr="00060674" w14:paraId="19741840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359F8B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Antal fastigheter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365F21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C4158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51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9383F7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88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3A8104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41</w:t>
                  </w:r>
                </w:p>
              </w:tc>
            </w:tr>
            <w:tr w:rsidR="00060674" w:rsidRPr="00060674" w14:paraId="60B40EAB" w14:textId="77777777" w:rsidTr="00060674">
              <w:trPr>
                <w:trHeight w:val="300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2FFA9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Fastigheternas bokförda värde (Mkr)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6A78C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4 796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7685B1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4 998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F3BD5A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4 254</w:t>
                  </w:r>
                </w:p>
              </w:tc>
            </w:tr>
            <w:tr w:rsidR="00060674" w:rsidRPr="00060674" w14:paraId="5B2885CA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A3A251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Uthyrningsbar yta (kvm)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96E25A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68A4E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293 017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A4DD07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382 000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C037C7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261 865</w:t>
                  </w:r>
                </w:p>
              </w:tc>
            </w:tr>
            <w:tr w:rsidR="00060674" w:rsidRPr="00060674" w14:paraId="1434B594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A16E93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1BCF3A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E9A508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D1042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155A43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60674" w:rsidRPr="00060674" w14:paraId="7EEA9A29" w14:textId="77777777" w:rsidTr="00060674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269E58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Finansiella nyckeltal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957CEB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E6333E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4488C57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3CD5FF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60674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060674" w:rsidRPr="00060674" w14:paraId="61BE2E36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2900EC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Soliditet (%)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15121D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494BD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41,6%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AAE4F5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38,6%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1E8417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45,1%</w:t>
                  </w:r>
                </w:p>
              </w:tc>
            </w:tr>
            <w:tr w:rsidR="00060674" w:rsidRPr="00060674" w14:paraId="1A15C810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FFAEDF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Skuldsättningsgrad (ggr)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49860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B65BEB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1,2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0ECF6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F61C0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1,1</w:t>
                  </w:r>
                </w:p>
              </w:tc>
            </w:tr>
            <w:tr w:rsidR="00060674" w:rsidRPr="00060674" w14:paraId="09FA6C75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A8C1F6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Räntetäckningsgrad (ggr)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5E463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B7AAFE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27A406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-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CC342C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0,2</w:t>
                  </w:r>
                </w:p>
              </w:tc>
            </w:tr>
            <w:tr w:rsidR="00060674" w:rsidRPr="00060674" w14:paraId="42314B17" w14:textId="77777777" w:rsidTr="00060674">
              <w:trPr>
                <w:trHeight w:val="300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F6A44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Genomsnittlig ränta på räntebärande skulder (%)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3CA186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4,3%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D5DF5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4,7%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DA5666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4,1%</w:t>
                  </w:r>
                </w:p>
              </w:tc>
            </w:tr>
            <w:tr w:rsidR="00060674" w:rsidRPr="00060674" w14:paraId="325AC212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1A887E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Avkastning eget kapital (%)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F3537E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6DD39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-3,3%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F17C06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-0,6%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F9B03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3,7%</w:t>
                  </w:r>
                </w:p>
              </w:tc>
            </w:tr>
            <w:tr w:rsidR="00060674" w:rsidRPr="00060674" w14:paraId="1BB82968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3E94E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Avkastning totalt kapital (%)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AA3B18" w14:textId="77777777" w:rsidR="00060674" w:rsidRPr="00060674" w:rsidRDefault="00060674" w:rsidP="000606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A9AE75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-0,1%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694D3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1,1%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D836B8" w14:textId="77777777" w:rsidR="00060674" w:rsidRPr="00060674" w:rsidRDefault="00060674" w:rsidP="000606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60674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5,5%</w:t>
                  </w:r>
                </w:p>
              </w:tc>
            </w:tr>
            <w:tr w:rsidR="00D62918" w:rsidRPr="00D62918" w14:paraId="674B1931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514E56" w14:textId="69B45C52" w:rsidR="00D62918" w:rsidRPr="00D62918" w:rsidRDefault="00D62918" w:rsidP="00D62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372D4F" w14:textId="77777777" w:rsidR="00D62918" w:rsidRPr="00D62918" w:rsidRDefault="00D62918" w:rsidP="00D62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D1F11D" w14:textId="47ECFD0B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1BAEF7" w14:textId="4618FE9F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1413DE" w14:textId="7E7E15D8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D62918" w:rsidRPr="00D62918" w14:paraId="1EDE8A14" w14:textId="77777777" w:rsidTr="00060674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125C12" w14:textId="459F80DD" w:rsidR="00D62918" w:rsidRPr="00D62918" w:rsidRDefault="00D62918" w:rsidP="00D62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62EE44" w14:textId="77777777" w:rsidR="00D62918" w:rsidRPr="00D62918" w:rsidRDefault="00D62918" w:rsidP="00D6291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5B645F" w14:textId="223425EC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2656CC" w14:textId="7B9BC727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DC921E" w14:textId="4746A103" w:rsidR="00D62918" w:rsidRPr="00D62918" w:rsidRDefault="00D62918" w:rsidP="00D629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301F305B" w14:textId="77777777" w:rsidR="00CB4FD1" w:rsidRPr="00CB4FD1" w:rsidRDefault="00CB4FD1" w:rsidP="00CB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EE0C3" w14:textId="77777777" w:rsidR="00CB4FD1" w:rsidRPr="00CB4FD1" w:rsidRDefault="00CB4FD1" w:rsidP="00CB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5A2C" w14:textId="77777777" w:rsidR="00CB4FD1" w:rsidRPr="00CB4FD1" w:rsidRDefault="00CB4FD1" w:rsidP="00CB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592B" w14:textId="34D7FE5C" w:rsidR="00CB4FD1" w:rsidRPr="00CB4FD1" w:rsidRDefault="00CB4FD1" w:rsidP="00CB4F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2CB53" w14:textId="3EB15A0A" w:rsidR="00CB4FD1" w:rsidRPr="00CB4FD1" w:rsidRDefault="00CB4FD1" w:rsidP="00CB4F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</w:tr>
      <w:tr w:rsidR="00FB6030" w:rsidRPr="00CB4FD1" w14:paraId="747D247D" w14:textId="77777777" w:rsidTr="00280A4E">
        <w:trPr>
          <w:trHeight w:val="300"/>
        </w:trPr>
        <w:tc>
          <w:tcPr>
            <w:tcW w:w="4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23E1" w14:textId="5A9AAFBD" w:rsidR="00FB6030" w:rsidRPr="00CB4FD1" w:rsidRDefault="00FB6030" w:rsidP="00CB4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6589E" w14:textId="77777777" w:rsidR="00FB6030" w:rsidRPr="00CB4FD1" w:rsidRDefault="00FB6030" w:rsidP="00CB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24BC3" w14:textId="77777777" w:rsidR="00FB6030" w:rsidRPr="00CB4FD1" w:rsidRDefault="00FB6030" w:rsidP="00CB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151AE" w14:textId="49F86DD7" w:rsidR="00FB6030" w:rsidRPr="00CB4FD1" w:rsidRDefault="00FB6030" w:rsidP="00CB4F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751E1" w14:textId="7A66848F" w:rsidR="00FB6030" w:rsidRPr="00CB4FD1" w:rsidRDefault="00FB6030" w:rsidP="00CB4FD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</w:tr>
    </w:tbl>
    <w:p w14:paraId="368F0F49" w14:textId="77777777" w:rsidR="00075BA0" w:rsidRPr="00B845CD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B845CD">
        <w:rPr>
          <w:rFonts w:ascii="Arial" w:hAnsi="Arial" w:cs="Arial"/>
          <w:b/>
          <w:sz w:val="20"/>
        </w:rPr>
        <w:t>DEFINITIONER</w:t>
      </w:r>
    </w:p>
    <w:p w14:paraId="294A3DF6" w14:textId="77777777" w:rsidR="00075BA0" w:rsidRDefault="00075BA0" w:rsidP="00075BA0">
      <w:pPr>
        <w:pStyle w:val="Ingetavstnd"/>
        <w:rPr>
          <w:rFonts w:ascii="Arial" w:hAnsi="Arial" w:cs="Arial"/>
          <w:b/>
          <w:color w:val="FF8200"/>
          <w:sz w:val="20"/>
        </w:rPr>
      </w:pPr>
    </w:p>
    <w:p w14:paraId="2037C310" w14:textId="2F08A503" w:rsidR="00075BA0" w:rsidRPr="00802E7A" w:rsidRDefault="00075BA0" w:rsidP="00075BA0">
      <w:pPr>
        <w:spacing w:after="0" w:line="240" w:lineRule="auto"/>
        <w:jc w:val="both"/>
        <w:rPr>
          <w:rFonts w:ascii="Arial" w:eastAsiaTheme="minorEastAsia" w:hAnsi="Arial" w:cs="Arial"/>
          <w:i/>
          <w:sz w:val="18"/>
          <w:lang w:eastAsia="sv-SE"/>
        </w:rPr>
      </w:pPr>
      <w:r w:rsidRPr="00802E7A">
        <w:rPr>
          <w:rFonts w:ascii="Arial" w:eastAsiaTheme="minorEastAsia" w:hAnsi="Arial" w:cs="Arial"/>
          <w:i/>
          <w:sz w:val="18"/>
          <w:lang w:eastAsia="sv-SE"/>
        </w:rPr>
        <w:t>Europeiska värdepappers- och marknadsmyndigheten (ESMA) har gett ut riktlinjer avseende</w:t>
      </w:r>
      <w:r w:rsidRPr="00DD1769">
        <w:rPr>
          <w:rFonts w:ascii="Arial" w:eastAsiaTheme="minorEastAsia" w:hAnsi="Arial" w:cs="Arial"/>
          <w:i/>
          <w:sz w:val="18"/>
          <w:lang w:eastAsia="sv-SE"/>
        </w:rPr>
        <w:t xml:space="preserve"> </w:t>
      </w:r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användandet av alternativa nyckeltal (Alternative </w:t>
      </w:r>
      <w:proofErr w:type="spellStart"/>
      <w:r w:rsidRPr="00802E7A">
        <w:rPr>
          <w:rFonts w:ascii="Arial" w:eastAsiaTheme="minorEastAsia" w:hAnsi="Arial" w:cs="Arial"/>
          <w:i/>
          <w:sz w:val="18"/>
          <w:lang w:eastAsia="sv-SE"/>
        </w:rPr>
        <w:t>Performance</w:t>
      </w:r>
      <w:proofErr w:type="spellEnd"/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 </w:t>
      </w:r>
      <w:proofErr w:type="spellStart"/>
      <w:r w:rsidRPr="00802E7A">
        <w:rPr>
          <w:rFonts w:ascii="Arial" w:eastAsiaTheme="minorEastAsia" w:hAnsi="Arial" w:cs="Arial"/>
          <w:i/>
          <w:sz w:val="18"/>
          <w:lang w:eastAsia="sv-SE"/>
        </w:rPr>
        <w:t>Measures</w:t>
      </w:r>
      <w:proofErr w:type="spellEnd"/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, APM) som omfattar företag vars värdepapper är noterade på en reglerad marknad. Riktlinjerna är framtagna i syfte att öka transparensen och jämförbarheten i de nyckeltal (APM) som ofta presenteras i prospekt och obligatorisk information som lämnas av noterade företag. </w:t>
      </w:r>
      <w:proofErr w:type="spellStart"/>
      <w:r>
        <w:rPr>
          <w:rFonts w:ascii="Arial" w:eastAsiaTheme="minorEastAsia" w:hAnsi="Arial" w:cs="Arial"/>
          <w:i/>
          <w:sz w:val="18"/>
          <w:lang w:eastAsia="sv-SE"/>
        </w:rPr>
        <w:t>Kvalitena</w:t>
      </w:r>
      <w:proofErr w:type="spellEnd"/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 publicerar</w:t>
      </w:r>
      <w:r w:rsidR="00C6079E">
        <w:rPr>
          <w:rFonts w:ascii="Arial" w:eastAsiaTheme="minorEastAsia" w:hAnsi="Arial" w:cs="Arial"/>
          <w:i/>
          <w:sz w:val="18"/>
          <w:lang w:eastAsia="sv-SE"/>
        </w:rPr>
        <w:t xml:space="preserve"> </w:t>
      </w:r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på sin hemsida, under ”Finansiella Rapporter”, närmare definitioner och förklaringar av </w:t>
      </w:r>
      <w:r>
        <w:rPr>
          <w:rFonts w:ascii="Arial" w:eastAsiaTheme="minorEastAsia" w:hAnsi="Arial" w:cs="Arial"/>
          <w:i/>
          <w:sz w:val="18"/>
          <w:lang w:eastAsia="sv-SE"/>
        </w:rPr>
        <w:t>redovisade</w:t>
      </w:r>
      <w:r w:rsidRPr="00802E7A">
        <w:rPr>
          <w:rFonts w:ascii="Arial" w:eastAsiaTheme="minorEastAsia" w:hAnsi="Arial" w:cs="Arial"/>
          <w:i/>
          <w:sz w:val="18"/>
          <w:lang w:eastAsia="sv-SE"/>
        </w:rPr>
        <w:t xml:space="preserve"> nyckeltal i enlighet med dessa riktlinjer.</w:t>
      </w:r>
    </w:p>
    <w:p w14:paraId="1642F53D" w14:textId="77777777" w:rsidR="00075BA0" w:rsidRDefault="00075BA0" w:rsidP="00075BA0">
      <w:pPr>
        <w:pStyle w:val="Ingetavstnd"/>
        <w:rPr>
          <w:rFonts w:ascii="Arial" w:hAnsi="Arial" w:cs="Arial"/>
          <w:b/>
          <w:color w:val="FF8200"/>
          <w:sz w:val="20"/>
        </w:rPr>
      </w:pPr>
    </w:p>
    <w:p w14:paraId="21C6D005" w14:textId="77777777" w:rsidR="00075BA0" w:rsidRDefault="00075BA0" w:rsidP="00075BA0">
      <w:pPr>
        <w:pStyle w:val="Ingetavstnd"/>
        <w:rPr>
          <w:rFonts w:ascii="Arial" w:hAnsi="Arial" w:cs="Arial"/>
          <w:b/>
          <w:color w:val="FF8200"/>
          <w:sz w:val="20"/>
        </w:rPr>
      </w:pPr>
    </w:p>
    <w:p w14:paraId="632725C2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Avkastning på eget kapital (%)</w:t>
      </w:r>
    </w:p>
    <w:p w14:paraId="6FE06A6D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 w:rsidRPr="00CD0C56">
        <w:rPr>
          <w:rFonts w:ascii="Arial" w:hAnsi="Arial" w:cs="Arial"/>
          <w:sz w:val="20"/>
        </w:rPr>
        <w:t>Resultat före skatt i procent av genomsnittligt eget kapital.</w:t>
      </w:r>
    </w:p>
    <w:p w14:paraId="0F5FC778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68740169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Avkastning på totalt kapital (%)</w:t>
      </w:r>
    </w:p>
    <w:p w14:paraId="45670989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 w:rsidRPr="00CD0C56">
        <w:rPr>
          <w:rFonts w:ascii="Arial" w:hAnsi="Arial" w:cs="Arial"/>
          <w:sz w:val="20"/>
        </w:rPr>
        <w:t>Resultat före skatt med tillägg för räntekostnader i procent av genomsnittlig balansomslutning.</w:t>
      </w:r>
    </w:p>
    <w:p w14:paraId="1CE5B84B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33DBE1D3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Räntetäckningsgrad (ggr)</w:t>
      </w:r>
    </w:p>
    <w:p w14:paraId="1573278F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Rörelseresultatet dividerat med finansnettot.</w:t>
      </w:r>
    </w:p>
    <w:p w14:paraId="7DC14C7F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7BA0A323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Skuldsättningsgrad (ggr)</w:t>
      </w:r>
    </w:p>
    <w:p w14:paraId="5C9F716C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 w:rsidRPr="00CD0C56">
        <w:rPr>
          <w:rFonts w:ascii="Arial" w:hAnsi="Arial" w:cs="Arial"/>
          <w:sz w:val="20"/>
        </w:rPr>
        <w:t>Räntebärande skulder dividerat med redovisat eget kapital.</w:t>
      </w:r>
    </w:p>
    <w:p w14:paraId="6BCF11E0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01EDAFD2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Soliditet (%)</w:t>
      </w:r>
    </w:p>
    <w:p w14:paraId="167EBF11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 w:rsidRPr="00CD0C56">
        <w:rPr>
          <w:rFonts w:ascii="Arial" w:hAnsi="Arial" w:cs="Arial"/>
          <w:sz w:val="20"/>
        </w:rPr>
        <w:t xml:space="preserve">Redovisat eget kapital i procent av balansomslutning vid </w:t>
      </w:r>
      <w:r>
        <w:rPr>
          <w:rFonts w:ascii="Arial" w:hAnsi="Arial" w:cs="Arial"/>
          <w:sz w:val="20"/>
        </w:rPr>
        <w:t>året</w:t>
      </w:r>
      <w:r w:rsidRPr="00CD0C56">
        <w:rPr>
          <w:rFonts w:ascii="Arial" w:hAnsi="Arial" w:cs="Arial"/>
          <w:sz w:val="20"/>
        </w:rPr>
        <w:t>s utgång.</w:t>
      </w:r>
    </w:p>
    <w:p w14:paraId="1774B65D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7384C754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Uthyrningsbar area (kvm)</w:t>
      </w:r>
    </w:p>
    <w:p w14:paraId="47DFCE89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  <w:r w:rsidRPr="00CD0C56">
        <w:rPr>
          <w:rFonts w:ascii="Arial" w:hAnsi="Arial" w:cs="Arial"/>
          <w:sz w:val="20"/>
        </w:rPr>
        <w:t>Totalyta som är tillgänglig för uthyrning.</w:t>
      </w:r>
    </w:p>
    <w:p w14:paraId="700342B2" w14:textId="77777777" w:rsidR="00075BA0" w:rsidRDefault="00075BA0" w:rsidP="00075BA0">
      <w:pPr>
        <w:pStyle w:val="Ingetavstnd"/>
        <w:rPr>
          <w:rFonts w:ascii="Arial" w:hAnsi="Arial" w:cs="Arial"/>
          <w:sz w:val="20"/>
        </w:rPr>
      </w:pPr>
    </w:p>
    <w:p w14:paraId="48229A34" w14:textId="77777777" w:rsidR="00075BA0" w:rsidRPr="00CD0C56" w:rsidRDefault="00075BA0" w:rsidP="00075BA0">
      <w:pPr>
        <w:pStyle w:val="Ingetavstnd"/>
        <w:rPr>
          <w:rFonts w:ascii="Arial" w:hAnsi="Arial" w:cs="Arial"/>
          <w:b/>
          <w:sz w:val="20"/>
        </w:rPr>
      </w:pPr>
      <w:r w:rsidRPr="00CD0C56">
        <w:rPr>
          <w:rFonts w:ascii="Arial" w:hAnsi="Arial" w:cs="Arial"/>
          <w:b/>
          <w:sz w:val="20"/>
        </w:rPr>
        <w:t>Genomsnittlig ränta på samtliga lån (%)</w:t>
      </w:r>
    </w:p>
    <w:p w14:paraId="72829A53" w14:textId="77777777" w:rsidR="00075BA0" w:rsidRPr="00144313" w:rsidRDefault="00075BA0" w:rsidP="00075BA0">
      <w:pPr>
        <w:pStyle w:val="Ingetavstnd"/>
        <w:rPr>
          <w:rFonts w:ascii="Arial" w:hAnsi="Arial" w:cs="Arial"/>
          <w:sz w:val="20"/>
          <w:szCs w:val="20"/>
        </w:rPr>
      </w:pPr>
      <w:r w:rsidRPr="00CD0C56">
        <w:rPr>
          <w:rFonts w:ascii="Arial" w:hAnsi="Arial" w:cs="Arial"/>
          <w:sz w:val="20"/>
        </w:rPr>
        <w:t xml:space="preserve">Genomsnittlig ränta på samtliga lån vid </w:t>
      </w:r>
      <w:r>
        <w:rPr>
          <w:rFonts w:ascii="Arial" w:hAnsi="Arial" w:cs="Arial"/>
          <w:sz w:val="20"/>
        </w:rPr>
        <w:t>året</w:t>
      </w:r>
      <w:r w:rsidRPr="00CD0C56">
        <w:rPr>
          <w:rFonts w:ascii="Arial" w:hAnsi="Arial" w:cs="Arial"/>
          <w:sz w:val="20"/>
        </w:rPr>
        <w:t>s utgång i procent.</w:t>
      </w:r>
    </w:p>
    <w:p w14:paraId="17674F67" w14:textId="77777777" w:rsidR="00075BA0" w:rsidRDefault="00075BA0">
      <w:pPr>
        <w:rPr>
          <w:rFonts w:ascii="Arial" w:hAnsi="Arial" w:cs="Arial"/>
          <w:b/>
          <w:color w:val="FF8200"/>
          <w:sz w:val="20"/>
          <w:szCs w:val="20"/>
        </w:rPr>
      </w:pPr>
      <w:r>
        <w:rPr>
          <w:rFonts w:ascii="Arial" w:hAnsi="Arial" w:cs="Arial"/>
          <w:b/>
          <w:color w:val="FF8200"/>
          <w:sz w:val="20"/>
          <w:szCs w:val="20"/>
        </w:rPr>
        <w:br w:type="page"/>
      </w:r>
    </w:p>
    <w:p w14:paraId="715DCF99" w14:textId="77777777" w:rsidR="00144313" w:rsidRPr="00075BA0" w:rsidRDefault="00144313" w:rsidP="009B3253">
      <w:pPr>
        <w:rPr>
          <w:rFonts w:ascii="Arial" w:hAnsi="Arial" w:cs="Arial"/>
          <w:b/>
          <w:sz w:val="20"/>
          <w:szCs w:val="20"/>
        </w:rPr>
      </w:pPr>
      <w:r w:rsidRPr="00075BA0">
        <w:rPr>
          <w:rFonts w:ascii="Arial" w:hAnsi="Arial" w:cs="Arial"/>
          <w:b/>
          <w:sz w:val="20"/>
          <w:szCs w:val="20"/>
        </w:rPr>
        <w:lastRenderedPageBreak/>
        <w:t>FASTIGHETSVÄRDEN</w:t>
      </w:r>
    </w:p>
    <w:p w14:paraId="7F2BD001" w14:textId="6B964F82" w:rsidR="00144313" w:rsidRPr="00802E7A" w:rsidRDefault="00144313" w:rsidP="00144313">
      <w:pPr>
        <w:pStyle w:val="Ingetavstnd"/>
        <w:jc w:val="both"/>
        <w:rPr>
          <w:rFonts w:ascii="Arial" w:hAnsi="Arial" w:cs="Arial"/>
          <w:color w:val="FF0000"/>
          <w:sz w:val="20"/>
          <w:szCs w:val="20"/>
        </w:rPr>
      </w:pPr>
      <w:r w:rsidRPr="007427A0">
        <w:rPr>
          <w:rFonts w:ascii="Arial" w:hAnsi="Arial" w:cs="Arial"/>
          <w:sz w:val="20"/>
          <w:szCs w:val="20"/>
        </w:rPr>
        <w:t>Enligt utförda värderi</w:t>
      </w:r>
      <w:r w:rsidR="00B35835" w:rsidRPr="007427A0">
        <w:rPr>
          <w:rFonts w:ascii="Arial" w:hAnsi="Arial" w:cs="Arial"/>
          <w:sz w:val="20"/>
          <w:szCs w:val="20"/>
        </w:rPr>
        <w:t>ngar har fastigheterna per den 3</w:t>
      </w:r>
      <w:r w:rsidR="00060674">
        <w:rPr>
          <w:rFonts w:ascii="Arial" w:hAnsi="Arial" w:cs="Arial"/>
          <w:sz w:val="20"/>
          <w:szCs w:val="20"/>
        </w:rPr>
        <w:t>0</w:t>
      </w:r>
      <w:r w:rsidRPr="007427A0">
        <w:rPr>
          <w:rFonts w:ascii="Arial" w:hAnsi="Arial" w:cs="Arial"/>
          <w:sz w:val="20"/>
          <w:szCs w:val="20"/>
        </w:rPr>
        <w:t xml:space="preserve"> </w:t>
      </w:r>
      <w:r w:rsidR="00060674">
        <w:rPr>
          <w:rFonts w:ascii="Arial" w:hAnsi="Arial" w:cs="Arial"/>
          <w:sz w:val="20"/>
          <w:szCs w:val="20"/>
        </w:rPr>
        <w:t>juni</w:t>
      </w:r>
      <w:r w:rsidRPr="007427A0">
        <w:rPr>
          <w:rFonts w:ascii="Arial" w:hAnsi="Arial" w:cs="Arial"/>
          <w:sz w:val="20"/>
          <w:szCs w:val="20"/>
        </w:rPr>
        <w:t xml:space="preserve"> ett bedömt värde om </w:t>
      </w:r>
      <w:r w:rsidR="00EA72B2">
        <w:rPr>
          <w:rFonts w:ascii="Arial" w:hAnsi="Arial" w:cs="Arial"/>
          <w:sz w:val="20"/>
          <w:szCs w:val="20"/>
        </w:rPr>
        <w:t>4</w:t>
      </w:r>
      <w:r w:rsidR="00D1335D">
        <w:rPr>
          <w:rFonts w:ascii="Arial" w:hAnsi="Arial" w:cs="Arial"/>
          <w:sz w:val="20"/>
          <w:szCs w:val="20"/>
        </w:rPr>
        <w:t> 7</w:t>
      </w:r>
      <w:r w:rsidR="00060674">
        <w:rPr>
          <w:rFonts w:ascii="Arial" w:hAnsi="Arial" w:cs="Arial"/>
          <w:sz w:val="20"/>
          <w:szCs w:val="20"/>
        </w:rPr>
        <w:t>96</w:t>
      </w:r>
      <w:r w:rsidR="00D1335D">
        <w:rPr>
          <w:rFonts w:ascii="Arial" w:hAnsi="Arial" w:cs="Arial"/>
          <w:sz w:val="20"/>
          <w:szCs w:val="20"/>
        </w:rPr>
        <w:t xml:space="preserve"> </w:t>
      </w:r>
      <w:r w:rsidRPr="007427A0">
        <w:rPr>
          <w:rFonts w:ascii="Arial" w:hAnsi="Arial" w:cs="Arial"/>
          <w:sz w:val="20"/>
          <w:szCs w:val="20"/>
        </w:rPr>
        <w:t>(</w:t>
      </w:r>
      <w:r w:rsidR="00D1335D">
        <w:rPr>
          <w:rFonts w:ascii="Arial" w:hAnsi="Arial" w:cs="Arial"/>
          <w:sz w:val="20"/>
          <w:szCs w:val="20"/>
        </w:rPr>
        <w:t>4</w:t>
      </w:r>
      <w:r w:rsidR="00075BA0">
        <w:rPr>
          <w:rFonts w:ascii="Arial" w:hAnsi="Arial" w:cs="Arial"/>
          <w:sz w:val="20"/>
          <w:szCs w:val="20"/>
        </w:rPr>
        <w:t xml:space="preserve"> </w:t>
      </w:r>
      <w:r w:rsidR="00060674">
        <w:rPr>
          <w:rFonts w:ascii="Arial" w:hAnsi="Arial" w:cs="Arial"/>
          <w:sz w:val="20"/>
          <w:szCs w:val="20"/>
        </w:rPr>
        <w:t>998</w:t>
      </w:r>
      <w:r w:rsidR="00F54C9C" w:rsidRPr="007427A0">
        <w:rPr>
          <w:rFonts w:ascii="Arial" w:hAnsi="Arial" w:cs="Arial"/>
          <w:sz w:val="20"/>
          <w:szCs w:val="20"/>
        </w:rPr>
        <w:t>)</w:t>
      </w:r>
      <w:r w:rsidR="00D1335D">
        <w:rPr>
          <w:rFonts w:ascii="Arial" w:hAnsi="Arial" w:cs="Arial"/>
          <w:sz w:val="20"/>
          <w:szCs w:val="20"/>
        </w:rPr>
        <w:t xml:space="preserve"> mkr</w:t>
      </w:r>
      <w:r w:rsidRPr="007427A0">
        <w:rPr>
          <w:rFonts w:ascii="Arial" w:hAnsi="Arial" w:cs="Arial"/>
          <w:sz w:val="20"/>
          <w:szCs w:val="20"/>
        </w:rPr>
        <w:t xml:space="preserve">. Förvaltningsfastigheternas bokförda värde </w:t>
      </w:r>
      <w:r w:rsidR="00A26013" w:rsidRPr="007427A0">
        <w:rPr>
          <w:rFonts w:ascii="Arial" w:hAnsi="Arial" w:cs="Arial"/>
          <w:sz w:val="20"/>
          <w:szCs w:val="20"/>
        </w:rPr>
        <w:t>har förändrats enligt följande</w:t>
      </w:r>
      <w:r w:rsidR="00A26013" w:rsidRPr="00802E7A">
        <w:rPr>
          <w:rFonts w:ascii="Arial" w:hAnsi="Arial" w:cs="Arial"/>
          <w:color w:val="FF0000"/>
          <w:sz w:val="20"/>
          <w:szCs w:val="20"/>
        </w:rPr>
        <w:t>:</w:t>
      </w:r>
    </w:p>
    <w:p w14:paraId="4ED7BFC8" w14:textId="77777777" w:rsidR="00A26013" w:rsidRPr="00A26013" w:rsidRDefault="00A26013" w:rsidP="00144313">
      <w:pPr>
        <w:pStyle w:val="Ingetavstnd"/>
        <w:jc w:val="both"/>
        <w:rPr>
          <w:rFonts w:ascii="Arial" w:hAnsi="Arial" w:cs="Arial"/>
          <w:sz w:val="18"/>
          <w:szCs w:val="20"/>
        </w:rPr>
      </w:pPr>
    </w:p>
    <w:tbl>
      <w:tblPr>
        <w:tblW w:w="51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5"/>
        <w:gridCol w:w="146"/>
        <w:gridCol w:w="146"/>
        <w:gridCol w:w="146"/>
        <w:gridCol w:w="146"/>
      </w:tblGrid>
      <w:tr w:rsidR="00075BA0" w:rsidRPr="005242D3" w14:paraId="3C538538" w14:textId="77777777" w:rsidTr="00D1335D">
        <w:trPr>
          <w:trHeight w:val="175"/>
        </w:trPr>
        <w:tc>
          <w:tcPr>
            <w:tcW w:w="4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464" w:type="dxa"/>
              <w:tblInd w:w="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60"/>
              <w:gridCol w:w="1366"/>
              <w:gridCol w:w="146"/>
              <w:gridCol w:w="146"/>
              <w:gridCol w:w="146"/>
            </w:tblGrid>
            <w:tr w:rsidR="00D1335D" w:rsidRPr="00D1335D" w14:paraId="5BAA1C93" w14:textId="77777777" w:rsidTr="00060674">
              <w:trPr>
                <w:trHeight w:val="309"/>
              </w:trPr>
              <w:tc>
                <w:tcPr>
                  <w:tcW w:w="8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52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0"/>
                    <w:gridCol w:w="1340"/>
                    <w:gridCol w:w="1340"/>
                    <w:gridCol w:w="1340"/>
                    <w:gridCol w:w="1340"/>
                  </w:tblGrid>
                  <w:tr w:rsidR="00060674" w:rsidRPr="00060674" w14:paraId="312E95BF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E83AAB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101FA0B8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656A38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2019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A8A2BC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2018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77EF92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2018</w:t>
                        </w:r>
                      </w:p>
                    </w:tc>
                  </w:tr>
                  <w:tr w:rsidR="00060674" w:rsidRPr="00060674" w14:paraId="4A0D9A70" w14:textId="77777777" w:rsidTr="00060674">
                    <w:trPr>
                      <w:trHeight w:val="315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33394D4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Förvaltningsfastigheter (Mkr)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CE17E0E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ADAE4A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sv-SE"/>
                          </w:rPr>
                          <w:t>Jan - juni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040021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sv-SE"/>
                          </w:rPr>
                          <w:t>Jan - juni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85FB7C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Jan – dec</w:t>
                        </w:r>
                      </w:p>
                    </w:tc>
                  </w:tr>
                  <w:tr w:rsidR="00060674" w:rsidRPr="00060674" w14:paraId="21313018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6EAA517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Bokfört värde vid periodens början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CC1422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 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2D3FB6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  <w:t>4 253,8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F1D732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  <w:t>4 208,3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CD98E33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4 208,3</w:t>
                        </w:r>
                      </w:p>
                    </w:tc>
                  </w:tr>
                  <w:tr w:rsidR="00060674" w:rsidRPr="00060674" w14:paraId="2E4A6EC7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70EBBF7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Förvärv och nybyggnation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B4DFC3A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D1FC89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494,6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D1E7D8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637,6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B7F54D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1 026,8</w:t>
                        </w:r>
                      </w:p>
                    </w:tc>
                  </w:tr>
                  <w:tr w:rsidR="00060674" w:rsidRPr="00060674" w14:paraId="3B705582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888A008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Investeringar i befintliga fastigheter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7047A5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95EC7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61,4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D35F054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51,9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519FE8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107,0</w:t>
                        </w:r>
                      </w:p>
                    </w:tc>
                  </w:tr>
                  <w:tr w:rsidR="00060674" w:rsidRPr="00060674" w14:paraId="6C405C68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F8D27FA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Försäljning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hideMark/>
                      </w:tcPr>
                      <w:p w14:paraId="45439429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97C9C7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3,0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24ABCF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-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E02034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-1 404,1</w:t>
                        </w:r>
                      </w:p>
                    </w:tc>
                  </w:tr>
                  <w:tr w:rsidR="00060674" w:rsidRPr="00060674" w14:paraId="6F0949DE" w14:textId="77777777" w:rsidTr="00060674">
                    <w:trPr>
                      <w:trHeight w:val="315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C25E2CF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Värdeförändring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7B2818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 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BDF52A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-17,2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9731AEE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sv-SE"/>
                          </w:rPr>
                          <w:t>100,0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DD1206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sv-SE"/>
                          </w:rPr>
                          <w:t>315,8</w:t>
                        </w:r>
                      </w:p>
                    </w:tc>
                  </w:tr>
                  <w:tr w:rsidR="00060674" w:rsidRPr="00060674" w14:paraId="0A51B24D" w14:textId="77777777" w:rsidTr="00060674">
                    <w:trPr>
                      <w:trHeight w:val="300"/>
                    </w:trPr>
                    <w:tc>
                      <w:tcPr>
                        <w:tcW w:w="3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63B3BF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Bokfört värde vid periodens utgång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F38804" w14:textId="77777777" w:rsidR="00060674" w:rsidRPr="00060674" w:rsidRDefault="00060674" w:rsidP="000606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 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B5F54A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  <w:t>4 795,6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90110B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sv-SE"/>
                          </w:rPr>
                          <w:t>4 997,8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EEAA1E4" w14:textId="77777777" w:rsidR="00060674" w:rsidRPr="00060674" w:rsidRDefault="00060674" w:rsidP="000606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</w:pPr>
                        <w:r w:rsidRPr="000606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sv-SE"/>
                          </w:rPr>
                          <w:t>4 253,8</w:t>
                        </w:r>
                      </w:p>
                    </w:tc>
                  </w:tr>
                </w:tbl>
                <w:p w14:paraId="294449AA" w14:textId="77777777" w:rsidR="00D1335D" w:rsidRPr="00D1335D" w:rsidRDefault="00D1335D" w:rsidP="00D1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CAD766" w14:textId="77777777" w:rsidR="00D1335D" w:rsidRPr="00D1335D" w:rsidRDefault="00D1335D" w:rsidP="00D1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FB63952" w14:textId="79D5248A" w:rsidR="00D1335D" w:rsidRPr="00D1335D" w:rsidRDefault="00D1335D" w:rsidP="00D133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C1F3C1" w14:textId="04D1A5E0" w:rsidR="00D1335D" w:rsidRPr="00D1335D" w:rsidRDefault="00D1335D" w:rsidP="00D133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B0FB6A" w14:textId="468559C5" w:rsidR="00D1335D" w:rsidRPr="00D1335D" w:rsidRDefault="00D1335D" w:rsidP="00D133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</w:p>
              </w:tc>
            </w:tr>
          </w:tbl>
          <w:p w14:paraId="45E53A97" w14:textId="77777777" w:rsidR="00075BA0" w:rsidRPr="005242D3" w:rsidRDefault="00075BA0" w:rsidP="00075B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9205" w14:textId="77777777" w:rsidR="00075BA0" w:rsidRPr="005242D3" w:rsidRDefault="00075BA0" w:rsidP="00075B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7128" w14:textId="77777777" w:rsidR="00075BA0" w:rsidRPr="005242D3" w:rsidRDefault="00075BA0" w:rsidP="00075B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4CCDF" w14:textId="16BEA3D6" w:rsidR="00075BA0" w:rsidRPr="00802E7A" w:rsidRDefault="00075BA0" w:rsidP="00075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4497A" w14:textId="04E9C1DB" w:rsidR="00075BA0" w:rsidRPr="0056779A" w:rsidRDefault="00075BA0" w:rsidP="00075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075BA0" w:rsidRPr="005242D3" w14:paraId="69DC7A29" w14:textId="77777777" w:rsidTr="00D1335D">
        <w:trPr>
          <w:trHeight w:val="175"/>
        </w:trPr>
        <w:tc>
          <w:tcPr>
            <w:tcW w:w="4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AFFD4" w14:textId="2D21CE08" w:rsidR="00075BA0" w:rsidRPr="005242D3" w:rsidRDefault="00075BA0" w:rsidP="00075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55EF" w14:textId="12DC6BD7" w:rsidR="00075BA0" w:rsidRPr="005242D3" w:rsidRDefault="00075BA0" w:rsidP="00075B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9D92" w14:textId="77777777" w:rsidR="00075BA0" w:rsidRPr="005242D3" w:rsidRDefault="00075BA0" w:rsidP="00075B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FCBAC" w14:textId="2333BCBD" w:rsidR="00075BA0" w:rsidRPr="00802E7A" w:rsidRDefault="00075BA0" w:rsidP="00075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552F6" w14:textId="1F693C1C" w:rsidR="00075BA0" w:rsidRPr="0056779A" w:rsidRDefault="00075BA0" w:rsidP="00075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</w:tbl>
    <w:p w14:paraId="310A3EC4" w14:textId="77777777" w:rsidR="00144313" w:rsidRPr="00075BA0" w:rsidRDefault="00144313" w:rsidP="00A77144">
      <w:pPr>
        <w:pStyle w:val="Ingetavstnd"/>
        <w:jc w:val="both"/>
        <w:rPr>
          <w:rFonts w:ascii="Arial" w:hAnsi="Arial" w:cs="Arial"/>
          <w:b/>
          <w:sz w:val="20"/>
          <w:szCs w:val="20"/>
        </w:rPr>
      </w:pPr>
      <w:r w:rsidRPr="00075BA0">
        <w:rPr>
          <w:rFonts w:ascii="Arial" w:hAnsi="Arial" w:cs="Arial"/>
          <w:b/>
          <w:sz w:val="20"/>
          <w:szCs w:val="20"/>
        </w:rPr>
        <w:t>FINANSIELL STÄLLNING</w:t>
      </w:r>
    </w:p>
    <w:p w14:paraId="7116B693" w14:textId="053D7091" w:rsidR="00144313" w:rsidRPr="00FB6030" w:rsidRDefault="00144313" w:rsidP="00144313">
      <w:pPr>
        <w:pStyle w:val="Ingetavstnd"/>
        <w:jc w:val="both"/>
        <w:rPr>
          <w:rFonts w:ascii="Arial" w:hAnsi="Arial" w:cs="Arial"/>
          <w:sz w:val="20"/>
        </w:rPr>
      </w:pPr>
      <w:r w:rsidRPr="00FB6030">
        <w:rPr>
          <w:rFonts w:ascii="Arial" w:hAnsi="Arial" w:cs="Arial"/>
          <w:sz w:val="20"/>
        </w:rPr>
        <w:t xml:space="preserve">Likvida medel uppgick </w:t>
      </w:r>
      <w:r w:rsidR="00F54C9C" w:rsidRPr="00FB6030">
        <w:rPr>
          <w:rFonts w:ascii="Arial" w:hAnsi="Arial" w:cs="Arial"/>
          <w:sz w:val="20"/>
        </w:rPr>
        <w:t xml:space="preserve">vid </w:t>
      </w:r>
      <w:r w:rsidR="00060674">
        <w:rPr>
          <w:rFonts w:ascii="Arial" w:hAnsi="Arial" w:cs="Arial"/>
          <w:sz w:val="20"/>
        </w:rPr>
        <w:t>periodens</w:t>
      </w:r>
      <w:r w:rsidR="00E81FC3" w:rsidRPr="00FB6030">
        <w:rPr>
          <w:rFonts w:ascii="Arial" w:hAnsi="Arial" w:cs="Arial"/>
          <w:sz w:val="20"/>
        </w:rPr>
        <w:t xml:space="preserve"> slut </w:t>
      </w:r>
      <w:r w:rsidRPr="00FB6030">
        <w:rPr>
          <w:rFonts w:ascii="Arial" w:hAnsi="Arial" w:cs="Arial"/>
          <w:sz w:val="20"/>
        </w:rPr>
        <w:t xml:space="preserve">till </w:t>
      </w:r>
      <w:r w:rsidR="00060674">
        <w:rPr>
          <w:rFonts w:ascii="Arial" w:hAnsi="Arial" w:cs="Arial"/>
          <w:sz w:val="20"/>
        </w:rPr>
        <w:t>67</w:t>
      </w:r>
      <w:r w:rsidRPr="00FB6030">
        <w:rPr>
          <w:rFonts w:ascii="Arial" w:hAnsi="Arial" w:cs="Arial"/>
          <w:sz w:val="20"/>
        </w:rPr>
        <w:t xml:space="preserve"> (</w:t>
      </w:r>
      <w:r w:rsidR="00060674">
        <w:rPr>
          <w:rFonts w:ascii="Arial" w:hAnsi="Arial" w:cs="Arial"/>
          <w:sz w:val="20"/>
        </w:rPr>
        <w:t>109</w:t>
      </w:r>
      <w:r w:rsidRPr="00FB6030">
        <w:rPr>
          <w:rFonts w:ascii="Arial" w:hAnsi="Arial" w:cs="Arial"/>
          <w:sz w:val="20"/>
        </w:rPr>
        <w:t>)</w:t>
      </w:r>
      <w:r w:rsidR="00D1335D">
        <w:rPr>
          <w:rFonts w:ascii="Arial" w:hAnsi="Arial" w:cs="Arial"/>
          <w:sz w:val="20"/>
        </w:rPr>
        <w:t xml:space="preserve"> mkr</w:t>
      </w:r>
      <w:r w:rsidRPr="00FB6030">
        <w:rPr>
          <w:rFonts w:ascii="Arial" w:hAnsi="Arial" w:cs="Arial"/>
          <w:sz w:val="20"/>
        </w:rPr>
        <w:t xml:space="preserve">. Det egna kapitalet uppgick till </w:t>
      </w:r>
      <w:r w:rsidR="00D1335D">
        <w:rPr>
          <w:rFonts w:ascii="Arial" w:hAnsi="Arial" w:cs="Arial"/>
          <w:sz w:val="20"/>
        </w:rPr>
        <w:t>3 4</w:t>
      </w:r>
      <w:r w:rsidR="00060674">
        <w:rPr>
          <w:rFonts w:ascii="Arial" w:hAnsi="Arial" w:cs="Arial"/>
          <w:sz w:val="20"/>
        </w:rPr>
        <w:t>91</w:t>
      </w:r>
      <w:r w:rsidRPr="00FB6030">
        <w:rPr>
          <w:rFonts w:ascii="Arial" w:hAnsi="Arial" w:cs="Arial"/>
          <w:sz w:val="20"/>
        </w:rPr>
        <w:t xml:space="preserve">  (</w:t>
      </w:r>
      <w:r w:rsidR="00075BA0">
        <w:rPr>
          <w:rFonts w:ascii="Arial" w:hAnsi="Arial" w:cs="Arial"/>
          <w:sz w:val="20"/>
        </w:rPr>
        <w:t>3 </w:t>
      </w:r>
      <w:r w:rsidR="00D1335D">
        <w:rPr>
          <w:rFonts w:ascii="Arial" w:hAnsi="Arial" w:cs="Arial"/>
          <w:sz w:val="20"/>
        </w:rPr>
        <w:t>2</w:t>
      </w:r>
      <w:r w:rsidR="00060674">
        <w:rPr>
          <w:rFonts w:ascii="Arial" w:hAnsi="Arial" w:cs="Arial"/>
          <w:sz w:val="20"/>
        </w:rPr>
        <w:t>76</w:t>
      </w:r>
      <w:r w:rsidRPr="00FB6030">
        <w:rPr>
          <w:rFonts w:ascii="Arial" w:hAnsi="Arial" w:cs="Arial"/>
          <w:sz w:val="20"/>
        </w:rPr>
        <w:t>)</w:t>
      </w:r>
      <w:r w:rsidR="00D1335D">
        <w:rPr>
          <w:rFonts w:ascii="Arial" w:hAnsi="Arial" w:cs="Arial"/>
          <w:sz w:val="20"/>
        </w:rPr>
        <w:t xml:space="preserve"> mkr</w:t>
      </w:r>
      <w:r w:rsidRPr="00FB6030">
        <w:rPr>
          <w:rFonts w:ascii="Arial" w:hAnsi="Arial" w:cs="Arial"/>
          <w:sz w:val="20"/>
        </w:rPr>
        <w:t xml:space="preserve">. </w:t>
      </w:r>
    </w:p>
    <w:p w14:paraId="0F670949" w14:textId="77777777" w:rsidR="00144313" w:rsidRPr="00924BF0" w:rsidRDefault="00144313" w:rsidP="00144313">
      <w:pPr>
        <w:pStyle w:val="Ingetavstnd"/>
        <w:jc w:val="both"/>
        <w:rPr>
          <w:rFonts w:ascii="Arial" w:hAnsi="Arial" w:cs="Arial"/>
          <w:sz w:val="20"/>
        </w:rPr>
      </w:pPr>
    </w:p>
    <w:p w14:paraId="15262D5B" w14:textId="7CB1539D" w:rsidR="00924BF0" w:rsidRPr="005E1011" w:rsidRDefault="00867641" w:rsidP="00144313">
      <w:pPr>
        <w:pStyle w:val="Ingetavstnd"/>
        <w:jc w:val="both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74A6B2D4" w14:textId="4FDB9096" w:rsidR="00924BF0" w:rsidRPr="005D2DA8" w:rsidRDefault="00924BF0" w:rsidP="00924BF0">
      <w:pPr>
        <w:pStyle w:val="Ingetavstnd"/>
        <w:jc w:val="both"/>
        <w:rPr>
          <w:rFonts w:ascii="Arial" w:hAnsi="Arial" w:cs="Arial"/>
          <w:sz w:val="20"/>
        </w:rPr>
      </w:pPr>
      <w:r w:rsidRPr="005D2DA8">
        <w:rPr>
          <w:rFonts w:ascii="Arial" w:hAnsi="Arial" w:cs="Arial"/>
          <w:sz w:val="20"/>
        </w:rPr>
        <w:t>Kapitalbindningsstrukturen för koncernens samtliga räntebärande skulder per den 3</w:t>
      </w:r>
      <w:r w:rsidR="003C27C2" w:rsidRPr="005D2DA8">
        <w:rPr>
          <w:rFonts w:ascii="Arial" w:hAnsi="Arial" w:cs="Arial"/>
          <w:sz w:val="20"/>
        </w:rPr>
        <w:t>1</w:t>
      </w:r>
      <w:r w:rsidRPr="005D2DA8">
        <w:rPr>
          <w:rFonts w:ascii="Arial" w:hAnsi="Arial" w:cs="Arial"/>
          <w:sz w:val="20"/>
        </w:rPr>
        <w:t xml:space="preserve"> </w:t>
      </w:r>
      <w:r w:rsidR="00DE1CA6" w:rsidRPr="005D2DA8">
        <w:rPr>
          <w:rFonts w:ascii="Arial" w:hAnsi="Arial" w:cs="Arial"/>
          <w:sz w:val="20"/>
        </w:rPr>
        <w:t>mars 201</w:t>
      </w:r>
      <w:r w:rsidR="00D1335D">
        <w:rPr>
          <w:rFonts w:ascii="Arial" w:hAnsi="Arial" w:cs="Arial"/>
          <w:sz w:val="20"/>
        </w:rPr>
        <w:t>9</w:t>
      </w:r>
      <w:r w:rsidRPr="005D2DA8">
        <w:rPr>
          <w:rFonts w:ascii="Arial" w:hAnsi="Arial" w:cs="Arial"/>
          <w:sz w:val="20"/>
        </w:rPr>
        <w:t xml:space="preserve"> framgår av nedanstående tabell.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2"/>
        <w:gridCol w:w="146"/>
        <w:gridCol w:w="146"/>
        <w:gridCol w:w="146"/>
        <w:gridCol w:w="146"/>
      </w:tblGrid>
      <w:tr w:rsidR="005D2DA8" w:rsidRPr="005D2DA8" w14:paraId="0A80C529" w14:textId="77777777" w:rsidTr="00D1335D">
        <w:trPr>
          <w:trHeight w:val="300"/>
        </w:trPr>
        <w:tc>
          <w:tcPr>
            <w:tcW w:w="4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8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0"/>
              <w:gridCol w:w="1340"/>
              <w:gridCol w:w="1340"/>
              <w:gridCol w:w="1340"/>
              <w:gridCol w:w="1340"/>
            </w:tblGrid>
            <w:tr w:rsidR="00D1335D" w:rsidRPr="00D1335D" w14:paraId="5DB470A4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242A09F" w14:textId="77777777" w:rsidR="00D1335D" w:rsidRPr="00D1335D" w:rsidRDefault="00D1335D" w:rsidP="00D1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18C7FA" w14:textId="77777777" w:rsidR="00D1335D" w:rsidRPr="00D1335D" w:rsidRDefault="00D1335D" w:rsidP="00D1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EBCC851" w14:textId="77777777" w:rsidR="00D1335D" w:rsidRPr="00D1335D" w:rsidRDefault="00D1335D" w:rsidP="00D133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5DA711" w14:textId="775E3754" w:rsidR="00D1335D" w:rsidRPr="00D1335D" w:rsidRDefault="00D1335D" w:rsidP="00D133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DEF046" w14:textId="6D692FDE" w:rsidR="00D1335D" w:rsidRPr="00D1335D" w:rsidRDefault="00D1335D" w:rsidP="00D133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867641" w:rsidRPr="00867641" w14:paraId="24733CF0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D1F213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08A16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FE36E7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CE547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Lånebelopp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44B8D2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Andel</w:t>
                  </w:r>
                </w:p>
              </w:tc>
            </w:tr>
            <w:tr w:rsidR="00867641" w:rsidRPr="00867641" w14:paraId="29CA5C3D" w14:textId="77777777" w:rsidTr="00867641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F58532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Förfallotidpunkt, år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03D058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C7925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A02442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(Mkr)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9BCB13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(%)</w:t>
                  </w:r>
                </w:p>
              </w:tc>
            </w:tr>
            <w:tr w:rsidR="00867641" w:rsidRPr="00867641" w14:paraId="40751779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415CD0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2019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26A70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09FA1E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CD29EA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1 334,0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CDC7C2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32,2%</w:t>
                  </w:r>
                </w:p>
              </w:tc>
            </w:tr>
            <w:tr w:rsidR="00867641" w:rsidRPr="00867641" w14:paraId="27D93D83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2470F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2020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CFCF1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C07202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E28302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557,4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C893C2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13,4%</w:t>
                  </w:r>
                </w:p>
              </w:tc>
            </w:tr>
            <w:tr w:rsidR="00867641" w:rsidRPr="00867641" w14:paraId="7E82F819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9A1BB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2021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5E6649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6F92E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121A86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566,6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906517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13,7%</w:t>
                  </w:r>
                </w:p>
              </w:tc>
            </w:tr>
            <w:tr w:rsidR="00867641" w:rsidRPr="00867641" w14:paraId="096AB987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4C1A2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3522B7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81AF88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37CCC0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1 660,0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69B25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40,0%</w:t>
                  </w:r>
                </w:p>
              </w:tc>
            </w:tr>
            <w:tr w:rsidR="00867641" w:rsidRPr="00867641" w14:paraId="7ACDAE16" w14:textId="77777777" w:rsidTr="00867641">
              <w:trPr>
                <w:trHeight w:val="315"/>
              </w:trPr>
              <w:tc>
                <w:tcPr>
                  <w:tcW w:w="3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C36C6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&gt;2022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E35C1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50EF33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F5594E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31,3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70071D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0,8%</w:t>
                  </w:r>
                </w:p>
              </w:tc>
            </w:tr>
            <w:tr w:rsidR="00867641" w:rsidRPr="00867641" w14:paraId="0BF0C981" w14:textId="77777777" w:rsidTr="00867641">
              <w:trPr>
                <w:trHeight w:val="300"/>
              </w:trPr>
              <w:tc>
                <w:tcPr>
                  <w:tcW w:w="3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9C77EE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Summa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B1BBB3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7AC4DA" w14:textId="77777777" w:rsidR="00867641" w:rsidRPr="00867641" w:rsidRDefault="00867641" w:rsidP="008676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DEBEBB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4 149,3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7D631" w14:textId="77777777" w:rsidR="00867641" w:rsidRPr="00867641" w:rsidRDefault="00867641" w:rsidP="008676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8676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100,00%</w:t>
                  </w:r>
                </w:p>
              </w:tc>
            </w:tr>
          </w:tbl>
          <w:p w14:paraId="149DB7C8" w14:textId="77777777" w:rsidR="007F1A1B" w:rsidRPr="005D2DA8" w:rsidRDefault="007F1A1B" w:rsidP="007F1A1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39F1" w14:textId="77777777" w:rsidR="007F1A1B" w:rsidRPr="005D2DA8" w:rsidRDefault="007F1A1B" w:rsidP="007F1A1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948F" w14:textId="77777777" w:rsidR="007F1A1B" w:rsidRPr="005D2DA8" w:rsidRDefault="007F1A1B" w:rsidP="007F1A1B">
            <w:pPr>
              <w:spacing w:after="0" w:line="240" w:lineRule="auto"/>
              <w:rPr>
                <w:rFonts w:ascii="Calibri" w:eastAsia="Times New Roman" w:hAnsi="Calibri" w:cs="Times New Roman"/>
                <w:lang w:eastAsia="sv-S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3320" w14:textId="4DA85369" w:rsidR="007F1A1B" w:rsidRPr="005D2DA8" w:rsidRDefault="007F1A1B" w:rsidP="007F1A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93DB3" w14:textId="232B42A4" w:rsidR="007F1A1B" w:rsidRPr="005D2DA8" w:rsidRDefault="007F1A1B" w:rsidP="007F1A1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</w:tr>
    </w:tbl>
    <w:p w14:paraId="527FDA24" w14:textId="77777777" w:rsidR="00924BF0" w:rsidRPr="005D2DA8" w:rsidRDefault="00924BF0" w:rsidP="00144313">
      <w:pPr>
        <w:pStyle w:val="Ingetavstnd"/>
        <w:jc w:val="both"/>
        <w:rPr>
          <w:rFonts w:ascii="Arial" w:hAnsi="Arial" w:cs="Arial"/>
          <w:b/>
          <w:sz w:val="20"/>
        </w:rPr>
      </w:pPr>
    </w:p>
    <w:p w14:paraId="0DE082AE" w14:textId="77777777" w:rsidR="00E81FC3" w:rsidRPr="005D2DA8" w:rsidRDefault="00E81FC3" w:rsidP="00144313">
      <w:pPr>
        <w:pStyle w:val="Ingetavstnd"/>
        <w:jc w:val="both"/>
        <w:rPr>
          <w:rFonts w:ascii="Arial" w:hAnsi="Arial" w:cs="Arial"/>
          <w:i/>
          <w:sz w:val="18"/>
        </w:rPr>
      </w:pPr>
    </w:p>
    <w:p w14:paraId="7901FA64" w14:textId="7D357B8F" w:rsidR="00924BF0" w:rsidRPr="005D2DA8" w:rsidRDefault="00924BF0" w:rsidP="00144313">
      <w:pPr>
        <w:pStyle w:val="Ingetavstnd"/>
        <w:jc w:val="both"/>
        <w:rPr>
          <w:rFonts w:ascii="Arial" w:hAnsi="Arial" w:cs="Arial"/>
          <w:sz w:val="20"/>
        </w:rPr>
      </w:pPr>
      <w:r w:rsidRPr="005D2DA8">
        <w:rPr>
          <w:rFonts w:ascii="Arial" w:hAnsi="Arial" w:cs="Arial"/>
          <w:sz w:val="20"/>
        </w:rPr>
        <w:t xml:space="preserve">Låneportföljens genomsnittliga kapitalbindningstid var </w:t>
      </w:r>
      <w:r w:rsidR="00D1335D">
        <w:rPr>
          <w:rFonts w:ascii="Arial" w:hAnsi="Arial" w:cs="Arial"/>
          <w:sz w:val="20"/>
        </w:rPr>
        <w:t>20,</w:t>
      </w:r>
      <w:r w:rsidR="00867641">
        <w:rPr>
          <w:rFonts w:ascii="Arial" w:hAnsi="Arial" w:cs="Arial"/>
          <w:sz w:val="20"/>
        </w:rPr>
        <w:t>8</w:t>
      </w:r>
      <w:r w:rsidRPr="005D2DA8">
        <w:rPr>
          <w:rFonts w:ascii="Arial" w:hAnsi="Arial" w:cs="Arial"/>
          <w:sz w:val="20"/>
        </w:rPr>
        <w:t xml:space="preserve"> månader och den genomsnittliga räntebindningstiden var </w:t>
      </w:r>
      <w:r w:rsidR="00867641">
        <w:rPr>
          <w:rFonts w:ascii="Arial" w:hAnsi="Arial" w:cs="Arial"/>
          <w:sz w:val="20"/>
        </w:rPr>
        <w:t>9</w:t>
      </w:r>
      <w:r w:rsidR="00DE1CA6" w:rsidRPr="005D2DA8">
        <w:rPr>
          <w:rFonts w:ascii="Arial" w:hAnsi="Arial" w:cs="Arial"/>
          <w:sz w:val="20"/>
        </w:rPr>
        <w:t>,</w:t>
      </w:r>
      <w:r w:rsidR="00867641">
        <w:rPr>
          <w:rFonts w:ascii="Arial" w:hAnsi="Arial" w:cs="Arial"/>
          <w:sz w:val="20"/>
        </w:rPr>
        <w:t>45</w:t>
      </w:r>
      <w:r w:rsidR="007F1A1B" w:rsidRPr="005D2DA8">
        <w:rPr>
          <w:rFonts w:ascii="Arial" w:hAnsi="Arial" w:cs="Arial"/>
          <w:sz w:val="20"/>
        </w:rPr>
        <w:t xml:space="preserve"> månader</w:t>
      </w:r>
      <w:r w:rsidR="00D1335D">
        <w:rPr>
          <w:rFonts w:ascii="Arial" w:hAnsi="Arial" w:cs="Arial"/>
          <w:sz w:val="20"/>
        </w:rPr>
        <w:t>.</w:t>
      </w:r>
      <w:r w:rsidRPr="005D2DA8">
        <w:rPr>
          <w:rFonts w:ascii="Arial" w:hAnsi="Arial" w:cs="Arial"/>
          <w:sz w:val="20"/>
        </w:rPr>
        <w:t xml:space="preserve"> </w:t>
      </w:r>
    </w:p>
    <w:p w14:paraId="5BEFBC79" w14:textId="2BE61264" w:rsidR="00D65831" w:rsidRDefault="00CD0C56" w:rsidP="00A77144">
      <w:pPr>
        <w:pStyle w:val="Ingetavstnd"/>
        <w:rPr>
          <w:rFonts w:ascii="Arial" w:hAnsi="Arial" w:cs="Arial"/>
          <w:b/>
          <w:sz w:val="20"/>
        </w:rPr>
      </w:pPr>
      <w:r w:rsidRPr="00604F73">
        <w:br w:type="page"/>
      </w:r>
      <w:r w:rsidR="005D58F7" w:rsidRPr="00604F73">
        <w:rPr>
          <w:rFonts w:ascii="Arial" w:hAnsi="Arial" w:cs="Arial"/>
          <w:b/>
          <w:sz w:val="20"/>
        </w:rPr>
        <w:lastRenderedPageBreak/>
        <w:t>RESULTATRÄKNING I SAMMANDRAG FÖR KONCERNEN</w:t>
      </w:r>
    </w:p>
    <w:p w14:paraId="345C463F" w14:textId="77777777" w:rsidR="00081724" w:rsidRPr="00604F73" w:rsidRDefault="00081724" w:rsidP="00A77144">
      <w:pPr>
        <w:pStyle w:val="Ingetavstnd"/>
        <w:rPr>
          <w:rFonts w:eastAsiaTheme="minorHAnsi"/>
          <w:lang w:eastAsia="en-US"/>
        </w:rPr>
      </w:pPr>
    </w:p>
    <w:tbl>
      <w:tblPr>
        <w:tblW w:w="89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0"/>
        <w:gridCol w:w="1121"/>
        <w:gridCol w:w="1121"/>
        <w:gridCol w:w="1121"/>
        <w:gridCol w:w="957"/>
        <w:gridCol w:w="1121"/>
      </w:tblGrid>
      <w:tr w:rsidR="00081724" w:rsidRPr="00081724" w14:paraId="4EE47B9F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B14D3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A3B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8A4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A7F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A6F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6C6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2018</w:t>
            </w:r>
          </w:p>
        </w:tc>
      </w:tr>
      <w:tr w:rsidR="00081724" w:rsidRPr="00081724" w14:paraId="4D0E74FC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5D6D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TSEK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F032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jan - juni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809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jan - juni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CCD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apr - juni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1F7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apr - juni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A78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jan - dec</w:t>
            </w:r>
          </w:p>
        </w:tc>
      </w:tr>
      <w:tr w:rsidR="00081724" w:rsidRPr="00081724" w14:paraId="3C474C16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ABA3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5D10E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C519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34711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A421A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69AA4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39C02B08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BEE9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Nettoomsättning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BF1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111 414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DC6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120 619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34D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58 904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7F9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65 442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890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235 536</w:t>
            </w:r>
          </w:p>
        </w:tc>
      </w:tr>
      <w:tr w:rsidR="00081724" w:rsidRPr="00081724" w14:paraId="2ABD612C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F9DD0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Övriga intäkter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5E81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792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889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372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E40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9C3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1 388</w:t>
            </w:r>
          </w:p>
        </w:tc>
      </w:tr>
      <w:tr w:rsidR="00081724" w:rsidRPr="00081724" w14:paraId="51B6F80A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916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F92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111 789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0882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121 730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E0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59 276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4E0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66 490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EBF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236 924</w:t>
            </w:r>
          </w:p>
        </w:tc>
      </w:tr>
      <w:tr w:rsidR="00081724" w:rsidRPr="00081724" w14:paraId="0BDFE104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7B3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AFD1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BFA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B552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FF7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D7F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75A4676E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0D3A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Fastighetskostnader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3B7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-27 426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41E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-30 815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26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-13 788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303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-13 824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6E3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-66 497</w:t>
            </w:r>
          </w:p>
        </w:tc>
      </w:tr>
      <w:tr w:rsidR="00081724" w:rsidRPr="00081724" w14:paraId="5E908DC6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E84A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Personalkostnader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62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-16 445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02F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-15 526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166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-8 336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ECB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-7 508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1CD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-31 586</w:t>
            </w:r>
          </w:p>
        </w:tc>
      </w:tr>
      <w:tr w:rsidR="00081724" w:rsidRPr="00081724" w14:paraId="39D81203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AF2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Övriga externa kostnader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C3D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-29 815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AE2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-40 512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E34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-13 720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287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-22 796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BCF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-98 943</w:t>
            </w:r>
          </w:p>
        </w:tc>
      </w:tr>
      <w:tr w:rsidR="00081724" w:rsidRPr="00081724" w14:paraId="521F6C48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DA3A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Avskrivningar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B47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-1 501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36E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-1 394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27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-784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98D3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-720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373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-2 780</w:t>
            </w:r>
          </w:p>
        </w:tc>
      </w:tr>
      <w:tr w:rsidR="00081724" w:rsidRPr="00081724" w14:paraId="3DAE76B5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F98C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Resultat från andelar i joint </w:t>
            </w:r>
            <w:proofErr w:type="spellStart"/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ventures</w:t>
            </w:r>
            <w:proofErr w:type="spellEnd"/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3F36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BBCD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A8BA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A7C8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970C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69535C3E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E54D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&amp; intresseföretag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BC3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-32 014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BD3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-44 807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86A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-6 797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6E6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15 413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E07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12 422</w:t>
            </w:r>
          </w:p>
        </w:tc>
      </w:tr>
      <w:tr w:rsidR="00081724" w:rsidRPr="00081724" w14:paraId="068D76D7" w14:textId="77777777" w:rsidTr="00081724">
        <w:trPr>
          <w:trHeight w:val="341"/>
        </w:trPr>
        <w:tc>
          <w:tcPr>
            <w:tcW w:w="35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215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974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-107 199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B1B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-133 053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B0A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-43 425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29A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-29 435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830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-187 384</w:t>
            </w:r>
          </w:p>
        </w:tc>
      </w:tr>
      <w:tr w:rsidR="00081724" w:rsidRPr="00081724" w14:paraId="2FA54CA8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BAE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3416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F65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A3A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FA8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600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7307FF2A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8785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Rörelseresultat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E5E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4 590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16F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-11 324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27D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15 851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57F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37 055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6CC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49 540</w:t>
            </w:r>
          </w:p>
        </w:tc>
      </w:tr>
      <w:tr w:rsidR="00081724" w:rsidRPr="00081724" w14:paraId="19A636E5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D07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2A58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12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2CB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43A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AD0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1E6C0341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B627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Finansnetto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AA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-100 127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0FB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-108 591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75A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-52 309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A53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-65 908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214F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-239 296</w:t>
            </w:r>
          </w:p>
        </w:tc>
      </w:tr>
      <w:tr w:rsidR="00081724" w:rsidRPr="00081724" w14:paraId="25CAF2AA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AA2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9130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962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684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737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A09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14CFA71A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1881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Resultat efter finansiella poster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084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-95 537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1F3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-119 914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C31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-36 457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21D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-28 853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492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-189 756</w:t>
            </w:r>
          </w:p>
        </w:tc>
      </w:tr>
      <w:tr w:rsidR="00081724" w:rsidRPr="00081724" w14:paraId="7E24AAE6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57E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03E1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8E0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753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BFC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3EB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21373A06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3124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Värdeförändring förvaltningsfastigheter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138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-17 244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3AD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100 002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983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-19 358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03D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101 717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663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315 770</w:t>
            </w:r>
          </w:p>
        </w:tc>
      </w:tr>
      <w:tr w:rsidR="00081724" w:rsidRPr="00081724" w14:paraId="388458A1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B1F3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Värdeförändring finansiella instrument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92D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A1A9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B26E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0B5D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D33A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</w:tr>
      <w:tr w:rsidR="00081724" w:rsidRPr="00081724" w14:paraId="22C93BC6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7CD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Resultat före skatt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BFF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-112 781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678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-19 893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AF7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-55 815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20A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72 881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77E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126 035</w:t>
            </w:r>
          </w:p>
        </w:tc>
      </w:tr>
      <w:tr w:rsidR="00081724" w:rsidRPr="00081724" w14:paraId="486ECB2C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DB8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46D3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C76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571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1E32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280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4E79A701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3D69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Skatt på periodens resultat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CA9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-2 850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272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-21 939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A9DD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45D2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-19 165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6E8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-64 734</w:t>
            </w:r>
          </w:p>
        </w:tc>
      </w:tr>
      <w:tr w:rsidR="00081724" w:rsidRPr="00081724" w14:paraId="3DAF6573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89E2B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89210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863B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6B05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79DF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32A6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</w:tr>
      <w:tr w:rsidR="00081724" w:rsidRPr="00081724" w14:paraId="4B89F7E5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BC0E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Periodens resultat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1F4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-115 631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D25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-41 832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6018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-55 676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68A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53 716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0379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61 301</w:t>
            </w:r>
          </w:p>
        </w:tc>
      </w:tr>
      <w:tr w:rsidR="00081724" w:rsidRPr="00081724" w14:paraId="4713AAFC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FC3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7AAE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67F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20D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5F4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177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33FC5F77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36A53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sv-SE"/>
              </w:rPr>
              <w:t>Övrigt totalresultat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2D7C2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254 317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BECA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50 714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22E2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121 000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D76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49 179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1FF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107 759</w:t>
            </w:r>
          </w:p>
        </w:tc>
      </w:tr>
      <w:tr w:rsidR="00081724" w:rsidRPr="00081724" w14:paraId="32D2977B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2C4C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Summa totalresultat för perioden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58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138 685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4D8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8 882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063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65 325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0FD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102 895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B813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169 060</w:t>
            </w:r>
          </w:p>
        </w:tc>
      </w:tr>
      <w:tr w:rsidR="00081724" w:rsidRPr="00081724" w14:paraId="236F05EC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16B5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1378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A3C8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0A8B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5D00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8F0E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1D0DCA10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EFB2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  <w:t>Hänförligt till: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26C03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7BBE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FAE5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F8FC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B48F" w14:textId="77777777" w:rsidR="00081724" w:rsidRPr="00081724" w:rsidRDefault="00081724" w:rsidP="00081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81724" w:rsidRPr="00081724" w14:paraId="22E44011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81E2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Moderföretagets aktieägare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8C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138 090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625B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2 237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05E4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65 969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C49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99 405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7047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189 210</w:t>
            </w:r>
          </w:p>
        </w:tc>
      </w:tr>
      <w:tr w:rsidR="00081724" w:rsidRPr="00081724" w14:paraId="04CD14DB" w14:textId="77777777" w:rsidTr="00081724">
        <w:trPr>
          <w:trHeight w:val="358"/>
        </w:trPr>
        <w:tc>
          <w:tcPr>
            <w:tcW w:w="3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91B6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sv-SE"/>
              </w:rPr>
              <w:t>Innehav utan bestämmande inflytande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4BC2C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595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C1A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6 645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B2B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-644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D76F6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3 489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9C311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-20 150</w:t>
            </w:r>
          </w:p>
        </w:tc>
      </w:tr>
      <w:tr w:rsidR="00081724" w:rsidRPr="00081724" w14:paraId="11C85C07" w14:textId="77777777" w:rsidTr="00081724">
        <w:trPr>
          <w:trHeight w:val="341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D971" w14:textId="77777777" w:rsidR="00081724" w:rsidRPr="00081724" w:rsidRDefault="00081724" w:rsidP="00081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Summa totalresultat för perioden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B39E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138 685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9FF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8 882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CD2F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65 325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4BD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102 895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EADA" w14:textId="77777777" w:rsidR="00081724" w:rsidRPr="00081724" w:rsidRDefault="00081724" w:rsidP="00081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0817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169 060</w:t>
            </w:r>
          </w:p>
        </w:tc>
      </w:tr>
    </w:tbl>
    <w:p w14:paraId="31669FB5" w14:textId="77777777" w:rsidR="0030284C" w:rsidRDefault="0030284C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</w:p>
    <w:p w14:paraId="10E1FEAC" w14:textId="77777777" w:rsidR="009173F3" w:rsidRDefault="009173F3" w:rsidP="009173F3">
      <w:pPr>
        <w:rPr>
          <w:rFonts w:ascii="Arial" w:hAnsi="Arial" w:cs="Arial"/>
          <w:b/>
          <w:color w:val="FF8200"/>
          <w:sz w:val="20"/>
        </w:rPr>
      </w:pPr>
    </w:p>
    <w:p w14:paraId="3A5F1538" w14:textId="6B40559A" w:rsidR="0030284C" w:rsidRDefault="00081724" w:rsidP="0001493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30284C" w:rsidRPr="00604F73">
        <w:rPr>
          <w:rFonts w:ascii="Arial" w:hAnsi="Arial" w:cs="Arial"/>
          <w:b/>
          <w:sz w:val="20"/>
        </w:rPr>
        <w:lastRenderedPageBreak/>
        <w:t>BALANSRÄKNING I SAMMANDRAG FÖR KONCERNEN</w:t>
      </w:r>
    </w:p>
    <w:tbl>
      <w:tblPr>
        <w:tblpPr w:leftFromText="141" w:rightFromText="141" w:vertAnchor="text" w:horzAnchor="margin" w:tblpY="47"/>
        <w:tblW w:w="10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989"/>
        <w:gridCol w:w="196"/>
        <w:gridCol w:w="2077"/>
        <w:gridCol w:w="1275"/>
        <w:gridCol w:w="1275"/>
      </w:tblGrid>
      <w:tr w:rsidR="00157CFC" w:rsidRPr="0001493B" w14:paraId="46ADF32D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4FB4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TSEK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08DCC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AA0C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472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2019-06-30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973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2018-06-30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9A2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2018-12-31</w:t>
            </w:r>
          </w:p>
        </w:tc>
      </w:tr>
      <w:tr w:rsidR="00157CFC" w:rsidRPr="0001493B" w14:paraId="655E1D0B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E39C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9E7B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AA11D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39381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E77A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13FE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3663E2CC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26CE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Materiella anläggningstillgångar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97AF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5EF2A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4E8E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7230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6D5C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0CE669EC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8C18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Förvaltningsfastigheter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425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D0AB4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620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4 795 546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E4B3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4 997 771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432F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4 253 779</w:t>
            </w:r>
          </w:p>
        </w:tc>
      </w:tr>
      <w:tr w:rsidR="00157CFC" w:rsidRPr="0001493B" w14:paraId="66FDCC8A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A4258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Tomträtt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0325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7FD90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3B8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153 252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9490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A23D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</w:tr>
      <w:tr w:rsidR="00157CFC" w:rsidRPr="0001493B" w14:paraId="6BB4C390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B761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Materiella anläggningstillgångar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D7A2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4210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1BF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14 125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408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16 366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E4F4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15 577</w:t>
            </w:r>
          </w:p>
        </w:tc>
      </w:tr>
      <w:tr w:rsidR="00157CFC" w:rsidRPr="0001493B" w14:paraId="513409CE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6AEB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Förskott materiella anläggningstillgångar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79BD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FC43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95D7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6 000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C6B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7 125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2E5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</w:tr>
      <w:tr w:rsidR="00157CFC" w:rsidRPr="0001493B" w14:paraId="25390C2C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1401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140FB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B620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5B46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4 968 923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B7E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5 021 262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BC4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4 269 356</w:t>
            </w:r>
          </w:p>
        </w:tc>
      </w:tr>
      <w:tr w:rsidR="00157CFC" w:rsidRPr="0001493B" w14:paraId="0F31896A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AAAF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Finansiella anläggningstillgångar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4C5FB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BEFD3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29A1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ACE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6E23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222F637B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5FC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Andelar i joint </w:t>
            </w:r>
            <w:proofErr w:type="spellStart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ventures</w:t>
            </w:r>
            <w:proofErr w:type="spellEnd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&amp; intresseföretag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43EF1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F81E4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AF3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847 867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DA5D5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1 493 755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9AB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889 808</w:t>
            </w:r>
          </w:p>
        </w:tc>
      </w:tr>
      <w:tr w:rsidR="00157CFC" w:rsidRPr="0001493B" w14:paraId="68762DD6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828F9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koncernföretag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8904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DA00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DC2F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970 214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DB0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883 242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C813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959 395</w:t>
            </w:r>
          </w:p>
        </w:tc>
      </w:tr>
      <w:tr w:rsidR="00157CFC" w:rsidRPr="0001493B" w14:paraId="2B7A8171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B8C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Fordringar hos joint </w:t>
            </w:r>
            <w:proofErr w:type="spellStart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ventures</w:t>
            </w:r>
            <w:proofErr w:type="spellEnd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&amp; intresseföretag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968E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7E01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1E3F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460 688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2CE4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235 092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11E7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392 809</w:t>
            </w:r>
          </w:p>
        </w:tc>
      </w:tr>
      <w:tr w:rsidR="00157CFC" w:rsidRPr="0001493B" w14:paraId="57F3FC1A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8719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Andra långfristiga värdepappersinnehav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F82A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41FD4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5D5B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763 153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4B52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391 077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8E8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453 941</w:t>
            </w:r>
          </w:p>
        </w:tc>
      </w:tr>
      <w:tr w:rsidR="00157CFC" w:rsidRPr="0001493B" w14:paraId="3C092897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B6596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Övriga långfristiga fordringar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F3CD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9BDD0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3B33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65 569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6ED0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18 439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FFBF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29 446</w:t>
            </w:r>
          </w:p>
        </w:tc>
      </w:tr>
      <w:tr w:rsidR="00157CFC" w:rsidRPr="0001493B" w14:paraId="61CC28AD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96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AC85F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CA31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800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3 107 491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DAE2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3 021 605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E2D4A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2 725 399</w:t>
            </w:r>
          </w:p>
        </w:tc>
      </w:tr>
      <w:tr w:rsidR="00157CFC" w:rsidRPr="0001493B" w14:paraId="19F16D7F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68E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29A59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80ACC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EC0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4CF8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A873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2E5D2CB9" w14:textId="77777777" w:rsidTr="00157CFC">
        <w:trPr>
          <w:trHeight w:val="308"/>
        </w:trPr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25CEE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Uppskjuten skattefordran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3EE5B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CBCF01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1512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34 420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3EFD5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B498F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30 987</w:t>
            </w:r>
          </w:p>
        </w:tc>
      </w:tr>
      <w:tr w:rsidR="00157CFC" w:rsidRPr="0001493B" w14:paraId="6497B60E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8BC0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anläggningstillgångar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16BA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B861C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49DE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8 110 834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FE4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8 044 001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2B8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7 025 742</w:t>
            </w:r>
          </w:p>
        </w:tc>
      </w:tr>
      <w:tr w:rsidR="00157CFC" w:rsidRPr="0001493B" w14:paraId="11F793EC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130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6A225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764E6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7DFC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E964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67B0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08D31F09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27510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Omsättningstillgångar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C6B9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16DDD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09C24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D74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9ECE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7EB2B6C0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5511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Kundfordringar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3AE0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58B13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40BA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42 789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0FDE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59 032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97B0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33 564</w:t>
            </w:r>
          </w:p>
        </w:tc>
      </w:tr>
      <w:tr w:rsidR="00157CFC" w:rsidRPr="0001493B" w14:paraId="7ED9AE4A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EEE5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koncernföretag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8681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AEF5B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D76D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5B90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90D8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724</w:t>
            </w:r>
          </w:p>
        </w:tc>
      </w:tr>
      <w:tr w:rsidR="00157CFC" w:rsidRPr="0001493B" w14:paraId="1BE5C7DB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4572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Fordringar hos joint </w:t>
            </w:r>
            <w:proofErr w:type="spellStart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ventures</w:t>
            </w:r>
            <w:proofErr w:type="spellEnd"/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&amp; intresseföretag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E3EF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002D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8700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806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122 337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C52C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5 979</w:t>
            </w:r>
          </w:p>
        </w:tc>
      </w:tr>
      <w:tr w:rsidR="00157CFC" w:rsidRPr="0001493B" w14:paraId="649F2795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F01B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Övriga fordringar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81A98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0A71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66F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125 129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053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87 691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4B9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104 372</w:t>
            </w:r>
          </w:p>
        </w:tc>
      </w:tr>
      <w:tr w:rsidR="00157CFC" w:rsidRPr="0001493B" w14:paraId="7A05E71B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6F99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Förutbetalda kostnader och upplupna intäkter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0CB5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06A93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55A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53 555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CA9A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72 225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605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58 495</w:t>
            </w:r>
          </w:p>
        </w:tc>
      </w:tr>
      <w:tr w:rsidR="00157CFC" w:rsidRPr="0001493B" w14:paraId="47441173" w14:textId="77777777" w:rsidTr="00157CFC">
        <w:trPr>
          <w:trHeight w:val="308"/>
        </w:trPr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00087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Likvida medel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10F7C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BFD1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9045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67 080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786527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D8A6B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257 636</w:t>
            </w:r>
          </w:p>
        </w:tc>
      </w:tr>
      <w:tr w:rsidR="00157CFC" w:rsidRPr="0001493B" w14:paraId="04764F6C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35E2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omsättningstillgångar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5CF0E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2F84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CB63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291 665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3EF6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450 326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3B2E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460 770</w:t>
            </w:r>
          </w:p>
        </w:tc>
      </w:tr>
      <w:tr w:rsidR="00157CFC" w:rsidRPr="0001493B" w14:paraId="12DDBE38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9170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5602A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6E301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7C99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CE40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50D4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6B22939B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EB8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5168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F771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6A322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3D9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FEB4D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157CFC" w:rsidRPr="0001493B" w14:paraId="5D54CAE9" w14:textId="77777777" w:rsidTr="00157CFC">
        <w:trPr>
          <w:trHeight w:val="293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88B6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SUMMA TILLGÅNGAR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7B12" w14:textId="77777777" w:rsidR="00157CFC" w:rsidRPr="0001493B" w:rsidRDefault="00157CFC" w:rsidP="00157C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29EB" w14:textId="77777777" w:rsidR="00157CFC" w:rsidRPr="0001493B" w:rsidRDefault="00157CFC" w:rsidP="0015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080C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8 402 499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6883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8 494 327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2D3F" w14:textId="77777777" w:rsidR="00157CFC" w:rsidRPr="0001493B" w:rsidRDefault="00157CFC" w:rsidP="00157C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014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7 486 512</w:t>
            </w:r>
          </w:p>
        </w:tc>
      </w:tr>
    </w:tbl>
    <w:p w14:paraId="43C9BF0C" w14:textId="77777777" w:rsidR="005C7C0E" w:rsidRPr="00604F73" w:rsidRDefault="005C7C0E" w:rsidP="00D65831">
      <w:pPr>
        <w:pStyle w:val="Ingetavstnd"/>
        <w:jc w:val="both"/>
        <w:rPr>
          <w:rFonts w:ascii="Arial" w:hAnsi="Arial" w:cs="Arial"/>
          <w:b/>
          <w:sz w:val="20"/>
        </w:rPr>
      </w:pPr>
    </w:p>
    <w:p w14:paraId="6CBDE4F3" w14:textId="77777777" w:rsidR="0030284C" w:rsidRDefault="0030284C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68929311" w14:textId="77777777" w:rsidR="0030284C" w:rsidRDefault="0030284C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  <w:r>
        <w:rPr>
          <w:rFonts w:ascii="Arial" w:hAnsi="Arial" w:cs="Arial"/>
          <w:b/>
          <w:color w:val="FF8200"/>
          <w:sz w:val="20"/>
        </w:rPr>
        <w:br w:type="page"/>
      </w:r>
    </w:p>
    <w:p w14:paraId="5A20F03B" w14:textId="77777777" w:rsidR="0030284C" w:rsidRPr="00604F73" w:rsidRDefault="0030284C" w:rsidP="0030284C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lastRenderedPageBreak/>
        <w:t>BALANSRÄKNING I SAMMANDRAG FÖR KONCERNEN</w:t>
      </w:r>
    </w:p>
    <w:p w14:paraId="3CACE758" w14:textId="77777777" w:rsidR="0030284C" w:rsidRDefault="0030284C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6607A16F" w14:textId="77777777" w:rsidR="0030284C" w:rsidRDefault="0030284C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575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8"/>
        <w:gridCol w:w="146"/>
        <w:gridCol w:w="146"/>
        <w:gridCol w:w="146"/>
        <w:gridCol w:w="146"/>
        <w:gridCol w:w="146"/>
      </w:tblGrid>
      <w:tr w:rsidR="005D2DA8" w:rsidRPr="005D2DA8" w14:paraId="0939F000" w14:textId="77777777" w:rsidTr="0001493B">
        <w:trPr>
          <w:trHeight w:val="284"/>
        </w:trPr>
        <w:tc>
          <w:tcPr>
            <w:tcW w:w="4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796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03"/>
              <w:gridCol w:w="1004"/>
              <w:gridCol w:w="982"/>
              <w:gridCol w:w="1169"/>
              <w:gridCol w:w="1169"/>
              <w:gridCol w:w="1169"/>
            </w:tblGrid>
            <w:tr w:rsidR="0001493B" w:rsidRPr="0001493B" w14:paraId="7CCA6472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B8E5E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TSEK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59C2CA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92855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1333A7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2019-06-30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B1529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2018-06-30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BABBFC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2018-12-31</w:t>
                  </w:r>
                </w:p>
              </w:tc>
            </w:tr>
            <w:tr w:rsidR="0001493B" w:rsidRPr="0001493B" w14:paraId="1D570AE2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7C689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EGET KAPITAL OCH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465F4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88356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75A2A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EEED9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1C8CE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6D998A89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494F2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Eget kapital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E56D9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0687D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6281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8D8E51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99929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7141C500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64A84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Aktiekapital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976A1A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CE52E5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4EE0C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2E88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E29AD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500</w:t>
                  </w:r>
                </w:p>
              </w:tc>
            </w:tr>
            <w:tr w:rsidR="0001493B" w:rsidRPr="0001493B" w14:paraId="17FB536E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2F88E4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Reserver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A337E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A508D6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1021D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373 418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ADC7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62 057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798BF6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119 102</w:t>
                  </w:r>
                </w:p>
              </w:tc>
            </w:tr>
            <w:tr w:rsidR="0001493B" w:rsidRPr="0001493B" w14:paraId="43BC2AEB" w14:textId="77777777" w:rsidTr="0001493B">
              <w:trPr>
                <w:trHeight w:val="301"/>
              </w:trPr>
              <w:tc>
                <w:tcPr>
                  <w:tcW w:w="43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BC6E91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Balanserade vinstmedel inkl. årets resultat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EA6EB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A64B9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AF4D1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3 033 106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CD4F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3 043 897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F26291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3 173 825</w:t>
                  </w:r>
                </w:p>
              </w:tc>
            </w:tr>
            <w:tr w:rsidR="0001493B" w:rsidRPr="0001493B" w14:paraId="75AECBB8" w14:textId="77777777" w:rsidTr="0001493B">
              <w:trPr>
                <w:trHeight w:val="286"/>
              </w:trPr>
              <w:tc>
                <w:tcPr>
                  <w:tcW w:w="5307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C755D6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Eget kapital hänförligt till moderbolagets aktieägare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34ABC4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E3A7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3 407 025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0502C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3 106 454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769B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3 293 427</w:t>
                  </w:r>
                </w:p>
              </w:tc>
            </w:tr>
            <w:tr w:rsidR="0001493B" w:rsidRPr="0001493B" w14:paraId="660582EC" w14:textId="77777777" w:rsidTr="0001493B">
              <w:trPr>
                <w:trHeight w:val="301"/>
              </w:trPr>
              <w:tc>
                <w:tcPr>
                  <w:tcW w:w="43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A4DE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Innehav utan bestämmande inflytande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1C4F24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15145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5B8FAA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84 232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5D93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169 650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1A5A4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84 440</w:t>
                  </w:r>
                </w:p>
              </w:tc>
            </w:tr>
            <w:tr w:rsidR="0001493B" w:rsidRPr="0001493B" w14:paraId="0C0117F2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7C759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Summa eget kapital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91F1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EA966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98366C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3 491 257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6C9AA2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3 276 104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752B0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3 377 867</w:t>
                  </w:r>
                </w:p>
              </w:tc>
            </w:tr>
            <w:tr w:rsidR="0001493B" w:rsidRPr="0001493B" w14:paraId="65E99A08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00555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D5B2F5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53F332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992F76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BE9DB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B5DCF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0FA5B519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C7239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Långfristiga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ADF76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FA160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2C912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C9EB0D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B0FB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1124BD33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1319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Räntebärande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7909F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0D9F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7D02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2 723 904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380FD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3 435 725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4E8D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2 606 958</w:t>
                  </w:r>
                </w:p>
              </w:tc>
            </w:tr>
            <w:tr w:rsidR="0001493B" w:rsidRPr="0001493B" w14:paraId="1FA92121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7AF92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Övriga långfristiga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B4829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03A52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E3235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15 671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CF31C6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5 627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B52DC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16 893</w:t>
                  </w:r>
                </w:p>
              </w:tc>
            </w:tr>
            <w:tr w:rsidR="0001493B" w:rsidRPr="0001493B" w14:paraId="32267A10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68A49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Finansiell leasing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7DFD4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6A8C3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93259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153 252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16612F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9B12A1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</w:t>
                  </w:r>
                </w:p>
              </w:tc>
            </w:tr>
            <w:tr w:rsidR="0001493B" w:rsidRPr="0001493B" w14:paraId="6BC3E80C" w14:textId="77777777" w:rsidTr="0001493B">
              <w:trPr>
                <w:trHeight w:val="301"/>
              </w:trPr>
              <w:tc>
                <w:tcPr>
                  <w:tcW w:w="43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258DE9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Uppskjuten skatteskuld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1CBC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B4857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70E1BA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359 884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90641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253 954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5C9B7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287 905</w:t>
                  </w:r>
                </w:p>
              </w:tc>
            </w:tr>
            <w:tr w:rsidR="0001493B" w:rsidRPr="0001493B" w14:paraId="5E9E3562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9FA1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Summa långfristiga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B87B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C3398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8297D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3 252 711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78B2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3 695 306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729A8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2 911 756</w:t>
                  </w:r>
                </w:p>
              </w:tc>
            </w:tr>
            <w:tr w:rsidR="0001493B" w:rsidRPr="0001493B" w14:paraId="0A8A8E31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2C75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57480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72F72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807F5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A2F7B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05F4BC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57AD49DE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7DAE22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Kortfristiga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8DEC4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AE88E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C5A044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A20E97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16B86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16976225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7AC8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Räntebärande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A3947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823FCA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D5FD9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1 384 561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DDE65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1 295 607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F9BB6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973 597</w:t>
                  </w:r>
                </w:p>
              </w:tc>
            </w:tr>
            <w:tr w:rsidR="0001493B" w:rsidRPr="0001493B" w14:paraId="78EEC0D5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CE55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Finansiella derivat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7AB9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E063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211DA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39AC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1 607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E6BD0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-</w:t>
                  </w:r>
                </w:p>
              </w:tc>
            </w:tr>
            <w:tr w:rsidR="0001493B" w:rsidRPr="0001493B" w14:paraId="62985CE0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689EEA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Leverantörsskulder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A57AC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651E2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42BEE6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36 721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A23346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38 261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960DB3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33 538</w:t>
                  </w:r>
                </w:p>
              </w:tc>
            </w:tr>
            <w:tr w:rsidR="0001493B" w:rsidRPr="0001493B" w14:paraId="4586FBD8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2FD6D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Skulder till intresseföretag och koncernföretag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51CB4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F1109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6D6A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71 981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35EEC2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3 500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15486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22 524</w:t>
                  </w:r>
                </w:p>
              </w:tc>
            </w:tr>
            <w:tr w:rsidR="0001493B" w:rsidRPr="0001493B" w14:paraId="180C5B52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786D4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Skatteskulder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06090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95142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33085D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13 832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D4BCB7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11 231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5885A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6 816</w:t>
                  </w:r>
                </w:p>
              </w:tc>
            </w:tr>
            <w:tr w:rsidR="0001493B" w:rsidRPr="0001493B" w14:paraId="33A8B00E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1811B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Övriga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6D34F0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94944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0977B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39 523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43183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37 809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053401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39 218</w:t>
                  </w:r>
                </w:p>
              </w:tc>
            </w:tr>
            <w:tr w:rsidR="0001493B" w:rsidRPr="0001493B" w14:paraId="1098CF32" w14:textId="77777777" w:rsidTr="0001493B">
              <w:trPr>
                <w:trHeight w:val="301"/>
              </w:trPr>
              <w:tc>
                <w:tcPr>
                  <w:tcW w:w="43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6CA92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Upplupna kostnader och förutbetalda intäkter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4639C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24437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3E0055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111 913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9F8244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134 902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5525D2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  <w:t>121 196</w:t>
                  </w:r>
                </w:p>
              </w:tc>
            </w:tr>
            <w:tr w:rsidR="0001493B" w:rsidRPr="0001493B" w14:paraId="690B1EE1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5165D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Summa kortfristiga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BCB72E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CC43E3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0"/>
                      <w:szCs w:val="20"/>
                      <w:lang w:eastAsia="sv-SE"/>
                    </w:rPr>
                    <w:t> 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55560C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1 658 531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D2EA7D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1 522 918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7ABF55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  <w:t>1 196 889</w:t>
                  </w:r>
                </w:p>
              </w:tc>
            </w:tr>
            <w:tr w:rsidR="0001493B" w:rsidRPr="0001493B" w14:paraId="1BA68BCB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C9971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877FF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B45AAA8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B0CD36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BD9D2E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43E49F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57EB3294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4DB107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8D41EB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26AF2F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B7D9C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E93D9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6AE54B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01493B" w:rsidRPr="0001493B" w14:paraId="232AB305" w14:textId="77777777" w:rsidTr="0001493B">
              <w:trPr>
                <w:trHeight w:val="286"/>
              </w:trPr>
              <w:tc>
                <w:tcPr>
                  <w:tcW w:w="4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004AC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  <w:t>SUMMA EGET KAPITAL OCH SKULDER</w:t>
                  </w:r>
                </w:p>
              </w:tc>
              <w:tc>
                <w:tcPr>
                  <w:tcW w:w="1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1AD87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AE9FD" w14:textId="77777777" w:rsidR="0001493B" w:rsidRPr="0001493B" w:rsidRDefault="0001493B" w:rsidP="000149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DF4F80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8 402 499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F9AB01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8 494 327</w:t>
                  </w:r>
                </w:p>
              </w:tc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222678" w14:textId="77777777" w:rsidR="0001493B" w:rsidRPr="0001493B" w:rsidRDefault="0001493B" w:rsidP="0001493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</w:pPr>
                  <w:r w:rsidRPr="0001493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sv-SE"/>
                    </w:rPr>
                    <w:t>7 486 512</w:t>
                  </w:r>
                </w:p>
              </w:tc>
            </w:tr>
          </w:tbl>
          <w:p w14:paraId="4DC90693" w14:textId="7DE2D5F6" w:rsidR="005D2DA8" w:rsidRPr="005C7C0E" w:rsidRDefault="005D2DA8" w:rsidP="005D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1AC8" w14:textId="77777777" w:rsidR="005D2DA8" w:rsidRPr="005D2DA8" w:rsidRDefault="005D2DA8" w:rsidP="005D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63B48" w14:textId="77777777" w:rsidR="005D2DA8" w:rsidRPr="005D2DA8" w:rsidRDefault="005D2DA8" w:rsidP="005D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CFDB8" w14:textId="57AC0904" w:rsidR="005D2DA8" w:rsidRPr="005D2DA8" w:rsidRDefault="005D2DA8" w:rsidP="005D2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E3709" w14:textId="5B5B467D" w:rsidR="005D2DA8" w:rsidRPr="005D2DA8" w:rsidRDefault="005D2DA8" w:rsidP="005D2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4125" w14:textId="1B385681" w:rsidR="005D2DA8" w:rsidRPr="005D2DA8" w:rsidRDefault="005D2DA8" w:rsidP="005D2D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5D2DA8" w:rsidRPr="005D2DA8" w14:paraId="11BC2DF8" w14:textId="77777777" w:rsidTr="0001493B">
        <w:trPr>
          <w:trHeight w:val="284"/>
        </w:trPr>
        <w:tc>
          <w:tcPr>
            <w:tcW w:w="4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F563" w14:textId="023733B6" w:rsidR="005D2DA8" w:rsidRPr="005D2DA8" w:rsidRDefault="005D2DA8" w:rsidP="005D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A9215" w14:textId="77777777" w:rsidR="005D2DA8" w:rsidRPr="005D2DA8" w:rsidRDefault="005D2DA8" w:rsidP="005D2D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31587" w14:textId="77777777" w:rsidR="005D2DA8" w:rsidRPr="005D2DA8" w:rsidRDefault="005D2DA8" w:rsidP="005D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4DDD71" w14:textId="77777777" w:rsidR="005D2DA8" w:rsidRPr="005D2DA8" w:rsidRDefault="005D2DA8" w:rsidP="005D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52C90" w14:textId="77777777" w:rsidR="005D2DA8" w:rsidRPr="005D2DA8" w:rsidRDefault="005D2DA8" w:rsidP="005D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B7B75" w14:textId="77777777" w:rsidR="005D2DA8" w:rsidRPr="005D2DA8" w:rsidRDefault="005D2DA8" w:rsidP="005D2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</w:tbl>
    <w:p w14:paraId="5F4533A1" w14:textId="77777777" w:rsidR="0030284C" w:rsidRDefault="0030284C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7CDA982D" w14:textId="77777777" w:rsidR="007D6C46" w:rsidRDefault="007D6C46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  <w:r>
        <w:rPr>
          <w:rFonts w:ascii="Arial" w:hAnsi="Arial" w:cs="Arial"/>
          <w:b/>
          <w:color w:val="FF8200"/>
          <w:sz w:val="20"/>
        </w:rPr>
        <w:br w:type="page"/>
      </w:r>
    </w:p>
    <w:p w14:paraId="690CFDBE" w14:textId="529EDB02" w:rsidR="0030284C" w:rsidRDefault="0030284C" w:rsidP="00D65831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lastRenderedPageBreak/>
        <w:t>RAPPORT ÖVER FÖRÄNDRINGAR I EGET KAPITAL I SAMMANDRAG FÖR KONCERNEN</w:t>
      </w:r>
    </w:p>
    <w:p w14:paraId="3344B006" w14:textId="77777777" w:rsidR="00A94D58" w:rsidRPr="00604F73" w:rsidRDefault="00A94D58" w:rsidP="00D65831">
      <w:pPr>
        <w:pStyle w:val="Ingetavstnd"/>
        <w:jc w:val="both"/>
        <w:rPr>
          <w:rFonts w:ascii="Arial" w:hAnsi="Arial" w:cs="Arial"/>
          <w:b/>
          <w:sz w:val="20"/>
        </w:rPr>
      </w:pPr>
    </w:p>
    <w:p w14:paraId="326F448E" w14:textId="77777777" w:rsidR="00953442" w:rsidRDefault="00953442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5084" w:type="pct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926"/>
        <w:gridCol w:w="805"/>
        <w:gridCol w:w="973"/>
        <w:gridCol w:w="956"/>
        <w:gridCol w:w="1082"/>
        <w:gridCol w:w="975"/>
      </w:tblGrid>
      <w:tr w:rsidR="00A94D58" w:rsidRPr="00A94D58" w14:paraId="1E229C57" w14:textId="77777777" w:rsidTr="00A94D58">
        <w:trPr>
          <w:trHeight w:val="1077"/>
        </w:trPr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1F42F9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TSEK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59509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Aktiekapital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751CFF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Reserver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E65DBF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Balanserade vinstmedel inklusive årets resultat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A72CA5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Eget kapital hänförligt till moder-företagets aktieägare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68A1F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Innehavare utan bestämmande inflytande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1B3DE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Totalt eget kapital hänförligt till företagets ägare</w:t>
            </w:r>
          </w:p>
        </w:tc>
      </w:tr>
      <w:tr w:rsidR="00A94D58" w:rsidRPr="00A94D58" w14:paraId="5D7E986F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6BC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Ingående eget kapital per 2018-01-01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97A5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36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11 343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F84F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3 122 374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D521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3 134 216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121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159 780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60D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3 293 997</w:t>
            </w:r>
          </w:p>
        </w:tc>
      </w:tr>
      <w:tr w:rsidR="00A94D58" w:rsidRPr="00A94D58" w14:paraId="632500AC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AC339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Periodens 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46F0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27DF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892E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-48 477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643B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-48 477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FFF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6 645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0949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-41 832</w:t>
            </w:r>
          </w:p>
        </w:tc>
      </w:tr>
      <w:tr w:rsidR="00A94D58" w:rsidRPr="00A94D58" w14:paraId="612B1CE8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7A772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Övrigt totalresultat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7589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D00A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50 714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F87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838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50 714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29F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6F0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50 714</w:t>
            </w:r>
          </w:p>
        </w:tc>
      </w:tr>
      <w:tr w:rsidR="00A94D58" w:rsidRPr="00A94D58" w14:paraId="2D237FE7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E76B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Utdelning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C65F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DD7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E57E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-30 000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BC5B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-30 000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E7F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DBB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-30 000</w:t>
            </w:r>
          </w:p>
        </w:tc>
      </w:tr>
      <w:tr w:rsidR="00A94D58" w:rsidRPr="00A94D58" w14:paraId="2763CB79" w14:textId="77777777" w:rsidTr="00A94D58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E8FE4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Förändring vid avyttring respektive förvärv med innehav utan bestämmande inflytande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08E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4F0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A63F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AB89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7CD2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3 225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6EEC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3 225</w:t>
            </w:r>
          </w:p>
        </w:tc>
      </w:tr>
      <w:tr w:rsidR="00A94D58" w:rsidRPr="00A94D58" w14:paraId="681E9AE6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9FBF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Utgående eget kapital per 2018-06-30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447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808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62 057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286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3 043 897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2F0A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3 106 453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5AA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169 650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0E6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3 276 104</w:t>
            </w:r>
          </w:p>
        </w:tc>
      </w:tr>
      <w:tr w:rsidR="00A94D58" w:rsidRPr="00A94D58" w14:paraId="2EB726E9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51B4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Periodens 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52AA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095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2B2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129 928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108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129 928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C0D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-26 795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E1FA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103 133</w:t>
            </w:r>
          </w:p>
        </w:tc>
      </w:tr>
      <w:tr w:rsidR="00A94D58" w:rsidRPr="00A94D58" w14:paraId="0BBC7595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927C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Övrigt totalresultat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70B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1C3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57 045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F80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C9F0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57 045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A1C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165A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57 045</w:t>
            </w:r>
          </w:p>
        </w:tc>
      </w:tr>
      <w:tr w:rsidR="00A94D58" w:rsidRPr="00A94D58" w14:paraId="297E233F" w14:textId="77777777" w:rsidTr="00A94D58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7846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Förändring vid avyttring respektive förvärv med innehav utan bestämmande inflytande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F7B39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713B1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B734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159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29DB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-58 414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A46E1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-58 414</w:t>
            </w:r>
          </w:p>
        </w:tc>
      </w:tr>
      <w:tr w:rsidR="00A94D58" w:rsidRPr="00A94D58" w14:paraId="342C5545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AE4F4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Ingående eget kapital per 2019-01-01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3FE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63E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119 102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465F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3 173 826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7FDB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3 293 426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CA20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84 441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1819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3 377 867</w:t>
            </w:r>
          </w:p>
        </w:tc>
      </w:tr>
      <w:tr w:rsidR="00A94D58" w:rsidRPr="00A94D58" w14:paraId="6DD6D80F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F7E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Periodens 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4FD3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5BF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1EE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-116 226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17E2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-116 226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EBE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595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DC9B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-115 631</w:t>
            </w:r>
          </w:p>
        </w:tc>
      </w:tr>
      <w:tr w:rsidR="00A94D58" w:rsidRPr="00A94D58" w14:paraId="25D4BED8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A8AA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Övrigt totalresultat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6D4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2FBB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254 317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0B3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7D8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254 317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1090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357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254 317</w:t>
            </w:r>
          </w:p>
        </w:tc>
      </w:tr>
      <w:tr w:rsidR="00A94D58" w:rsidRPr="00A94D58" w14:paraId="015D2E93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292D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Utdelning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92D8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26BC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AD1F6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-24 500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B823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-24 500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F48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A267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-24 500</w:t>
            </w:r>
          </w:p>
        </w:tc>
      </w:tr>
      <w:tr w:rsidR="00A94D58" w:rsidRPr="00A94D58" w14:paraId="21BEC5D8" w14:textId="77777777" w:rsidTr="00A94D58">
        <w:trPr>
          <w:trHeight w:val="390"/>
        </w:trPr>
        <w:tc>
          <w:tcPr>
            <w:tcW w:w="1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07944" w14:textId="77777777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Förändring vid avyttring respektive förvärv med innehav utan bestämmande inflytande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2AE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A9D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FFAC9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E9E1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D360E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-803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F7E58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-795</w:t>
            </w:r>
          </w:p>
        </w:tc>
      </w:tr>
      <w:tr w:rsidR="00A94D58" w:rsidRPr="00A94D58" w14:paraId="54B971BC" w14:textId="77777777" w:rsidTr="00A94D58">
        <w:trPr>
          <w:trHeight w:val="312"/>
        </w:trPr>
        <w:tc>
          <w:tcPr>
            <w:tcW w:w="1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BB13" w14:textId="3ECF73FB" w:rsidR="00A94D58" w:rsidRPr="00A94D58" w:rsidRDefault="00A94D58" w:rsidP="00A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Utgående eget kapital per 201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9</w:t>
            </w: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-06-30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85F0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500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57AD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373 418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5BB1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3 033 107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78F4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3 407 025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18CE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84 232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93E5" w14:textId="77777777" w:rsidR="00A94D58" w:rsidRPr="00A94D58" w:rsidRDefault="00A94D58" w:rsidP="00A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</w:pPr>
            <w:r w:rsidRPr="00A94D5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sv-SE"/>
              </w:rPr>
              <w:t>3 491 257</w:t>
            </w:r>
          </w:p>
        </w:tc>
      </w:tr>
    </w:tbl>
    <w:p w14:paraId="2FE6FE98" w14:textId="77777777" w:rsidR="0030284C" w:rsidRDefault="0030284C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4BC1E230" w14:textId="77777777" w:rsidR="00036843" w:rsidRDefault="00036843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680F2486" w14:textId="77777777" w:rsidR="00F4232D" w:rsidRDefault="00F4232D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1C7719B7" w14:textId="77777777" w:rsidR="00346D80" w:rsidRPr="00604F73" w:rsidRDefault="00036843" w:rsidP="00346D80">
      <w:pPr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i/>
          <w:sz w:val="14"/>
        </w:rPr>
        <w:br w:type="page"/>
      </w:r>
      <w:r w:rsidR="00346D80" w:rsidRPr="00604F73">
        <w:rPr>
          <w:rFonts w:ascii="Arial" w:hAnsi="Arial" w:cs="Arial"/>
          <w:b/>
          <w:sz w:val="20"/>
        </w:rPr>
        <w:lastRenderedPageBreak/>
        <w:t xml:space="preserve">RAPPORT ÖVER KASSAFLÖDE I SAMMANDRAG FÖR KONCERNEN </w:t>
      </w:r>
    </w:p>
    <w:tbl>
      <w:tblPr>
        <w:tblW w:w="9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960"/>
        <w:gridCol w:w="1120"/>
        <w:gridCol w:w="1120"/>
        <w:gridCol w:w="1120"/>
      </w:tblGrid>
      <w:tr w:rsidR="00074DA7" w:rsidRPr="00074DA7" w14:paraId="66C8C15A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CF2D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BDDA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192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4E50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EF7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2018</w:t>
            </w:r>
          </w:p>
        </w:tc>
      </w:tr>
      <w:tr w:rsidR="00074DA7" w:rsidRPr="00074DA7" w14:paraId="460ECEBE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8AD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TSEK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11839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B0C7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jan - juni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F45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jan - juni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644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jan - dec</w:t>
            </w:r>
          </w:p>
        </w:tc>
      </w:tr>
      <w:tr w:rsidR="00074DA7" w:rsidRPr="00074DA7" w14:paraId="3C7A5D47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1C2A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Kassaflöde från den löpande 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3DD7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03EFF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609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FD4F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6AADEE96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3A32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Rörelseresultat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A5BFE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F23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4 590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2B1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-11 324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7FB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49 540</w:t>
            </w:r>
          </w:p>
        </w:tc>
      </w:tr>
      <w:tr w:rsidR="00074DA7" w:rsidRPr="00074DA7" w14:paraId="31CF482F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44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Realiserad värdeförändring derivat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B3F59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A2E1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6426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-3 792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D54E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-5 397</w:t>
            </w:r>
          </w:p>
        </w:tc>
      </w:tr>
      <w:tr w:rsidR="00074DA7" w:rsidRPr="00074DA7" w14:paraId="035B2BF2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0F3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Justeringar för poster som inte ingår i kassaflödet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25AA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454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33 542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E25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46 193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27E1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-9 599</w:t>
            </w:r>
          </w:p>
        </w:tc>
      </w:tr>
      <w:tr w:rsidR="00074DA7" w:rsidRPr="00074DA7" w14:paraId="267CD47C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8741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Erhållna räntor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A62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E77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35 901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029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861C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1 874</w:t>
            </w:r>
          </w:p>
        </w:tc>
      </w:tr>
      <w:tr w:rsidR="00074DA7" w:rsidRPr="00074DA7" w14:paraId="779C11B6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58D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Betalda räntor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BED25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662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-93 225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CCB7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-84 398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AA9C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-224 171</w:t>
            </w:r>
          </w:p>
        </w:tc>
      </w:tr>
      <w:tr w:rsidR="00074DA7" w:rsidRPr="00074DA7" w14:paraId="41DC43FD" w14:textId="77777777" w:rsidTr="00074DA7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07AAA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Betald inkomstskatt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E95DD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80B6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AA9F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-1 388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7351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-4 624</w:t>
            </w:r>
          </w:p>
        </w:tc>
      </w:tr>
      <w:tr w:rsidR="00074DA7" w:rsidRPr="00074DA7" w14:paraId="45DE1B39" w14:textId="77777777" w:rsidTr="00074DA7">
        <w:trPr>
          <w:trHeight w:val="5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273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Kassaflöde från den löpande verksamheten före förändringar av rörelsekapitalet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33F4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2F77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-20 117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C30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-53 924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20CB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-192 377</w:t>
            </w:r>
          </w:p>
        </w:tc>
      </w:tr>
      <w:tr w:rsidR="00074DA7" w:rsidRPr="00074DA7" w14:paraId="3A80CC2C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3EA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C065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99C4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BB1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0E6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53A026E5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9683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Förändring av rörelsefordringar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C1A53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AA0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8 914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8EFF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-2 970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B678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5 521</w:t>
            </w:r>
          </w:p>
        </w:tc>
      </w:tr>
      <w:tr w:rsidR="00074DA7" w:rsidRPr="00074DA7" w14:paraId="22653D9A" w14:textId="77777777" w:rsidTr="00074DA7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11282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Förändring av rörelseskulder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2FCD9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EF9EF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-27 259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2DDB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-41 254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EFDFB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22 410</w:t>
            </w:r>
          </w:p>
        </w:tc>
      </w:tr>
      <w:tr w:rsidR="00074DA7" w:rsidRPr="00074DA7" w14:paraId="3A5EE961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0E8B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Kassaflöde från den löpande 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BCE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55B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-38 462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3F3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-98 148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3D3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-164 446</w:t>
            </w:r>
          </w:p>
        </w:tc>
      </w:tr>
      <w:tr w:rsidR="00074DA7" w:rsidRPr="00074DA7" w14:paraId="2DEE8F5A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00E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D3BD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9DA3F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65B8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2568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71447CF6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3169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Investeringsverksamheten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481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3DA6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D1FC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91B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70966E8F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D4E3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Investering i förvaltningsfastigheter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5FB7A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D70A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-85 992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AD4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-51 925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1452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-166 538</w:t>
            </w:r>
          </w:p>
        </w:tc>
      </w:tr>
      <w:tr w:rsidR="00074DA7" w:rsidRPr="00074DA7" w14:paraId="3F4E9CBD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672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Förvärv av förvaltningsfastigheter via dotterföretag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DF8BF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C65FF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-441 850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19A5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-591 839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BA8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-888 875</w:t>
            </w:r>
          </w:p>
        </w:tc>
      </w:tr>
      <w:tr w:rsidR="00074DA7" w:rsidRPr="00074DA7" w14:paraId="1DB1CFB0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C924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Övriga investeringar materiella anläggningstillgångar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32AF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93DC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-6 130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43C8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-2 945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3188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-1 067</w:t>
            </w:r>
          </w:p>
        </w:tc>
      </w:tr>
      <w:tr w:rsidR="00074DA7" w:rsidRPr="00074DA7" w14:paraId="63F14B4F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4D15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Försäljning av förvaltningsfastigheter/koncernföretag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EF6AB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E86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4DB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511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324 460</w:t>
            </w:r>
          </w:p>
        </w:tc>
      </w:tr>
      <w:tr w:rsidR="00074DA7" w:rsidRPr="00074DA7" w14:paraId="4E318FEF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127E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Försäljning av övriga materiella anläggningstillgångar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467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0084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AAF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B1E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14</w:t>
            </w:r>
          </w:p>
        </w:tc>
      </w:tr>
      <w:tr w:rsidR="00074DA7" w:rsidRPr="00074DA7" w14:paraId="2BFE3830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9379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Förvärv av andelar i joint venture &amp; intresseföretag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56604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7983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-24 262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845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-35 743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D024D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-69 885</w:t>
            </w:r>
          </w:p>
        </w:tc>
      </w:tr>
      <w:tr w:rsidR="00074DA7" w:rsidRPr="00074DA7" w14:paraId="2021EBB8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58C9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Försäljning av andelar i joint venture &amp; intresseföretag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0FE91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01E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DC7A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84 493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04E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777 111</w:t>
            </w:r>
          </w:p>
        </w:tc>
      </w:tr>
      <w:tr w:rsidR="00074DA7" w:rsidRPr="00074DA7" w14:paraId="2011ED4E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C10B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Investering i finansiella anläggningstillgångar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9C9D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EFC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-271 483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6713A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-180 947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8B2D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-315 084</w:t>
            </w:r>
          </w:p>
        </w:tc>
      </w:tr>
      <w:tr w:rsidR="00074DA7" w:rsidRPr="00074DA7" w14:paraId="10A75600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866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Avyttring och återbetalning av finansiella anläggningstillgångar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F8AE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0E5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123 234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D055C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50 888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3678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82 844</w:t>
            </w:r>
          </w:p>
        </w:tc>
      </w:tr>
      <w:tr w:rsidR="00074DA7" w:rsidRPr="00074DA7" w14:paraId="30C92F62" w14:textId="77777777" w:rsidTr="00074DA7">
        <w:trPr>
          <w:trHeight w:val="315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AFB1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Utdelning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9E9671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FE29D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4 577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971CA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10 776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40C5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19 846</w:t>
            </w:r>
          </w:p>
        </w:tc>
      </w:tr>
      <w:tr w:rsidR="00074DA7" w:rsidRPr="00074DA7" w14:paraId="444ED36F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7FAB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Kassaflöde från investeringsverksamheten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D9E62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F89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-701 862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440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-717 241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502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-237 174</w:t>
            </w:r>
          </w:p>
        </w:tc>
      </w:tr>
      <w:tr w:rsidR="00074DA7" w:rsidRPr="00074DA7" w14:paraId="36358E99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42D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5693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1007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D97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E2D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0153AEAC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442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Finansieringsverksamheten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157D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3D85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DA6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8485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1F061BFD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37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Utdelning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5BF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CF6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BA1F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EF0B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-3 000</w:t>
            </w:r>
          </w:p>
        </w:tc>
      </w:tr>
      <w:tr w:rsidR="00074DA7" w:rsidRPr="00074DA7" w14:paraId="784FCBC1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7B85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Upptagna lån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8984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4B86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773 954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8FA7F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1 079 552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911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1 234 138</w:t>
            </w:r>
          </w:p>
        </w:tc>
      </w:tr>
      <w:tr w:rsidR="00074DA7" w:rsidRPr="00074DA7" w14:paraId="58B7281E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AD1E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Amortering och lösen av lån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1113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9A9B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-224 186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CAF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-241 952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643E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-589 336</w:t>
            </w:r>
          </w:p>
        </w:tc>
      </w:tr>
      <w:tr w:rsidR="00074DA7" w:rsidRPr="00074DA7" w14:paraId="6C4881AD" w14:textId="77777777" w:rsidTr="00074DA7">
        <w:trPr>
          <w:trHeight w:val="495"/>
        </w:trPr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AD9C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Tillskott från samt avyttring av aktier till innehav utan bestämmande inflytande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D1305C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39127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85246F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3 225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CD396A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-66 151</w:t>
            </w:r>
          </w:p>
        </w:tc>
      </w:tr>
      <w:tr w:rsidR="00074DA7" w:rsidRPr="00074DA7" w14:paraId="421BBB29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BC57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Kassaflöde från finansieringsverksamheten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1E11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181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549 768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00C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840 825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89C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  <w:t>575 651</w:t>
            </w:r>
          </w:p>
        </w:tc>
      </w:tr>
      <w:tr w:rsidR="00074DA7" w:rsidRPr="00074DA7" w14:paraId="4F2C4D2B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F74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268C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8999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8A0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E10C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4EBE8AC2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5338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 xml:space="preserve">Periodens kassaflöde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7B10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E80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-190 556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59B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25 436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D2C4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174 031</w:t>
            </w:r>
          </w:p>
        </w:tc>
      </w:tr>
      <w:tr w:rsidR="00074DA7" w:rsidRPr="00074DA7" w14:paraId="1C61FA31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217E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E9FE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7BA1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BED5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C839" w14:textId="77777777" w:rsidR="00074DA7" w:rsidRPr="00074DA7" w:rsidRDefault="00074DA7" w:rsidP="00074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74DA7" w:rsidRPr="00074DA7" w14:paraId="65781C13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E837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Likvida medel vid årets ingång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6B96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18A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257 636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C397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83 605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25A89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83 605</w:t>
            </w:r>
          </w:p>
        </w:tc>
      </w:tr>
      <w:tr w:rsidR="00074DA7" w:rsidRPr="00074DA7" w14:paraId="7C22FC3A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EABB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Periodens kassaflöde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EDC02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E490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-190 556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25C2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25 436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84BD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174 031</w:t>
            </w:r>
          </w:p>
        </w:tc>
      </w:tr>
      <w:tr w:rsidR="00074DA7" w:rsidRPr="00074DA7" w14:paraId="028444C1" w14:textId="77777777" w:rsidTr="00074DA7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3DF2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  <w:t>Likvida medel vid periodens utgång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C56EF" w14:textId="77777777" w:rsidR="00074DA7" w:rsidRPr="00074DA7" w:rsidRDefault="00074DA7" w:rsidP="00074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0FDB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67 080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EFF1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109 040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D0E8" w14:textId="77777777" w:rsidR="00074DA7" w:rsidRPr="00074DA7" w:rsidRDefault="00074DA7" w:rsidP="00074D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074D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257 636</w:t>
            </w:r>
          </w:p>
        </w:tc>
      </w:tr>
    </w:tbl>
    <w:p w14:paraId="31E3B0D5" w14:textId="77777777" w:rsidR="00346D80" w:rsidRDefault="00346D80">
      <w:pPr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4"/>
        </w:rPr>
        <w:br w:type="page"/>
      </w:r>
    </w:p>
    <w:p w14:paraId="519C98E7" w14:textId="5EEEBB9F" w:rsidR="00285B2B" w:rsidRDefault="00FB6030">
      <w:pPr>
        <w:rPr>
          <w:rFonts w:ascii="Arial" w:hAnsi="Arial" w:cs="Arial"/>
          <w:b/>
          <w:color w:val="FF8200"/>
          <w:sz w:val="20"/>
        </w:rPr>
      </w:pPr>
      <w:r w:rsidRPr="00802E7A">
        <w:rPr>
          <w:rFonts w:ascii="Arial" w:eastAsiaTheme="minorEastAsia" w:hAnsi="Arial" w:cs="Arial"/>
          <w:b/>
          <w:sz w:val="20"/>
          <w:lang w:eastAsia="sv-SE"/>
        </w:rPr>
        <w:lastRenderedPageBreak/>
        <w:t>RESULTATRÄKNING I SAMMANDRAG FÖR MODERBOLAGET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6"/>
        <w:gridCol w:w="145"/>
        <w:gridCol w:w="145"/>
        <w:gridCol w:w="145"/>
        <w:gridCol w:w="145"/>
      </w:tblGrid>
      <w:tr w:rsidR="00BA4E5E" w:rsidRPr="008E35C2" w14:paraId="19E22A82" w14:textId="77777777" w:rsidTr="0020445B">
        <w:trPr>
          <w:trHeight w:val="300"/>
        </w:trPr>
        <w:tc>
          <w:tcPr>
            <w:tcW w:w="4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824"/>
              <w:gridCol w:w="824"/>
              <w:gridCol w:w="824"/>
              <w:gridCol w:w="824"/>
              <w:gridCol w:w="824"/>
            </w:tblGrid>
            <w:tr w:rsidR="0020445B" w:rsidRPr="0020445B" w14:paraId="5E5C15E7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F94D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7CCE9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D9D2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53443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C409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7394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</w:tr>
            <w:tr w:rsidR="0020445B" w:rsidRPr="0020445B" w14:paraId="6C867EE6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C12DF7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TSEK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0D178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jan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D464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jan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CF0C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apr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FDA88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apr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364F2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jan - dec</w:t>
                  </w:r>
                </w:p>
              </w:tc>
            </w:tr>
            <w:tr w:rsidR="0020445B" w:rsidRPr="0020445B" w14:paraId="3A35A7DE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BF3C8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  <w:t>Rörelsens intäkter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30F4C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EE85E5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346E7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40C45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2792BF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6BC4268F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75BA8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Nettoomsättning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80ABF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514EE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C2A7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06D6F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71047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</w:tr>
            <w:tr w:rsidR="0020445B" w:rsidRPr="0020445B" w14:paraId="55943D06" w14:textId="77777777" w:rsidTr="0020445B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082F0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Övriga rörelseintäkter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16C78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B2FA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F0CE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ADE1F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28C7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</w:tr>
            <w:tr w:rsidR="0020445B" w:rsidRPr="0020445B" w14:paraId="30654820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5F01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Summa rörelsens intäkter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076A5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87148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2B23C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7A37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16EBE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</w:tr>
            <w:tr w:rsidR="0020445B" w:rsidRPr="0020445B" w14:paraId="0320A9FB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8CBE7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7439C5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9002D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E88E5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AAAC0D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974AE2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69AFC127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25A8A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  <w:t>Rörelsens kostnader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C2BC93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91198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B4C4E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F336E6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8DF2F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501FF171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1EEE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Övriga externa kostnader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87DA4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-19 470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EC4D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-24 691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34D1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-8 499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91606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-14 728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2BD1E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-64 440</w:t>
                  </w:r>
                </w:p>
              </w:tc>
            </w:tr>
            <w:tr w:rsidR="0020445B" w:rsidRPr="0020445B" w14:paraId="2CB56D67" w14:textId="77777777" w:rsidTr="00157CFC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7E5F2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Personalkostnader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164D7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-503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69B7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-507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A7A1F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FC4F6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7DF1E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-1 014</w:t>
                  </w:r>
                </w:p>
              </w:tc>
            </w:tr>
            <w:tr w:rsidR="0020445B" w:rsidRPr="0020445B" w14:paraId="5BA5F6A6" w14:textId="77777777" w:rsidTr="00157CFC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2DD63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Avskrivning av materiella anläggningstillgångar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63F80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009C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F4D9B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0E59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84E73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-74</w:t>
                  </w:r>
                </w:p>
              </w:tc>
            </w:tr>
            <w:tr w:rsidR="0020445B" w:rsidRPr="0020445B" w14:paraId="0F5E8ACB" w14:textId="77777777" w:rsidTr="00157CFC">
              <w:trPr>
                <w:trHeight w:val="30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F432D2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Summa rörelsens kostnader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E671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-19 980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5140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-25 248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D248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-8 754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1E674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-15 011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C860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-65 528</w:t>
                  </w:r>
                </w:p>
              </w:tc>
            </w:tr>
            <w:tr w:rsidR="0020445B" w:rsidRPr="0020445B" w14:paraId="27A6214A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FF55D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C75D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90978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3317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DD7B6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9120C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4EC272E4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57DFF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Rörelseresultat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6BBA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-19 980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AAC3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-25 248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3EC2E8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-8 754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C805D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-15 011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4CE7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-65 528</w:t>
                  </w:r>
                </w:p>
              </w:tc>
            </w:tr>
            <w:tr w:rsidR="0020445B" w:rsidRPr="0020445B" w14:paraId="058109B5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E7AB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7732F8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EB488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4A6D9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5AE7C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7AF12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754C93FF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5E174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  <w:t>Resultat från finansiella poster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AF02C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0AC19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2BA1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9AE413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C51D8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6D22B0B7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6A2C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Resultat från andelar i koncernföretag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E5A6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-30 643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F9D5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-50 103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536CE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-18 043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63F3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-26 703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35A7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-61 713</w:t>
                  </w:r>
                </w:p>
              </w:tc>
            </w:tr>
            <w:tr w:rsidR="0020445B" w:rsidRPr="0020445B" w14:paraId="4B33FE0C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E257BC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Resultat från andelar i joint venture och intresseföretag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CBFD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-21 729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9185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32 838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D87F8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-9 187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12C6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32 773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1DE9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310 140</w:t>
                  </w:r>
                </w:p>
              </w:tc>
            </w:tr>
            <w:tr w:rsidR="0020445B" w:rsidRPr="0020445B" w14:paraId="6ADD994A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A5F3F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Resultat från värdepapper &amp; fordringar som är anläggningstillgångar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E24C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-14 291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4AC8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-9 169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C45B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-1 537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A27B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-11 251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A2427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-21 175</w:t>
                  </w:r>
                </w:p>
              </w:tc>
            </w:tr>
            <w:tr w:rsidR="0020445B" w:rsidRPr="0020445B" w14:paraId="2786315A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4E8A97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Ränteintäkter och liknande resultatposter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7B37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29 384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1D030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24 874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9BD6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14 706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B398B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12 719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F69A3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52 673</w:t>
                  </w:r>
                </w:p>
              </w:tc>
            </w:tr>
            <w:tr w:rsidR="0020445B" w:rsidRPr="0020445B" w14:paraId="314ED319" w14:textId="77777777" w:rsidTr="0020445B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2024BB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Räntekostnader och liknande resultatposter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2E0E6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-61 205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A36B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-61 329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0F88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-36 962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8AE67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-33 621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B7A55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-148 443</w:t>
                  </w:r>
                </w:p>
              </w:tc>
            </w:tr>
            <w:tr w:rsidR="0020445B" w:rsidRPr="0020445B" w14:paraId="6CDCA024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052D6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20445B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C125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-98 484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8CE2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-62 889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A792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-51 022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A5A63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-26 083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E6E49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131 482</w:t>
                  </w:r>
                </w:p>
              </w:tc>
            </w:tr>
            <w:tr w:rsidR="0020445B" w:rsidRPr="0020445B" w14:paraId="1F411254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867C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B15FDB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B7415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3100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9EF4D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7E16E5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7A64575C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68F0C4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Resultat efter finansiella poster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9574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C65B5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AA1D6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-59 776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37A0C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-41 094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1F1B3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65 954</w:t>
                  </w:r>
                </w:p>
              </w:tc>
            </w:tr>
            <w:tr w:rsidR="0020445B" w:rsidRPr="0020445B" w14:paraId="180B9DDA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855B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D1989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495E5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B4BA4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59E03F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CB72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2AF5C2C4" w14:textId="77777777" w:rsidTr="0020445B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B374A3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Bokslutsdispositioner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E4CC8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247E0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02D50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B3B0F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98760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-16 869</w:t>
                  </w:r>
                </w:p>
              </w:tc>
            </w:tr>
            <w:tr w:rsidR="0020445B" w:rsidRPr="0020445B" w14:paraId="3C80D4D8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D9E37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Resultat före skatt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EB629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3341E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43A7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-59 776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F30718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-41 094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642233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</w:tr>
            <w:tr w:rsidR="0020445B" w:rsidRPr="0020445B" w14:paraId="0BB27FF0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7245E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F063D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322BE8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B3B2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9E34C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1AC0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4BC779A2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E2CE69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Skatt på periodens 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5832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54AC4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1320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C8E61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11A3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</w:tr>
            <w:tr w:rsidR="0020445B" w:rsidRPr="0020445B" w14:paraId="5A9C793E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922AE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84746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150E7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399972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C050A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E1FC65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526B8C40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E43576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Periodens 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E3C5F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E3CE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2DE7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-59 776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7CE9F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-41 094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9BE0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</w:tr>
          </w:tbl>
          <w:p w14:paraId="7FA2C003" w14:textId="77777777" w:rsidR="00BA4E5E" w:rsidRPr="008E35C2" w:rsidRDefault="00BA4E5E" w:rsidP="00BA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D3B16" w14:textId="77777777" w:rsidR="00BA4E5E" w:rsidRPr="008E35C2" w:rsidRDefault="00BA4E5E" w:rsidP="00BA4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888C" w14:textId="553E0E89" w:rsidR="00BA4E5E" w:rsidRPr="008E35C2" w:rsidRDefault="00BA4E5E" w:rsidP="00BA4E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31643" w14:textId="25194378" w:rsidR="00BA4E5E" w:rsidRPr="008E35C2" w:rsidRDefault="00BA4E5E" w:rsidP="00BA4E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D30B" w14:textId="090F255E" w:rsidR="00BA4E5E" w:rsidRPr="008E35C2" w:rsidRDefault="00BA4E5E" w:rsidP="00BA4E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</w:tbl>
    <w:p w14:paraId="251F53EB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3DE31BF6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4CB4920B" w14:textId="77777777" w:rsidR="00500DEA" w:rsidRPr="00604F73" w:rsidRDefault="00500DEA" w:rsidP="00D65831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t>RAPPORT ÖVER TOTALRESULTAT I SAMMANDRAG FÖR MODERBOLAGET</w:t>
      </w:r>
    </w:p>
    <w:p w14:paraId="46539C7E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6"/>
        <w:gridCol w:w="145"/>
        <w:gridCol w:w="145"/>
        <w:gridCol w:w="145"/>
        <w:gridCol w:w="145"/>
      </w:tblGrid>
      <w:tr w:rsidR="008E35C2" w:rsidRPr="008E35C2" w14:paraId="470E10D1" w14:textId="77777777" w:rsidTr="0020445B">
        <w:trPr>
          <w:trHeight w:val="300"/>
        </w:trPr>
        <w:tc>
          <w:tcPr>
            <w:tcW w:w="4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824"/>
              <w:gridCol w:w="824"/>
              <w:gridCol w:w="824"/>
              <w:gridCol w:w="824"/>
              <w:gridCol w:w="824"/>
            </w:tblGrid>
            <w:tr w:rsidR="0020445B" w:rsidRPr="0020445B" w14:paraId="63D6944E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E435B9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EDD0B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E27BA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F6B31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41F6E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A3C4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2018</w:t>
                  </w:r>
                </w:p>
              </w:tc>
            </w:tr>
            <w:tr w:rsidR="0020445B" w:rsidRPr="0020445B" w14:paraId="28384BF1" w14:textId="77777777" w:rsidTr="0020445B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045691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TSEK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D78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jan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4E7AF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jan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00130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apr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CA75C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apr - juni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14A62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jan - dec</w:t>
                  </w:r>
                </w:p>
              </w:tc>
            </w:tr>
            <w:tr w:rsidR="0020445B" w:rsidRPr="0020445B" w14:paraId="56CDCCF1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62190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Periodens 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024FF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217C9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7532E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-59 776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DF11C2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-41 094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B917A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</w:tr>
            <w:tr w:rsidR="0020445B" w:rsidRPr="0020445B" w14:paraId="7EFD48CF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3C20E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C61DBA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6F0EB6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4210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C4CDC2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1663BF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  <w:tr w:rsidR="0020445B" w:rsidRPr="0020445B" w14:paraId="2DBF9B05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DF36C4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  <w:t>Övrigt totalresultat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4E9E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CEF214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29C01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BBB9A7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CE207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</w:t>
                  </w:r>
                </w:p>
              </w:tc>
            </w:tr>
            <w:tr w:rsidR="0020445B" w:rsidRPr="0020445B" w14:paraId="4D4559DE" w14:textId="77777777" w:rsidTr="0020445B">
              <w:trPr>
                <w:trHeight w:val="315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AACDFC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sv-SE"/>
                    </w:rPr>
                    <w:t>Summa övrigt totalresultat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ACF4B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35FFB5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F7EC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CF385D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217B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</w:tr>
            <w:tr w:rsidR="0020445B" w:rsidRPr="0020445B" w14:paraId="575253E7" w14:textId="77777777" w:rsidTr="0020445B">
              <w:trPr>
                <w:trHeight w:val="300"/>
              </w:trPr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9579EE" w14:textId="77777777" w:rsidR="0020445B" w:rsidRPr="0020445B" w:rsidRDefault="0020445B" w:rsidP="002044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Totalresultat för perioden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7388F6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5A159F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FC167B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-59 776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F73C7C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-41 094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83411" w14:textId="77777777" w:rsidR="0020445B" w:rsidRPr="0020445B" w:rsidRDefault="0020445B" w:rsidP="0020445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20445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</w:tr>
          </w:tbl>
          <w:p w14:paraId="10A76837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C2AD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A1F45" w14:textId="5C3B2A6E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E6B4A" w14:textId="0A3988A0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D74A" w14:textId="73AB35BD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</w:tr>
      <w:tr w:rsidR="008E35C2" w:rsidRPr="008E35C2" w14:paraId="73753987" w14:textId="77777777" w:rsidTr="0020445B">
        <w:trPr>
          <w:trHeight w:val="300"/>
        </w:trPr>
        <w:tc>
          <w:tcPr>
            <w:tcW w:w="4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D3AF" w14:textId="77777777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AE2CD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A0A0" w14:textId="77777777" w:rsidR="008E35C2" w:rsidRPr="008E35C2" w:rsidRDefault="008E35C2" w:rsidP="008E3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DDEE9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D60BE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v-SE"/>
              </w:rPr>
            </w:pPr>
          </w:p>
        </w:tc>
      </w:tr>
      <w:tr w:rsidR="008E35C2" w:rsidRPr="008E35C2" w14:paraId="088D8526" w14:textId="77777777" w:rsidTr="0020445B">
        <w:trPr>
          <w:trHeight w:val="300"/>
        </w:trPr>
        <w:tc>
          <w:tcPr>
            <w:tcW w:w="4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CEE72" w14:textId="287889C5" w:rsidR="008E35C2" w:rsidRPr="008E35C2" w:rsidRDefault="008E35C2" w:rsidP="008E35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75BD" w14:textId="77777777" w:rsidR="008E35C2" w:rsidRPr="008E35C2" w:rsidRDefault="008E35C2" w:rsidP="008E35C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A3E9" w14:textId="6D7479FB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E9BA" w14:textId="3EF58ECF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C545F" w14:textId="4192FCB5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14:paraId="62829F6B" w14:textId="77777777" w:rsidR="00BA4E5E" w:rsidRDefault="00BA4E5E">
      <w:pPr>
        <w:rPr>
          <w:rFonts w:ascii="Arial" w:eastAsiaTheme="minorEastAsia" w:hAnsi="Arial" w:cs="Arial"/>
          <w:b/>
          <w:sz w:val="20"/>
          <w:lang w:eastAsia="sv-SE"/>
        </w:rPr>
      </w:pPr>
      <w:r>
        <w:rPr>
          <w:rFonts w:ascii="Arial" w:hAnsi="Arial" w:cs="Arial"/>
          <w:b/>
          <w:sz w:val="20"/>
        </w:rPr>
        <w:br w:type="page"/>
      </w:r>
    </w:p>
    <w:p w14:paraId="4CBC69D8" w14:textId="363D235E" w:rsidR="00500DEA" w:rsidRPr="00604F73" w:rsidRDefault="00500DEA" w:rsidP="00D65831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lastRenderedPageBreak/>
        <w:t>BALANSRÄKNING I SAMMANDRAG FÖR MODERBOLAGET</w:t>
      </w:r>
    </w:p>
    <w:p w14:paraId="73355789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1190"/>
        <w:gridCol w:w="1190"/>
        <w:gridCol w:w="1190"/>
        <w:gridCol w:w="1190"/>
      </w:tblGrid>
      <w:tr w:rsidR="00494D58" w:rsidRPr="00494D58" w14:paraId="34A8A039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EE53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TSEK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C04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0B55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2019-06-30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C9D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2018-06-30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00A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2018-12-31</w:t>
            </w:r>
          </w:p>
        </w:tc>
      </w:tr>
      <w:tr w:rsidR="00494D58" w:rsidRPr="00494D58" w14:paraId="58266A75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72DB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2FE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13B5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0F3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B451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6CAECFE5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E1F2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Anläggningstillgångar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5917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A6AD5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36B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D9D7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578BA26E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7317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Materiella anläggningstillgångar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846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35AB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CB1E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532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5FB60268" w14:textId="77777777" w:rsidTr="00494D58">
        <w:trPr>
          <w:trHeight w:val="314"/>
        </w:trPr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32B75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Inventarier, verktyg och installationer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7E702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A226D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B9124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FC1A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</w:tr>
      <w:tr w:rsidR="00494D58" w:rsidRPr="00494D58" w14:paraId="15F1E988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7339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4A12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7EEA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269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10F3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</w:t>
            </w:r>
          </w:p>
        </w:tc>
      </w:tr>
      <w:tr w:rsidR="00494D58" w:rsidRPr="00494D58" w14:paraId="3DE0701C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C89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Finansiella anläggningstillgångar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6C09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947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B67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79D0B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26608857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B617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Andelar i koncernföretag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B4D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7FA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664 085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98C0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805 369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922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671 421</w:t>
            </w:r>
          </w:p>
        </w:tc>
      </w:tr>
      <w:tr w:rsidR="00494D58" w:rsidRPr="00494D58" w14:paraId="71CA40DF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29BA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koncernföretag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D09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7C99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1 511 913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30B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1 221 298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E9A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1 308 887</w:t>
            </w:r>
          </w:p>
        </w:tc>
      </w:tr>
      <w:tr w:rsidR="00494D58" w:rsidRPr="00494D58" w14:paraId="4516DEB0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945C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Andelar i intresseföretag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2D3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B17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395 982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AA5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834 515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236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431 718</w:t>
            </w:r>
          </w:p>
        </w:tc>
      </w:tr>
      <w:tr w:rsidR="00494D58" w:rsidRPr="00494D58" w14:paraId="708DB392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EFAA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intresseföretag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DBF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7D7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376 319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6B6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171 325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AC6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317 239</w:t>
            </w:r>
          </w:p>
        </w:tc>
      </w:tr>
      <w:tr w:rsidR="00494D58" w:rsidRPr="00494D58" w14:paraId="55103FAC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E52C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Andra långfristiga värdepappersinnehav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75C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304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274 236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6FDA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305 992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E55D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288 582</w:t>
            </w:r>
          </w:p>
        </w:tc>
      </w:tr>
      <w:tr w:rsidR="00494D58" w:rsidRPr="00494D58" w14:paraId="43D8A229" w14:textId="77777777" w:rsidTr="00494D58">
        <w:trPr>
          <w:trHeight w:val="314"/>
        </w:trPr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7B27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Andra långfristiga fordringar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00DA0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B95E1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71 435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A80F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15 125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13BA2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29 312</w:t>
            </w:r>
          </w:p>
        </w:tc>
      </w:tr>
      <w:tr w:rsidR="00494D58" w:rsidRPr="00494D58" w14:paraId="757C55AA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E9B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69A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8754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3 293 969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DCF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3 353 625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FED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3 047 159</w:t>
            </w:r>
          </w:p>
        </w:tc>
      </w:tr>
      <w:tr w:rsidR="00494D58" w:rsidRPr="00494D58" w14:paraId="6CF75D1D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F4E5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F842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DFA3B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585D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A1B4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2BD0ABD5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22DC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anläggningstillgångar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875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131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3 294 103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23F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3 353 675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3975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3 047 185</w:t>
            </w:r>
          </w:p>
        </w:tc>
      </w:tr>
      <w:tr w:rsidR="00494D58" w:rsidRPr="00494D58" w14:paraId="0B7F5796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E71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CCCB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5586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D207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4B4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052C89AD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D91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Omsättningstillgångar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35E1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D440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098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537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0A5E6B91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6C38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Kortfristiga fordringar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6FFB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E0E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D268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EC23D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2E8DE43F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3F23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Kundfordringar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91F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9F7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AA8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269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1 368</w:t>
            </w:r>
          </w:p>
        </w:tc>
      </w:tr>
      <w:tr w:rsidR="00494D58" w:rsidRPr="00494D58" w14:paraId="4E291EAC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19EF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koncernföretag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5E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184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103 284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E62E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41 117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453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26 455</w:t>
            </w:r>
          </w:p>
        </w:tc>
      </w:tr>
      <w:tr w:rsidR="00494D58" w:rsidRPr="00494D58" w14:paraId="577F05C5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9D5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Fordringar hos intresseföretag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477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FE17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2 020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A3B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122 337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801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5 980</w:t>
            </w:r>
          </w:p>
        </w:tc>
      </w:tr>
      <w:tr w:rsidR="00494D58" w:rsidRPr="00494D58" w14:paraId="0AD38EE7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2E9C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Aktuell skattefordran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692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E8D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5A9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496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868</w:t>
            </w:r>
          </w:p>
        </w:tc>
      </w:tr>
      <w:tr w:rsidR="00494D58" w:rsidRPr="00494D58" w14:paraId="30DED3C6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DF26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Övriga fordringar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E4C3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E324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75 460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50B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42 205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4599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36 029</w:t>
            </w:r>
          </w:p>
        </w:tc>
      </w:tr>
      <w:tr w:rsidR="00494D58" w:rsidRPr="00494D58" w14:paraId="63C3BD19" w14:textId="77777777" w:rsidTr="00494D58">
        <w:trPr>
          <w:trHeight w:val="314"/>
        </w:trPr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F107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Förutbetalda kostnader och upplupna intäkter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2EC9E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0396C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26 644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BD1D0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48 053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1048C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38 839</w:t>
            </w:r>
          </w:p>
        </w:tc>
      </w:tr>
      <w:tr w:rsidR="00494D58" w:rsidRPr="00494D58" w14:paraId="6184948E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4FA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3D2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23A5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408E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256 760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6205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109 539</w:t>
            </w:r>
          </w:p>
        </w:tc>
      </w:tr>
      <w:tr w:rsidR="00494D58" w:rsidRPr="00494D58" w14:paraId="287B4479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06B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CFE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FF8C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6FF85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5716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5C0369CD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8C35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Kassa och bank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B5F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3A4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38 936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4BF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58 687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604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219 512</w:t>
            </w:r>
          </w:p>
        </w:tc>
      </w:tr>
      <w:tr w:rsidR="00494D58" w:rsidRPr="00494D58" w14:paraId="482D657B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B2A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E57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1E398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FE22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635D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7E869F81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05BD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omsättningstillgångar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9D14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DDC4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249 087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103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315 447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3F7C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329 051</w:t>
            </w:r>
          </w:p>
        </w:tc>
      </w:tr>
      <w:tr w:rsidR="00494D58" w:rsidRPr="00494D58" w14:paraId="13627886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219D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CC78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EAB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4CA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D5D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161309FB" w14:textId="77777777" w:rsidTr="00494D58">
        <w:trPr>
          <w:trHeight w:val="299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5C1D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SUMMA TILLGÅNGAR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B67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6DD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3 543 190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A7C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3 669 122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633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3 376 236</w:t>
            </w:r>
          </w:p>
        </w:tc>
      </w:tr>
    </w:tbl>
    <w:p w14:paraId="72EC71E4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07A9B8F9" w14:textId="77777777" w:rsidR="00500DEA" w:rsidRDefault="00500DEA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  <w:r>
        <w:rPr>
          <w:rFonts w:ascii="Arial" w:hAnsi="Arial" w:cs="Arial"/>
          <w:b/>
          <w:color w:val="FF8200"/>
          <w:sz w:val="20"/>
        </w:rPr>
        <w:br w:type="page"/>
      </w:r>
    </w:p>
    <w:p w14:paraId="1529E993" w14:textId="77777777" w:rsidR="00500DEA" w:rsidRPr="00604F73" w:rsidRDefault="00500DEA" w:rsidP="00500DEA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lastRenderedPageBreak/>
        <w:t>BALANSRÄKNING I SAMMANDRAG FÖR MODERBOLAGET</w:t>
      </w:r>
    </w:p>
    <w:p w14:paraId="03F259F6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90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1178"/>
        <w:gridCol w:w="1178"/>
        <w:gridCol w:w="1178"/>
        <w:gridCol w:w="1178"/>
      </w:tblGrid>
      <w:tr w:rsidR="00494D58" w:rsidRPr="00494D58" w14:paraId="619798C3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DCDF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TSEK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CBC2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BE0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2019-06-30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7B3D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2018-06-30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250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2018-12-31</w:t>
            </w:r>
          </w:p>
        </w:tc>
      </w:tr>
      <w:tr w:rsidR="00494D58" w:rsidRPr="00494D58" w14:paraId="55A02A12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6548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EGET KAPITAL OCH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7CAE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D8F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0BE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A7E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71E8A846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CB6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Eget 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A88E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432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FFE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6CF4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0EC326DF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8B4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Bundet eget 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D89D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BAE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0EC7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C07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459F7AFE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6F9F9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Aktiekapital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F87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A64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EDF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5C4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500</w:t>
            </w:r>
          </w:p>
        </w:tc>
      </w:tr>
      <w:tr w:rsidR="00494D58" w:rsidRPr="00494D58" w14:paraId="1E232E69" w14:textId="77777777" w:rsidTr="00494D58">
        <w:trPr>
          <w:trHeight w:val="315"/>
        </w:trPr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E42A2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Reservfond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4252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151C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C3E8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849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40</w:t>
            </w:r>
          </w:p>
        </w:tc>
      </w:tr>
      <w:tr w:rsidR="00494D58" w:rsidRPr="00494D58" w14:paraId="0A779FFD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8234C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Summa bundet eget 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A71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796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EA1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731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540</w:t>
            </w:r>
          </w:p>
        </w:tc>
      </w:tr>
      <w:tr w:rsidR="00494D58" w:rsidRPr="00494D58" w14:paraId="5C3C3CCC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163D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5892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ED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87A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AA19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6E54EBAD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55566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Fritt eget 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70B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4B09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611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EB3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1D4E9F57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2381E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Balanserat resultat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B50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F3C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2 152 108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285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2 127 524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3B4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2 127 523</w:t>
            </w:r>
          </w:p>
        </w:tc>
      </w:tr>
      <w:tr w:rsidR="00494D58" w:rsidRPr="00494D58" w14:paraId="6DF2993C" w14:textId="77777777" w:rsidTr="00494D58">
        <w:trPr>
          <w:trHeight w:val="315"/>
        </w:trPr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43801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Årets resultat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0E9E8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E3E3D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-118 463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A8067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-88 137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0DFEB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49 085</w:t>
            </w:r>
          </w:p>
        </w:tc>
      </w:tr>
      <w:tr w:rsidR="00494D58" w:rsidRPr="00494D58" w14:paraId="47B9F151" w14:textId="77777777" w:rsidTr="00494D58">
        <w:trPr>
          <w:trHeight w:val="315"/>
        </w:trPr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D875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Summa fritt eget kapital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6DE93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9376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2 033 645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F427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2 039 387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D56CC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2 176 608</w:t>
            </w:r>
          </w:p>
        </w:tc>
      </w:tr>
      <w:tr w:rsidR="00494D58" w:rsidRPr="00494D58" w14:paraId="1934AD7F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9C06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eget kapital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585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E4EF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2 034 185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EEA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2 039 927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D6C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2 177 148</w:t>
            </w:r>
          </w:p>
        </w:tc>
      </w:tr>
      <w:tr w:rsidR="00494D58" w:rsidRPr="00494D58" w14:paraId="249C5C29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97C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848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F34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035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1A3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0EDECD39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57A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Långfristiga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DAC5D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A4D9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E8F16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42FEA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4553941D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3B370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Räntebärande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D653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DD6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895 423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6B49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806 865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BFE3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828 719</w:t>
            </w:r>
          </w:p>
        </w:tc>
      </w:tr>
      <w:tr w:rsidR="00494D58" w:rsidRPr="00494D58" w14:paraId="4CF948A3" w14:textId="77777777" w:rsidTr="00494D58">
        <w:trPr>
          <w:trHeight w:val="315"/>
        </w:trPr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5EF1B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Övriga skulder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9BED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DBA7C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7 633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C1784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031F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7 633</w:t>
            </w:r>
          </w:p>
        </w:tc>
      </w:tr>
      <w:tr w:rsidR="00494D58" w:rsidRPr="00494D58" w14:paraId="28065EE3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7DBE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långfristiga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276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BE9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903 055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67F7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806 865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446A1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836 352</w:t>
            </w:r>
          </w:p>
        </w:tc>
      </w:tr>
      <w:tr w:rsidR="00494D58" w:rsidRPr="00494D58" w14:paraId="3737F5E1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3007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B6BB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F46C9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4CA2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7C4DB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25757713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076ED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v-SE"/>
              </w:rPr>
              <w:t>Kortfristiga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C457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2FD8B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8043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637C0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36C4473E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5E1D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Räntebärande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B87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801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377 308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152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709 473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07C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227 630</w:t>
            </w:r>
          </w:p>
        </w:tc>
      </w:tr>
      <w:tr w:rsidR="00494D58" w:rsidRPr="00494D58" w14:paraId="73F3F79D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E938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Leverantörsskulder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23ADD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8DFC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4 341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285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3 486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F776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4 600</w:t>
            </w:r>
          </w:p>
        </w:tc>
      </w:tr>
      <w:tr w:rsidR="00494D58" w:rsidRPr="00494D58" w14:paraId="79E79E6D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F3C6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Skulder till koncernföretag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8343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908BC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115 909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08D0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58 675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BD85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54 072</w:t>
            </w:r>
          </w:p>
        </w:tc>
      </w:tr>
      <w:tr w:rsidR="00494D58" w:rsidRPr="00494D58" w14:paraId="5AE0BD03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5C278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Skulder till joint </w:t>
            </w:r>
            <w:proofErr w:type="spellStart"/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ventures</w:t>
            </w:r>
            <w:proofErr w:type="spellEnd"/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 och intresseföretag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92A1A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0F0A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60 537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FBE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3 500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A07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2 500</w:t>
            </w:r>
          </w:p>
        </w:tc>
      </w:tr>
      <w:tr w:rsidR="00494D58" w:rsidRPr="00494D58" w14:paraId="6F85ED69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FF660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Övriga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5D61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2DA7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21 747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3E43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6 107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6FBC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28 534</w:t>
            </w:r>
          </w:p>
        </w:tc>
      </w:tr>
      <w:tr w:rsidR="00494D58" w:rsidRPr="00494D58" w14:paraId="657B8DDB" w14:textId="77777777" w:rsidTr="00494D58">
        <w:trPr>
          <w:trHeight w:val="315"/>
        </w:trPr>
        <w:tc>
          <w:tcPr>
            <w:tcW w:w="4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F1D977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Upplupna kostnader och förutbetalda intäkter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5448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E3DD37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26 108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A7AE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41 090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97CF5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45 400</w:t>
            </w:r>
          </w:p>
        </w:tc>
      </w:tr>
      <w:tr w:rsidR="00494D58" w:rsidRPr="00494D58" w14:paraId="323B9A94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F601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v-SE"/>
              </w:rPr>
              <w:t>Summa kortfristiga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96344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013E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605 950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83AF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822 330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BA72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  <w:t>362 736</w:t>
            </w:r>
          </w:p>
        </w:tc>
      </w:tr>
      <w:tr w:rsidR="00494D58" w:rsidRPr="00494D58" w14:paraId="336CE356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600A6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D84C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A6B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EEF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E701" w14:textId="77777777" w:rsidR="00494D58" w:rsidRPr="00494D58" w:rsidRDefault="00494D58" w:rsidP="00494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494D58" w:rsidRPr="00494D58" w14:paraId="530697BF" w14:textId="77777777" w:rsidTr="00494D58">
        <w:trPr>
          <w:trHeight w:val="300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A2924" w14:textId="77777777" w:rsidR="00494D58" w:rsidRPr="00494D58" w:rsidRDefault="00494D58" w:rsidP="00494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SUMMA EGET KAPITAL OCH SKULDER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D8E53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EA69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3 543 190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272F8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3 669 122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1701B" w14:textId="77777777" w:rsidR="00494D58" w:rsidRPr="00494D58" w:rsidRDefault="00494D58" w:rsidP="00494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494D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3 376 236</w:t>
            </w:r>
          </w:p>
        </w:tc>
      </w:tr>
    </w:tbl>
    <w:p w14:paraId="3FF42EBE" w14:textId="77777777" w:rsidR="00500DEA" w:rsidRPr="004B165F" w:rsidRDefault="00500DEA" w:rsidP="00D65831">
      <w:pPr>
        <w:pStyle w:val="Ingetavstnd"/>
        <w:jc w:val="both"/>
        <w:rPr>
          <w:rFonts w:ascii="Arial" w:hAnsi="Arial" w:cs="Arial"/>
          <w:b/>
          <w:sz w:val="20"/>
        </w:rPr>
      </w:pPr>
    </w:p>
    <w:p w14:paraId="03847AD7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0C692A07" w14:textId="77777777" w:rsidR="007D6C46" w:rsidRDefault="007D6C46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  <w:r>
        <w:rPr>
          <w:rFonts w:ascii="Arial" w:hAnsi="Arial" w:cs="Arial"/>
          <w:b/>
          <w:color w:val="FF8200"/>
          <w:sz w:val="20"/>
        </w:rPr>
        <w:br w:type="page"/>
      </w:r>
    </w:p>
    <w:p w14:paraId="397E108E" w14:textId="77777777" w:rsidR="00500DEA" w:rsidRPr="00604F73" w:rsidRDefault="00500DEA" w:rsidP="00D65831">
      <w:pPr>
        <w:pStyle w:val="Ingetavstnd"/>
        <w:jc w:val="both"/>
        <w:rPr>
          <w:rFonts w:ascii="Arial" w:hAnsi="Arial" w:cs="Arial"/>
          <w:b/>
          <w:sz w:val="20"/>
        </w:rPr>
      </w:pPr>
      <w:r w:rsidRPr="00604F73">
        <w:rPr>
          <w:rFonts w:ascii="Arial" w:hAnsi="Arial" w:cs="Arial"/>
          <w:b/>
          <w:sz w:val="20"/>
        </w:rPr>
        <w:lastRenderedPageBreak/>
        <w:t>FÖRÄNDRINGAR I MODERBOLAGETS EGET KAPITAL I SAMMANDRAG</w:t>
      </w:r>
    </w:p>
    <w:p w14:paraId="344DF266" w14:textId="77777777" w:rsidR="00500DEA" w:rsidRDefault="00500DEA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2D591297" w14:textId="77777777" w:rsidR="008E35C2" w:rsidRDefault="008E35C2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tbl>
      <w:tblPr>
        <w:tblW w:w="58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"/>
        <w:gridCol w:w="9797"/>
        <w:gridCol w:w="41"/>
        <w:gridCol w:w="105"/>
        <w:gridCol w:w="53"/>
        <w:gridCol w:w="94"/>
        <w:gridCol w:w="58"/>
        <w:gridCol w:w="98"/>
        <w:gridCol w:w="88"/>
        <w:gridCol w:w="71"/>
        <w:gridCol w:w="82"/>
        <w:gridCol w:w="64"/>
        <w:gridCol w:w="83"/>
      </w:tblGrid>
      <w:tr w:rsidR="008E35C2" w:rsidRPr="008E35C2" w14:paraId="2D216680" w14:textId="77777777" w:rsidTr="00510798">
        <w:trPr>
          <w:gridAfter w:val="1"/>
          <w:wAfter w:w="38" w:type="pct"/>
          <w:trHeight w:val="300"/>
        </w:trPr>
        <w:tc>
          <w:tcPr>
            <w:tcW w:w="4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7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20"/>
              <w:gridCol w:w="1120"/>
              <w:gridCol w:w="1120"/>
              <w:gridCol w:w="1120"/>
              <w:gridCol w:w="1120"/>
              <w:gridCol w:w="1120"/>
            </w:tblGrid>
            <w:tr w:rsidR="00510798" w:rsidRPr="00510798" w14:paraId="2C7AD5E4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EE049C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3AB83" w14:textId="11037229" w:rsidR="00510798" w:rsidRPr="00510798" w:rsidRDefault="00157CFC" w:rsidP="00157C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Bundet eget kapital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7AE6F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FBBD1A" w14:textId="5672F688" w:rsidR="00510798" w:rsidRPr="00510798" w:rsidRDefault="00157CFC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Fritt eget kapital</w:t>
                  </w:r>
                </w:p>
              </w:tc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2740D" w14:textId="53469946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</w:tr>
            <w:tr w:rsidR="00510798" w:rsidRPr="00510798" w14:paraId="7063082A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C4405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A7CDB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4E64E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404D9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Balanserat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CAA963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Periodens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1096A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</w:tr>
            <w:tr w:rsidR="00510798" w:rsidRPr="00510798" w14:paraId="7A1BFBFF" w14:textId="77777777" w:rsidTr="00510798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3D1963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TSEK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3B49F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Aktiekapital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35007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Reservfond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5ED03C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resultat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757D3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Resultat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1252E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Summa</w:t>
                  </w:r>
                </w:p>
              </w:tc>
            </w:tr>
            <w:tr w:rsidR="00510798" w:rsidRPr="00510798" w14:paraId="431861B1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9F5EE0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Ingående eget kapital per 2018-01-01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0766F4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058598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E2E1BA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1 859 646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FA575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297 877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4817C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2 158 063</w:t>
                  </w:r>
                </w:p>
              </w:tc>
            </w:tr>
            <w:tr w:rsidR="00510798" w:rsidRPr="00510798" w14:paraId="79ADE484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688F81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Föregående års resultat omföres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561749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C83A0B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C67686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297 877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1CF7EE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-297 877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604E7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</w:tr>
            <w:tr w:rsidR="00510798" w:rsidRPr="00510798" w14:paraId="667421FE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24A73F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Utdelning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30E923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6CC7F8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405047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-30 000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54B62A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DD6B8F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-30 000</w:t>
                  </w:r>
                </w:p>
              </w:tc>
            </w:tr>
            <w:tr w:rsidR="00510798" w:rsidRPr="00510798" w14:paraId="148476E7" w14:textId="77777777" w:rsidTr="00510798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48ED56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Periodens resultat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5AA79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29C092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CD680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1B7C0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70E81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</w:tr>
            <w:tr w:rsidR="00510798" w:rsidRPr="00510798" w14:paraId="6BE6F6C6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D22667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Belopp vid periodens utgång 2018-06-30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1816E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32B14C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8785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sv-SE"/>
                    </w:rPr>
                    <w:t>2 127 523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BC8EC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-88 137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BD0EA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2 039 926</w:t>
                  </w:r>
                </w:p>
              </w:tc>
            </w:tr>
            <w:tr w:rsidR="00510798" w:rsidRPr="00510798" w14:paraId="5AB9C677" w14:textId="77777777" w:rsidTr="00510798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6044A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Periodens resultat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2F563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0A37F7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11F85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70F3F3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137 222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4BA304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137 222</w:t>
                  </w:r>
                </w:p>
              </w:tc>
            </w:tr>
            <w:tr w:rsidR="00510798" w:rsidRPr="00510798" w14:paraId="795305CC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FFA05E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Belopp vid periodens utgång 2018-12-31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B8078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055D32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D525E0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2 127 523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ACCA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29168E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2 177 148</w:t>
                  </w:r>
                </w:p>
              </w:tc>
            </w:tr>
            <w:tr w:rsidR="00510798" w:rsidRPr="00510798" w14:paraId="519F4FAB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125681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Föregående års resultat omföres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8D3BDA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3DDB62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624F5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49 085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94832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-49 085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73E57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0</w:t>
                  </w:r>
                </w:p>
              </w:tc>
            </w:tr>
            <w:tr w:rsidR="00510798" w:rsidRPr="00510798" w14:paraId="5B7DA435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03892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Utdelning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4736FE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159513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04DBD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-24 500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7263BA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68BF3E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-24 500</w:t>
                  </w:r>
                </w:p>
              </w:tc>
            </w:tr>
            <w:tr w:rsidR="00510798" w:rsidRPr="00510798" w14:paraId="1EA3095F" w14:textId="77777777" w:rsidTr="00510798">
              <w:trPr>
                <w:trHeight w:val="315"/>
              </w:trPr>
              <w:tc>
                <w:tcPr>
                  <w:tcW w:w="4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117AAA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Periodens resultat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BBDCC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CD26A2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FE181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sz w:val="16"/>
                      <w:szCs w:val="16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8AE4BD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75D618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</w:tr>
            <w:tr w:rsidR="00510798" w:rsidRPr="00510798" w14:paraId="1C0AC919" w14:textId="77777777" w:rsidTr="00510798">
              <w:trPr>
                <w:trHeight w:val="300"/>
              </w:trPr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AB5342" w14:textId="77777777" w:rsidR="00510798" w:rsidRPr="00510798" w:rsidRDefault="00510798" w:rsidP="0051079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Belopp vid periodens utgång 2019-06-30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A5EB56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20C7E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40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63E34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2 152 108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5ED111A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-118 463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B605D7" w14:textId="77777777" w:rsidR="00510798" w:rsidRPr="00510798" w:rsidRDefault="00510798" w:rsidP="0051079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</w:pPr>
                  <w:r w:rsidRPr="0051079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sv-SE"/>
                    </w:rPr>
                    <w:t>2 034 185</w:t>
                  </w:r>
                </w:p>
              </w:tc>
            </w:tr>
          </w:tbl>
          <w:p w14:paraId="4D2AF509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sv-SE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2D5E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sv-SE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4337C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sv-SE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E8B2" w14:textId="14B261A2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sv-SE"/>
              </w:rPr>
            </w:pPr>
          </w:p>
        </w:tc>
        <w:tc>
          <w:tcPr>
            <w:tcW w:w="1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6EDE6" w14:textId="0095FA5D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sv-SE"/>
              </w:rPr>
            </w:pPr>
          </w:p>
        </w:tc>
      </w:tr>
      <w:tr w:rsidR="0065427A" w:rsidRPr="0065427A" w14:paraId="7B4D682E" w14:textId="77777777" w:rsidTr="00510798">
        <w:trPr>
          <w:gridBefore w:val="1"/>
          <w:wBefore w:w="29" w:type="pct"/>
          <w:trHeight w:val="300"/>
        </w:trPr>
        <w:tc>
          <w:tcPr>
            <w:tcW w:w="4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A451A" w14:textId="77777777" w:rsidR="0065427A" w:rsidRPr="0065427A" w:rsidRDefault="0065427A" w:rsidP="006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9B59C" w14:textId="77777777" w:rsidR="0065427A" w:rsidRPr="0065427A" w:rsidRDefault="0065427A" w:rsidP="006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9173D" w14:textId="77777777" w:rsidR="0065427A" w:rsidRPr="0065427A" w:rsidRDefault="0065427A" w:rsidP="006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3269" w14:textId="7D39813D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3C947" w14:textId="78520292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</w:tr>
      <w:tr w:rsidR="0065427A" w:rsidRPr="0065427A" w14:paraId="6D64B3BE" w14:textId="77777777" w:rsidTr="00510798">
        <w:trPr>
          <w:gridBefore w:val="1"/>
          <w:wBefore w:w="29" w:type="pct"/>
          <w:trHeight w:val="300"/>
        </w:trPr>
        <w:tc>
          <w:tcPr>
            <w:tcW w:w="4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2A02C" w14:textId="77777777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B4BD" w14:textId="77777777" w:rsidR="0065427A" w:rsidRPr="0065427A" w:rsidRDefault="0065427A" w:rsidP="006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A110" w14:textId="77777777" w:rsidR="0065427A" w:rsidRPr="0065427A" w:rsidRDefault="0065427A" w:rsidP="006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9398" w14:textId="3F7CAE92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EB37" w14:textId="221FF813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64AE9" w14:textId="77777777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</w:tr>
      <w:tr w:rsidR="0065427A" w:rsidRPr="0065427A" w14:paraId="5CC3BFB2" w14:textId="77777777" w:rsidTr="00510798">
        <w:trPr>
          <w:gridBefore w:val="1"/>
          <w:wBefore w:w="29" w:type="pct"/>
          <w:trHeight w:val="300"/>
        </w:trPr>
        <w:tc>
          <w:tcPr>
            <w:tcW w:w="45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5EC6B" w14:textId="4EE274F5" w:rsidR="0065427A" w:rsidRPr="0065427A" w:rsidRDefault="0065427A" w:rsidP="006542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A35A" w14:textId="34C6EF98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6B5C5" w14:textId="71285EBA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82CFE" w14:textId="6C7C21C4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2F1BA" w14:textId="1DB60F78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0442A" w14:textId="0D0F4426" w:rsidR="0065427A" w:rsidRPr="0065427A" w:rsidRDefault="0065427A" w:rsidP="006542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</w:tr>
      <w:tr w:rsidR="008E35C2" w:rsidRPr="008E35C2" w14:paraId="0474CA10" w14:textId="77777777" w:rsidTr="00510798">
        <w:trPr>
          <w:gridAfter w:val="1"/>
          <w:wAfter w:w="38" w:type="pct"/>
          <w:trHeight w:val="300"/>
        </w:trPr>
        <w:tc>
          <w:tcPr>
            <w:tcW w:w="4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FD16" w14:textId="77777777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sv-SE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B24DC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sv-SE"/>
              </w:rPr>
            </w:pPr>
          </w:p>
        </w:tc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1ED1B" w14:textId="77777777" w:rsidR="008E35C2" w:rsidRPr="008E35C2" w:rsidRDefault="008E35C2" w:rsidP="008E35C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sv-SE"/>
              </w:rPr>
            </w:pPr>
          </w:p>
        </w:tc>
        <w:tc>
          <w:tcPr>
            <w:tcW w:w="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EED7" w14:textId="4671C1A1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6"/>
                <w:lang w:eastAsia="sv-SE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7343" w14:textId="1A583EE6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sv-SE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6C449" w14:textId="77777777" w:rsidR="008E35C2" w:rsidRPr="008E35C2" w:rsidRDefault="008E35C2" w:rsidP="008E35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sv-SE"/>
              </w:rPr>
            </w:pPr>
          </w:p>
        </w:tc>
      </w:tr>
    </w:tbl>
    <w:p w14:paraId="717E3819" w14:textId="77777777" w:rsidR="00CD0C56" w:rsidRDefault="00CD0C56" w:rsidP="00D65831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123B10FE" w14:textId="77777777" w:rsidR="00CD0C56" w:rsidRDefault="00CD0C56">
      <w:pPr>
        <w:rPr>
          <w:rFonts w:ascii="Arial" w:eastAsiaTheme="minorEastAsia" w:hAnsi="Arial" w:cs="Arial"/>
          <w:b/>
          <w:color w:val="FF8200"/>
          <w:sz w:val="20"/>
          <w:lang w:eastAsia="sv-SE"/>
        </w:rPr>
      </w:pPr>
      <w:r>
        <w:rPr>
          <w:rFonts w:ascii="Arial" w:hAnsi="Arial" w:cs="Arial"/>
          <w:b/>
          <w:color w:val="FF8200"/>
          <w:sz w:val="20"/>
        </w:rPr>
        <w:br w:type="page"/>
      </w:r>
    </w:p>
    <w:p w14:paraId="7F07A820" w14:textId="5BD2392A" w:rsidR="003C6AC8" w:rsidRDefault="003C6AC8" w:rsidP="003C6AC8">
      <w:pPr>
        <w:pStyle w:val="Ingetavstnd"/>
        <w:jc w:val="both"/>
        <w:rPr>
          <w:rFonts w:ascii="Arial" w:hAnsi="Arial" w:cs="Arial"/>
          <w:b/>
          <w:sz w:val="20"/>
        </w:rPr>
      </w:pPr>
      <w:r w:rsidRPr="00C6079E">
        <w:rPr>
          <w:rFonts w:ascii="Arial" w:hAnsi="Arial" w:cs="Arial"/>
          <w:b/>
          <w:sz w:val="20"/>
        </w:rPr>
        <w:lastRenderedPageBreak/>
        <w:t>KALENDARIUM</w:t>
      </w:r>
    </w:p>
    <w:p w14:paraId="2AE7D78D" w14:textId="77777777" w:rsidR="00150630" w:rsidRPr="00C6079E" w:rsidRDefault="00150630" w:rsidP="003C6AC8">
      <w:pPr>
        <w:pStyle w:val="Ingetavstnd"/>
        <w:jc w:val="both"/>
        <w:rPr>
          <w:rFonts w:ascii="Arial" w:hAnsi="Arial" w:cs="Arial"/>
          <w:b/>
          <w:sz w:val="20"/>
        </w:rPr>
      </w:pPr>
    </w:p>
    <w:p w14:paraId="051C153F" w14:textId="5E6B7772" w:rsidR="003C27C2" w:rsidRDefault="00150630" w:rsidP="00F47AE6">
      <w:pPr>
        <w:pStyle w:val="Ingetavstnd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3C27C2">
        <w:rPr>
          <w:rFonts w:ascii="Arial" w:hAnsi="Arial" w:cs="Arial"/>
          <w:sz w:val="20"/>
        </w:rPr>
        <w:t>elårsr</w:t>
      </w:r>
      <w:r w:rsidR="00633DF8">
        <w:rPr>
          <w:rFonts w:ascii="Arial" w:hAnsi="Arial" w:cs="Arial"/>
          <w:sz w:val="20"/>
        </w:rPr>
        <w:t>apport Q3</w:t>
      </w:r>
      <w:r w:rsidR="00924979">
        <w:rPr>
          <w:rFonts w:ascii="Arial" w:hAnsi="Arial" w:cs="Arial"/>
          <w:sz w:val="20"/>
        </w:rPr>
        <w:t xml:space="preserve"> 201</w:t>
      </w:r>
      <w:r w:rsidR="00E5427E">
        <w:rPr>
          <w:rFonts w:ascii="Arial" w:hAnsi="Arial" w:cs="Arial"/>
          <w:sz w:val="20"/>
        </w:rPr>
        <w:t>9</w:t>
      </w:r>
      <w:r w:rsidR="00924979">
        <w:rPr>
          <w:rFonts w:ascii="Arial" w:hAnsi="Arial" w:cs="Arial"/>
          <w:sz w:val="20"/>
        </w:rPr>
        <w:t xml:space="preserve"> publiceras den </w:t>
      </w:r>
      <w:r w:rsidR="00633DF8">
        <w:rPr>
          <w:rFonts w:ascii="Arial" w:hAnsi="Arial" w:cs="Arial"/>
          <w:sz w:val="20"/>
        </w:rPr>
        <w:t>30</w:t>
      </w:r>
      <w:r w:rsidR="003C27C2">
        <w:rPr>
          <w:rFonts w:ascii="Arial" w:hAnsi="Arial" w:cs="Arial"/>
          <w:sz w:val="20"/>
        </w:rPr>
        <w:t xml:space="preserve"> </w:t>
      </w:r>
      <w:r w:rsidR="00633DF8">
        <w:rPr>
          <w:rFonts w:ascii="Arial" w:hAnsi="Arial" w:cs="Arial"/>
          <w:sz w:val="20"/>
        </w:rPr>
        <w:t>november</w:t>
      </w:r>
      <w:r w:rsidR="003C27C2">
        <w:rPr>
          <w:rFonts w:ascii="Arial" w:hAnsi="Arial" w:cs="Arial"/>
          <w:sz w:val="20"/>
        </w:rPr>
        <w:t xml:space="preserve"> 201</w:t>
      </w:r>
      <w:r w:rsidR="00E5427E">
        <w:rPr>
          <w:rFonts w:ascii="Arial" w:hAnsi="Arial" w:cs="Arial"/>
          <w:sz w:val="20"/>
        </w:rPr>
        <w:t>9</w:t>
      </w:r>
    </w:p>
    <w:p w14:paraId="2167D699" w14:textId="50E8457D" w:rsidR="00633DF8" w:rsidRPr="00F47AE6" w:rsidRDefault="00633DF8" w:rsidP="00F47AE6">
      <w:pPr>
        <w:pStyle w:val="Ingetavstnd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Bokslutskommuniké 201</w:t>
      </w:r>
      <w:r w:rsidR="00E5427E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 xml:space="preserve"> publiceras den 28 februari 20</w:t>
      </w:r>
      <w:r w:rsidR="00E5427E">
        <w:rPr>
          <w:rFonts w:ascii="Arial" w:hAnsi="Arial" w:cs="Arial"/>
          <w:sz w:val="20"/>
        </w:rPr>
        <w:t>20</w:t>
      </w:r>
    </w:p>
    <w:p w14:paraId="27A074B7" w14:textId="77777777" w:rsidR="003C6AC8" w:rsidRDefault="003C6AC8" w:rsidP="00EB7EF5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51AA4EBF" w14:textId="77777777" w:rsidR="003C6AC8" w:rsidRDefault="003C6AC8" w:rsidP="00EB7EF5">
      <w:pPr>
        <w:pStyle w:val="Ingetavstnd"/>
        <w:jc w:val="both"/>
        <w:rPr>
          <w:rFonts w:ascii="Arial" w:hAnsi="Arial" w:cs="Arial"/>
          <w:b/>
          <w:color w:val="FF8200"/>
          <w:sz w:val="20"/>
        </w:rPr>
      </w:pPr>
    </w:p>
    <w:p w14:paraId="0D9BCD0E" w14:textId="77777777" w:rsidR="00EB7EF5" w:rsidRPr="00C6079E" w:rsidRDefault="00EB7EF5" w:rsidP="00EB7EF5">
      <w:pPr>
        <w:pStyle w:val="Ingetavstnd"/>
        <w:jc w:val="both"/>
        <w:rPr>
          <w:rFonts w:ascii="Arial" w:hAnsi="Arial" w:cs="Arial"/>
          <w:b/>
          <w:sz w:val="20"/>
        </w:rPr>
      </w:pPr>
      <w:r w:rsidRPr="00C6079E">
        <w:rPr>
          <w:rFonts w:ascii="Arial" w:hAnsi="Arial" w:cs="Arial"/>
          <w:b/>
          <w:sz w:val="20"/>
        </w:rPr>
        <w:t>VÄSENTLIGA RISKER OCH OSÄKERHETSFAKTORER</w:t>
      </w:r>
    </w:p>
    <w:p w14:paraId="2D16597E" w14:textId="2FC21B1B" w:rsidR="008F25C9" w:rsidRPr="00633DF8" w:rsidRDefault="00532387" w:rsidP="0083384A">
      <w:pPr>
        <w:pStyle w:val="Ingetavstnd"/>
        <w:jc w:val="both"/>
        <w:rPr>
          <w:rFonts w:ascii="Arial" w:hAnsi="Arial" w:cs="Arial"/>
          <w:b/>
          <w:sz w:val="20"/>
        </w:rPr>
      </w:pPr>
      <w:proofErr w:type="spellStart"/>
      <w:r w:rsidRPr="00532387">
        <w:rPr>
          <w:rFonts w:ascii="Arial" w:hAnsi="Arial" w:cs="Arial"/>
          <w:sz w:val="20"/>
        </w:rPr>
        <w:t>Kvalitenas</w:t>
      </w:r>
      <w:proofErr w:type="spellEnd"/>
      <w:r w:rsidRPr="00532387">
        <w:rPr>
          <w:rFonts w:ascii="Arial" w:hAnsi="Arial" w:cs="Arial"/>
          <w:sz w:val="20"/>
        </w:rPr>
        <w:t xml:space="preserve"> verksamhet är löpande utsatt för olika risker och möjligheter som kan få betydelse för bolagets verksamhet, resultat och finansiella ställning.</w:t>
      </w:r>
      <w:r>
        <w:rPr>
          <w:rFonts w:ascii="Arial" w:hAnsi="Arial" w:cs="Arial"/>
          <w:sz w:val="20"/>
        </w:rPr>
        <w:t xml:space="preserve"> De huvudsakliga riskerna som bolaget är utsatta för utgörs av prisrisk, fastighetsrelaterade risker, finansieringsrisk samt organisatoriska risker. Mer information om dessa risker och övriga osäkerhetsfaktorer återfinns </w:t>
      </w:r>
      <w:r w:rsidRPr="00802E7A">
        <w:rPr>
          <w:rFonts w:ascii="Arial" w:hAnsi="Arial" w:cs="Arial"/>
          <w:sz w:val="20"/>
        </w:rPr>
        <w:t>i Bolagets årsredovisning för räkenskapsåret 201</w:t>
      </w:r>
      <w:r w:rsidR="00E5427E">
        <w:rPr>
          <w:rFonts w:ascii="Arial" w:hAnsi="Arial" w:cs="Arial"/>
          <w:sz w:val="20"/>
        </w:rPr>
        <w:t>8</w:t>
      </w:r>
      <w:r w:rsidRPr="00802E7A">
        <w:rPr>
          <w:rFonts w:ascii="Arial" w:hAnsi="Arial" w:cs="Arial"/>
          <w:sz w:val="20"/>
        </w:rPr>
        <w:t>.</w:t>
      </w:r>
    </w:p>
    <w:p w14:paraId="4D741495" w14:textId="77777777" w:rsidR="008F25C9" w:rsidRDefault="008F25C9" w:rsidP="008F25C9">
      <w:pPr>
        <w:rPr>
          <w:rFonts w:ascii="Arial" w:hAnsi="Arial" w:cs="Arial"/>
          <w:b/>
          <w:color w:val="FF8200"/>
          <w:sz w:val="20"/>
        </w:rPr>
      </w:pPr>
    </w:p>
    <w:p w14:paraId="794681D9" w14:textId="77777777" w:rsidR="008F25C9" w:rsidRPr="00C6079E" w:rsidRDefault="00EB7EF5" w:rsidP="008F25C9">
      <w:pPr>
        <w:pStyle w:val="Ingetavstnd"/>
        <w:jc w:val="both"/>
        <w:rPr>
          <w:rFonts w:ascii="Arial" w:hAnsi="Arial" w:cs="Arial"/>
          <w:b/>
          <w:sz w:val="20"/>
        </w:rPr>
      </w:pPr>
      <w:r w:rsidRPr="00C6079E">
        <w:rPr>
          <w:rFonts w:ascii="Arial" w:hAnsi="Arial" w:cs="Arial"/>
          <w:b/>
          <w:sz w:val="20"/>
        </w:rPr>
        <w:t>REDOVISNINGSPRINCIPER</w:t>
      </w:r>
    </w:p>
    <w:p w14:paraId="20F06D5A" w14:textId="206A3796" w:rsidR="00EB7EF5" w:rsidRDefault="00883285" w:rsidP="008F25C9">
      <w:pPr>
        <w:pStyle w:val="Ingetavstnd"/>
        <w:jc w:val="both"/>
        <w:rPr>
          <w:rFonts w:ascii="Arial" w:hAnsi="Arial" w:cs="Arial"/>
          <w:sz w:val="20"/>
        </w:rPr>
      </w:pPr>
      <w:r w:rsidRPr="008F25C9">
        <w:rPr>
          <w:rFonts w:ascii="Arial" w:hAnsi="Arial" w:cs="Arial"/>
          <w:sz w:val="20"/>
        </w:rPr>
        <w:t xml:space="preserve">Denna delårsrapport är upprättad i enlighet med IAS 34 Delårsrapportering och Årsredovisningslagen. Samma redovisnings- och värderingsprinciper samt beräkningsmetoder har tillämpats som i den senast avgivna </w:t>
      </w:r>
      <w:r w:rsidR="008F25C9" w:rsidRPr="008F25C9">
        <w:rPr>
          <w:rFonts w:ascii="Arial" w:hAnsi="Arial" w:cs="Arial"/>
          <w:sz w:val="20"/>
        </w:rPr>
        <w:t xml:space="preserve">finansiella informationen, se not </w:t>
      </w:r>
      <w:r w:rsidR="00157CFC">
        <w:rPr>
          <w:rFonts w:ascii="Arial" w:hAnsi="Arial" w:cs="Arial"/>
          <w:sz w:val="20"/>
        </w:rPr>
        <w:t>2</w:t>
      </w:r>
      <w:r w:rsidR="008F25C9" w:rsidRPr="008F25C9">
        <w:rPr>
          <w:rFonts w:ascii="Arial" w:hAnsi="Arial" w:cs="Arial"/>
          <w:sz w:val="20"/>
        </w:rPr>
        <w:t xml:space="preserve"> till årsredovisning 201</w:t>
      </w:r>
      <w:r w:rsidR="00157CFC">
        <w:rPr>
          <w:rFonts w:ascii="Arial" w:hAnsi="Arial" w:cs="Arial"/>
          <w:sz w:val="20"/>
        </w:rPr>
        <w:t>8</w:t>
      </w:r>
      <w:r w:rsidR="008F25C9" w:rsidRPr="008F25C9">
        <w:rPr>
          <w:rFonts w:ascii="Arial" w:hAnsi="Arial" w:cs="Arial"/>
          <w:sz w:val="20"/>
        </w:rPr>
        <w:t>. Förvaltningsfastigheter redovisas enligt IFRS 13 i enlighet med nivå 3. Verkligt värde för finansiella instrument överensstämmer i allt väsentligt med redovisade värden. Moderbolaget tillämpar Årsre</w:t>
      </w:r>
      <w:bookmarkStart w:id="1" w:name="_GoBack"/>
      <w:bookmarkEnd w:id="1"/>
      <w:r w:rsidR="008F25C9" w:rsidRPr="008F25C9">
        <w:rPr>
          <w:rFonts w:ascii="Arial" w:hAnsi="Arial" w:cs="Arial"/>
          <w:sz w:val="20"/>
        </w:rPr>
        <w:t>dovisningslagen och RFR 2 Redovisning för juridiska personer.</w:t>
      </w:r>
    </w:p>
    <w:p w14:paraId="6375034C" w14:textId="1B0C5679" w:rsidR="00E5427E" w:rsidRDefault="00E5427E" w:rsidP="008F25C9">
      <w:pPr>
        <w:pStyle w:val="Ingetavstnd"/>
        <w:jc w:val="both"/>
        <w:rPr>
          <w:rFonts w:ascii="Arial" w:hAnsi="Arial" w:cs="Arial"/>
          <w:sz w:val="20"/>
        </w:rPr>
      </w:pPr>
    </w:p>
    <w:p w14:paraId="1637FC9A" w14:textId="0E4FE7BA" w:rsidR="00FB0345" w:rsidRPr="00FB0345" w:rsidRDefault="00FB0345" w:rsidP="00FB0345">
      <w:pPr>
        <w:pStyle w:val="Ingetavstnd"/>
        <w:jc w:val="both"/>
        <w:rPr>
          <w:rFonts w:ascii="Arial" w:hAnsi="Arial" w:cs="Arial"/>
          <w:sz w:val="20"/>
        </w:rPr>
      </w:pPr>
      <w:r w:rsidRPr="00FB0345">
        <w:rPr>
          <w:rFonts w:ascii="Arial" w:hAnsi="Arial" w:cs="Arial"/>
          <w:sz w:val="20"/>
        </w:rPr>
        <w:t>Koncernen tillämpar från och med 1 januari 2019,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 xml:space="preserve">IFRS 16 Leasing. Standarden innebär att </w:t>
      </w:r>
      <w:proofErr w:type="spellStart"/>
      <w:r w:rsidRPr="00FB0345">
        <w:rPr>
          <w:rFonts w:ascii="Arial" w:hAnsi="Arial" w:cs="Arial"/>
          <w:sz w:val="20"/>
        </w:rPr>
        <w:t>leasetagare</w:t>
      </w:r>
      <w:proofErr w:type="spellEnd"/>
      <w:r w:rsidRPr="00FB0345">
        <w:rPr>
          <w:rFonts w:ascii="Arial" w:hAnsi="Arial" w:cs="Arial"/>
          <w:sz w:val="20"/>
        </w:rPr>
        <w:t xml:space="preserve"> ska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>redovisa samtliga leasingkontrakt i balansräkningen med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 xml:space="preserve">undantag för kontrakt kortare än 12 månader eller av mindre belopp. För </w:t>
      </w:r>
      <w:proofErr w:type="spellStart"/>
      <w:r w:rsidRPr="00FB0345">
        <w:rPr>
          <w:rFonts w:ascii="Arial" w:hAnsi="Arial" w:cs="Arial"/>
          <w:sz w:val="20"/>
        </w:rPr>
        <w:t>leasegivare</w:t>
      </w:r>
      <w:proofErr w:type="spellEnd"/>
      <w:r w:rsidRPr="00FB0345">
        <w:rPr>
          <w:rFonts w:ascii="Arial" w:hAnsi="Arial" w:cs="Arial"/>
          <w:sz w:val="20"/>
        </w:rPr>
        <w:t xml:space="preserve"> innebär standarden i princip</w:t>
      </w:r>
    </w:p>
    <w:p w14:paraId="435E2DF5" w14:textId="1D9142D5" w:rsidR="00E5427E" w:rsidRPr="008F25C9" w:rsidRDefault="00FB0345" w:rsidP="00FB0345">
      <w:pPr>
        <w:pStyle w:val="Ingetavstnd"/>
        <w:jc w:val="both"/>
        <w:rPr>
          <w:rFonts w:ascii="Arial" w:hAnsi="Arial" w:cs="Arial"/>
          <w:sz w:val="20"/>
        </w:rPr>
      </w:pPr>
      <w:r w:rsidRPr="00FB0345">
        <w:rPr>
          <w:rFonts w:ascii="Arial" w:hAnsi="Arial" w:cs="Arial"/>
          <w:sz w:val="20"/>
        </w:rPr>
        <w:t>oförändrad redovisning. Av koncernens leasingavtal har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 xml:space="preserve">redovisningen av tomträttsavgälder störst betydelse. </w:t>
      </w:r>
      <w:proofErr w:type="spellStart"/>
      <w:r w:rsidRPr="00FB034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valitena</w:t>
      </w:r>
      <w:proofErr w:type="spellEnd"/>
      <w:r w:rsidRPr="00FB0345">
        <w:rPr>
          <w:rFonts w:ascii="Arial" w:hAnsi="Arial" w:cs="Arial"/>
          <w:sz w:val="20"/>
        </w:rPr>
        <w:t xml:space="preserve"> har med anledning av införandet av IFRS 16 redovisat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>en nyttjanderättstillgång och en finansiell leasingskuld,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>hänförliga till tomträtter, i balansräkningen. Tomträttsavgäld</w:t>
      </w:r>
      <w:r>
        <w:rPr>
          <w:rFonts w:ascii="Arial" w:hAnsi="Arial" w:cs="Arial"/>
          <w:sz w:val="20"/>
        </w:rPr>
        <w:t>er</w:t>
      </w:r>
      <w:r w:rsidRPr="00FB0345">
        <w:rPr>
          <w:rFonts w:ascii="Arial" w:hAnsi="Arial" w:cs="Arial"/>
          <w:sz w:val="20"/>
        </w:rPr>
        <w:t xml:space="preserve"> kopplade till dessa avtal, som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>tidigare redovisats inom driftöverskottet, redovisas från och</w:t>
      </w:r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 xml:space="preserve">med 2019 inom finansnettot i resultaträkningen. </w:t>
      </w:r>
      <w:proofErr w:type="spellStart"/>
      <w:r w:rsidRPr="00FB034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valitena</w:t>
      </w:r>
      <w:proofErr w:type="spellEnd"/>
      <w:r>
        <w:rPr>
          <w:rFonts w:ascii="Arial" w:hAnsi="Arial" w:cs="Arial"/>
          <w:sz w:val="20"/>
        </w:rPr>
        <w:t xml:space="preserve"> </w:t>
      </w:r>
      <w:r w:rsidRPr="00FB0345">
        <w:rPr>
          <w:rFonts w:ascii="Arial" w:hAnsi="Arial" w:cs="Arial"/>
          <w:sz w:val="20"/>
        </w:rPr>
        <w:t>tillämpar inte standarden retroaktivt vilket innebär att jämförelsetalen inte har omräknats</w:t>
      </w:r>
      <w:r>
        <w:rPr>
          <w:rFonts w:ascii="Arial" w:hAnsi="Arial" w:cs="Arial"/>
          <w:sz w:val="20"/>
        </w:rPr>
        <w:t>.</w:t>
      </w:r>
    </w:p>
    <w:p w14:paraId="429FD190" w14:textId="77777777" w:rsidR="008F25C9" w:rsidRDefault="008F25C9" w:rsidP="00D65831">
      <w:pPr>
        <w:pStyle w:val="Ingetavstnd"/>
        <w:jc w:val="both"/>
        <w:rPr>
          <w:rFonts w:ascii="Arial" w:hAnsi="Arial" w:cs="Arial"/>
          <w:sz w:val="20"/>
        </w:rPr>
      </w:pPr>
    </w:p>
    <w:p w14:paraId="0837602D" w14:textId="77777777" w:rsidR="008F25C9" w:rsidRDefault="008F25C9" w:rsidP="00D65831">
      <w:pPr>
        <w:pStyle w:val="Ingetavstnd"/>
        <w:jc w:val="both"/>
        <w:rPr>
          <w:rFonts w:ascii="Arial" w:hAnsi="Arial" w:cs="Arial"/>
          <w:sz w:val="20"/>
        </w:rPr>
      </w:pPr>
    </w:p>
    <w:p w14:paraId="4F71502D" w14:textId="77777777" w:rsidR="008F25C9" w:rsidRPr="00C6079E" w:rsidRDefault="008F25C9" w:rsidP="008F25C9">
      <w:pPr>
        <w:pStyle w:val="Ingetavstnd"/>
        <w:jc w:val="both"/>
        <w:rPr>
          <w:rFonts w:ascii="Arial" w:hAnsi="Arial" w:cs="Arial"/>
          <w:b/>
          <w:sz w:val="20"/>
        </w:rPr>
      </w:pPr>
      <w:r w:rsidRPr="00C6079E">
        <w:rPr>
          <w:rFonts w:ascii="Arial" w:hAnsi="Arial" w:cs="Arial"/>
          <w:b/>
          <w:sz w:val="20"/>
        </w:rPr>
        <w:t>REVISORS GRANSKNING</w:t>
      </w:r>
    </w:p>
    <w:p w14:paraId="491DA02B" w14:textId="77777777" w:rsidR="008F25C9" w:rsidRPr="00883285" w:rsidRDefault="008F25C9" w:rsidP="00D65831">
      <w:pPr>
        <w:pStyle w:val="Ingetavstnd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Denna delårsrapport har inte varit föremål för granskning av bolagets revisorer.</w:t>
      </w:r>
    </w:p>
    <w:p w14:paraId="109678F3" w14:textId="77777777" w:rsidR="0000112D" w:rsidRDefault="0000112D" w:rsidP="003250C8">
      <w:pPr>
        <w:rPr>
          <w:rFonts w:eastAsiaTheme="minorEastAsia"/>
          <w:lang w:eastAsia="sv-SE"/>
        </w:rPr>
      </w:pPr>
    </w:p>
    <w:p w14:paraId="77AAC842" w14:textId="77777777" w:rsidR="00755BCD" w:rsidRDefault="00755BCD" w:rsidP="003250C8">
      <w:pPr>
        <w:rPr>
          <w:rFonts w:eastAsiaTheme="minorEastAsia"/>
          <w:lang w:eastAsia="sv-SE"/>
        </w:rPr>
      </w:pPr>
    </w:p>
    <w:p w14:paraId="6DD17ED7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18FBE97B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1338D267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05EC6E2C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5A4B3CAA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136325D2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5DAE9785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0DF7A5EE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70A5626A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13BD7D3D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677A4308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768ECD1A" w14:textId="77777777" w:rsidR="00755BCD" w:rsidRPr="00D65831" w:rsidRDefault="00755BCD" w:rsidP="00755BCD">
      <w:pPr>
        <w:pStyle w:val="Ingetavstnd"/>
        <w:jc w:val="both"/>
        <w:rPr>
          <w:rFonts w:ascii="Arial" w:hAnsi="Arial" w:cs="Arial"/>
          <w:sz w:val="20"/>
        </w:rPr>
      </w:pPr>
      <w:r w:rsidRPr="00D65831">
        <w:rPr>
          <w:rFonts w:ascii="Arial" w:hAnsi="Arial" w:cs="Arial"/>
          <w:sz w:val="20"/>
        </w:rPr>
        <w:t>Information kan beställas per telefon 08-121 317 00 eller per e-post: info@kvalitena.se</w:t>
      </w:r>
    </w:p>
    <w:p w14:paraId="5F5F6551" w14:textId="77777777" w:rsidR="00755BCD" w:rsidRPr="00D65831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69BEAC77" w14:textId="77777777" w:rsidR="00755BCD" w:rsidRPr="00D65831" w:rsidRDefault="00755BCD" w:rsidP="0083384A">
      <w:pPr>
        <w:pStyle w:val="Ingetavstnd"/>
        <w:jc w:val="both"/>
        <w:rPr>
          <w:rFonts w:ascii="Arial" w:hAnsi="Arial" w:cs="Arial"/>
          <w:sz w:val="20"/>
        </w:rPr>
      </w:pPr>
      <w:r w:rsidRPr="00D65831">
        <w:rPr>
          <w:rFonts w:ascii="Arial" w:hAnsi="Arial" w:cs="Arial"/>
          <w:sz w:val="20"/>
        </w:rPr>
        <w:t>Styrelsen och verkställande direktören intygar härmed att delårsrapporten ger en rättvisande</w:t>
      </w:r>
    </w:p>
    <w:p w14:paraId="52EB3B7A" w14:textId="77777777" w:rsidR="00755BCD" w:rsidRPr="00D65831" w:rsidRDefault="00755BCD" w:rsidP="0083384A">
      <w:pPr>
        <w:pStyle w:val="Ingetavstnd"/>
        <w:jc w:val="both"/>
        <w:rPr>
          <w:rFonts w:ascii="Arial" w:hAnsi="Arial" w:cs="Arial"/>
          <w:sz w:val="20"/>
        </w:rPr>
      </w:pPr>
      <w:r w:rsidRPr="00D65831">
        <w:rPr>
          <w:rFonts w:ascii="Arial" w:hAnsi="Arial" w:cs="Arial"/>
          <w:sz w:val="20"/>
        </w:rPr>
        <w:t>översikt av moderföretaget och koncernens verksamhet, ställning och resultat samt</w:t>
      </w:r>
    </w:p>
    <w:p w14:paraId="2555A6E4" w14:textId="77777777" w:rsidR="00755BCD" w:rsidRPr="00D65831" w:rsidRDefault="00755BCD" w:rsidP="0083384A">
      <w:pPr>
        <w:pStyle w:val="Ingetavstnd"/>
        <w:jc w:val="both"/>
        <w:rPr>
          <w:rFonts w:ascii="Arial" w:hAnsi="Arial" w:cs="Arial"/>
          <w:sz w:val="20"/>
        </w:rPr>
      </w:pPr>
      <w:r w:rsidRPr="00D65831">
        <w:rPr>
          <w:rFonts w:ascii="Arial" w:hAnsi="Arial" w:cs="Arial"/>
          <w:sz w:val="20"/>
        </w:rPr>
        <w:t>beskriver väsentliga risker och osäkerhetsfaktorer som företaget och de företag som ingår</w:t>
      </w:r>
    </w:p>
    <w:p w14:paraId="61F03E0F" w14:textId="77777777" w:rsidR="00755BCD" w:rsidRDefault="00755BCD" w:rsidP="0083384A">
      <w:pPr>
        <w:pStyle w:val="Ingetavstnd"/>
        <w:jc w:val="both"/>
        <w:rPr>
          <w:rFonts w:ascii="Arial" w:hAnsi="Arial" w:cs="Arial"/>
          <w:sz w:val="20"/>
        </w:rPr>
      </w:pPr>
      <w:r w:rsidRPr="00D65831">
        <w:rPr>
          <w:rFonts w:ascii="Arial" w:hAnsi="Arial" w:cs="Arial"/>
          <w:sz w:val="20"/>
        </w:rPr>
        <w:t>i koncernen står inför.</w:t>
      </w:r>
    </w:p>
    <w:p w14:paraId="5889BF5B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377EF434" w14:textId="77777777" w:rsidR="00755BCD" w:rsidRDefault="00755BCD" w:rsidP="00755BCD">
      <w:pPr>
        <w:pStyle w:val="Ingetavstnd"/>
        <w:jc w:val="both"/>
        <w:rPr>
          <w:rFonts w:ascii="Arial" w:hAnsi="Arial" w:cs="Arial"/>
          <w:sz w:val="20"/>
        </w:rPr>
      </w:pPr>
    </w:p>
    <w:p w14:paraId="5AE33ED4" w14:textId="62426593" w:rsidR="00755BCD" w:rsidRPr="003250C8" w:rsidRDefault="00633DF8" w:rsidP="00FB0345">
      <w:pPr>
        <w:pStyle w:val="Ingetavstnd"/>
        <w:jc w:val="both"/>
      </w:pPr>
      <w:r>
        <w:rPr>
          <w:rFonts w:ascii="Arial" w:hAnsi="Arial" w:cs="Arial"/>
          <w:sz w:val="20"/>
        </w:rPr>
        <w:t xml:space="preserve">Stockholm den </w:t>
      </w:r>
      <w:r w:rsidR="00150630">
        <w:rPr>
          <w:rFonts w:ascii="Arial" w:hAnsi="Arial" w:cs="Arial"/>
          <w:sz w:val="20"/>
        </w:rPr>
        <w:t>30</w:t>
      </w:r>
      <w:r w:rsidR="00755BCD">
        <w:rPr>
          <w:rFonts w:ascii="Arial" w:hAnsi="Arial" w:cs="Arial"/>
          <w:sz w:val="20"/>
        </w:rPr>
        <w:t xml:space="preserve"> </w:t>
      </w:r>
      <w:r w:rsidR="00150630">
        <w:rPr>
          <w:rFonts w:ascii="Arial" w:hAnsi="Arial" w:cs="Arial"/>
          <w:sz w:val="20"/>
        </w:rPr>
        <w:t>augusti</w:t>
      </w:r>
      <w:r w:rsidR="00755BCD">
        <w:rPr>
          <w:rFonts w:ascii="Arial" w:hAnsi="Arial" w:cs="Arial"/>
          <w:sz w:val="20"/>
        </w:rPr>
        <w:t xml:space="preserve"> 201</w:t>
      </w:r>
      <w:r w:rsidR="00E5427E">
        <w:rPr>
          <w:rFonts w:ascii="Arial" w:hAnsi="Arial" w:cs="Arial"/>
          <w:sz w:val="20"/>
        </w:rPr>
        <w:t>9</w:t>
      </w:r>
    </w:p>
    <w:sectPr w:rsidR="00755BCD" w:rsidRPr="003250C8" w:rsidSect="00E85CC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127AA" w14:textId="77777777" w:rsidR="0020445B" w:rsidRDefault="0020445B" w:rsidP="000D0286">
      <w:pPr>
        <w:spacing w:after="0" w:line="240" w:lineRule="auto"/>
      </w:pPr>
      <w:r>
        <w:separator/>
      </w:r>
    </w:p>
  </w:endnote>
  <w:endnote w:type="continuationSeparator" w:id="0">
    <w:p w14:paraId="0952B91A" w14:textId="77777777" w:rsidR="0020445B" w:rsidRDefault="0020445B" w:rsidP="000D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02813"/>
      <w:docPartObj>
        <w:docPartGallery w:val="Page Numbers (Bottom of Page)"/>
        <w:docPartUnique/>
      </w:docPartObj>
    </w:sdtPr>
    <w:sdtEndPr/>
    <w:sdtContent>
      <w:p w14:paraId="2DA3DBA5" w14:textId="77777777" w:rsidR="0020445B" w:rsidRDefault="0020445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22E1213" w14:textId="77777777" w:rsidR="0020445B" w:rsidRPr="00710F8C" w:rsidRDefault="0020445B" w:rsidP="0003701C">
    <w:pPr>
      <w:pStyle w:val="Ingetavstnd"/>
      <w:jc w:val="center"/>
      <w:rPr>
        <w:rFonts w:ascii="Arial" w:hAnsi="Arial" w:cs="Arial"/>
        <w:i/>
        <w:sz w:val="14"/>
      </w:rPr>
    </w:pPr>
    <w:r w:rsidRPr="00710F8C">
      <w:rPr>
        <w:rFonts w:ascii="Arial" w:hAnsi="Arial" w:cs="Arial"/>
        <w:i/>
        <w:sz w:val="14"/>
      </w:rPr>
      <w:t>Denna delårsrapport har inte varit föremål för granskning av bolagets revisorer.</w:t>
    </w:r>
  </w:p>
  <w:p w14:paraId="3C78212B" w14:textId="77777777" w:rsidR="0020445B" w:rsidRDefault="002044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E634C" w14:textId="77777777" w:rsidR="0020445B" w:rsidRPr="00935902" w:rsidRDefault="0020445B">
    <w:pPr>
      <w:pStyle w:val="Sidfot"/>
      <w:rPr>
        <w:rFonts w:ascii="Arial" w:hAnsi="Arial" w:cs="Arial"/>
        <w:sz w:val="20"/>
      </w:rPr>
    </w:pPr>
    <w:proofErr w:type="spellStart"/>
    <w:r w:rsidRPr="00935902">
      <w:rPr>
        <w:rFonts w:ascii="Arial" w:hAnsi="Arial" w:cs="Arial"/>
        <w:sz w:val="20"/>
      </w:rPr>
      <w:t>Kvalitena</w:t>
    </w:r>
    <w:proofErr w:type="spellEnd"/>
    <w:r w:rsidRPr="00935902">
      <w:rPr>
        <w:rFonts w:ascii="Arial" w:hAnsi="Arial" w:cs="Arial"/>
        <w:sz w:val="20"/>
      </w:rPr>
      <w:t xml:space="preserve"> AB (</w:t>
    </w:r>
    <w:proofErr w:type="spellStart"/>
    <w:r w:rsidRPr="00935902">
      <w:rPr>
        <w:rFonts w:ascii="Arial" w:hAnsi="Arial" w:cs="Arial"/>
        <w:sz w:val="20"/>
      </w:rPr>
      <w:t>publ</w:t>
    </w:r>
    <w:proofErr w:type="spellEnd"/>
    <w:r w:rsidRPr="00935902">
      <w:rPr>
        <w:rFonts w:ascii="Arial" w:hAnsi="Arial" w:cs="Arial"/>
        <w:sz w:val="20"/>
      </w:rPr>
      <w:t>)</w:t>
    </w:r>
  </w:p>
  <w:p w14:paraId="325408FE" w14:textId="77777777" w:rsidR="0020445B" w:rsidRPr="00935902" w:rsidRDefault="0020445B">
    <w:pPr>
      <w:pStyle w:val="Sidfot"/>
      <w:rPr>
        <w:rFonts w:ascii="Arial" w:hAnsi="Arial" w:cs="Arial"/>
        <w:sz w:val="20"/>
      </w:rPr>
    </w:pPr>
    <w:r w:rsidRPr="00935902">
      <w:rPr>
        <w:rFonts w:ascii="Arial" w:hAnsi="Arial" w:cs="Arial"/>
        <w:sz w:val="20"/>
      </w:rPr>
      <w:t>Strandvägen 5A</w:t>
    </w:r>
  </w:p>
  <w:p w14:paraId="5CE9BC75" w14:textId="77777777" w:rsidR="0020445B" w:rsidRPr="00935902" w:rsidRDefault="0020445B">
    <w:pPr>
      <w:pStyle w:val="Sidfot"/>
      <w:rPr>
        <w:rFonts w:ascii="Arial" w:hAnsi="Arial" w:cs="Arial"/>
        <w:sz w:val="20"/>
      </w:rPr>
    </w:pPr>
    <w:r w:rsidRPr="00935902">
      <w:rPr>
        <w:rFonts w:ascii="Arial" w:hAnsi="Arial" w:cs="Arial"/>
        <w:sz w:val="20"/>
      </w:rPr>
      <w:t>114 51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FD05" w14:textId="77777777" w:rsidR="0020445B" w:rsidRDefault="0020445B" w:rsidP="000D0286">
      <w:pPr>
        <w:spacing w:after="0" w:line="240" w:lineRule="auto"/>
      </w:pPr>
      <w:r>
        <w:separator/>
      </w:r>
    </w:p>
  </w:footnote>
  <w:footnote w:type="continuationSeparator" w:id="0">
    <w:p w14:paraId="6A4FF97A" w14:textId="77777777" w:rsidR="0020445B" w:rsidRDefault="0020445B" w:rsidP="000D0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EAFA6" w14:textId="77777777" w:rsidR="0020445B" w:rsidRPr="00CF4EBF" w:rsidRDefault="0020445B" w:rsidP="00F20F36">
    <w:pPr>
      <w:pStyle w:val="Sidhuvud"/>
      <w:rPr>
        <w:rFonts w:ascii="Arial" w:hAnsi="Arial" w:cs="Arial"/>
        <w:color w:val="808080" w:themeColor="background1" w:themeShade="80"/>
        <w:sz w:val="20"/>
      </w:rPr>
    </w:pPr>
    <w:proofErr w:type="spellStart"/>
    <w:r w:rsidRPr="00CF4EBF">
      <w:rPr>
        <w:rFonts w:ascii="Arial" w:hAnsi="Arial" w:cs="Arial"/>
        <w:color w:val="808080" w:themeColor="background1" w:themeShade="80"/>
        <w:sz w:val="20"/>
      </w:rPr>
      <w:t>Kvalitena</w:t>
    </w:r>
    <w:proofErr w:type="spellEnd"/>
    <w:r w:rsidRPr="00CF4EBF">
      <w:rPr>
        <w:rFonts w:ascii="Arial" w:hAnsi="Arial" w:cs="Arial"/>
        <w:color w:val="808080" w:themeColor="background1" w:themeShade="80"/>
        <w:sz w:val="20"/>
      </w:rPr>
      <w:t xml:space="preserve"> AB (</w:t>
    </w:r>
    <w:proofErr w:type="spellStart"/>
    <w:r w:rsidRPr="00CF4EBF">
      <w:rPr>
        <w:rFonts w:ascii="Arial" w:hAnsi="Arial" w:cs="Arial"/>
        <w:color w:val="808080" w:themeColor="background1" w:themeShade="80"/>
        <w:sz w:val="20"/>
      </w:rPr>
      <w:t>publ</w:t>
    </w:r>
    <w:proofErr w:type="spellEnd"/>
    <w:r w:rsidRPr="00CF4EBF">
      <w:rPr>
        <w:rFonts w:ascii="Arial" w:hAnsi="Arial" w:cs="Arial"/>
        <w:color w:val="808080" w:themeColor="background1" w:themeShade="80"/>
        <w:sz w:val="20"/>
      </w:rPr>
      <w:t>)</w:t>
    </w:r>
    <w:r w:rsidRPr="00CF4EBF">
      <w:rPr>
        <w:rFonts w:ascii="Arial" w:hAnsi="Arial" w:cs="Arial"/>
        <w:color w:val="808080" w:themeColor="background1" w:themeShade="80"/>
        <w:sz w:val="20"/>
      </w:rPr>
      <w:tab/>
    </w:r>
    <w:r w:rsidRPr="00CF4EBF">
      <w:rPr>
        <w:rFonts w:ascii="Arial" w:hAnsi="Arial" w:cs="Arial"/>
        <w:color w:val="808080" w:themeColor="background1" w:themeShade="80"/>
        <w:sz w:val="20"/>
      </w:rPr>
      <w:tab/>
      <w:t>556527-3314</w:t>
    </w:r>
  </w:p>
  <w:p w14:paraId="35954D4B" w14:textId="77777777" w:rsidR="0020445B" w:rsidRDefault="002044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43B5" w14:textId="53520AE7" w:rsidR="0020445B" w:rsidRPr="00E85CC3" w:rsidRDefault="0020445B">
    <w:pPr>
      <w:pStyle w:val="Sidhuvud"/>
      <w:rPr>
        <w:rFonts w:ascii="Arial" w:hAnsi="Arial" w:cs="Arial"/>
        <w:color w:val="808080" w:themeColor="background1" w:themeShade="80"/>
        <w:sz w:val="20"/>
      </w:rPr>
    </w:pPr>
    <w:proofErr w:type="spellStart"/>
    <w:r w:rsidRPr="00CF4EBF">
      <w:rPr>
        <w:rFonts w:ascii="Arial" w:hAnsi="Arial" w:cs="Arial"/>
        <w:color w:val="808080" w:themeColor="background1" w:themeShade="80"/>
        <w:sz w:val="20"/>
      </w:rPr>
      <w:t>Kvalitena</w:t>
    </w:r>
    <w:proofErr w:type="spellEnd"/>
    <w:r w:rsidRPr="00CF4EBF">
      <w:rPr>
        <w:rFonts w:ascii="Arial" w:hAnsi="Arial" w:cs="Arial"/>
        <w:color w:val="808080" w:themeColor="background1" w:themeShade="80"/>
        <w:sz w:val="20"/>
      </w:rPr>
      <w:t xml:space="preserve"> AB (</w:t>
    </w:r>
    <w:proofErr w:type="spellStart"/>
    <w:r w:rsidRPr="00CF4EBF">
      <w:rPr>
        <w:rFonts w:ascii="Arial" w:hAnsi="Arial" w:cs="Arial"/>
        <w:color w:val="808080" w:themeColor="background1" w:themeShade="80"/>
        <w:sz w:val="20"/>
      </w:rPr>
      <w:t>pub</w:t>
    </w:r>
    <w:r>
      <w:rPr>
        <w:rFonts w:ascii="Arial" w:hAnsi="Arial" w:cs="Arial"/>
        <w:color w:val="808080" w:themeColor="background1" w:themeShade="80"/>
        <w:sz w:val="20"/>
      </w:rPr>
      <w:t>l</w:t>
    </w:r>
    <w:proofErr w:type="spellEnd"/>
    <w:r>
      <w:rPr>
        <w:rFonts w:ascii="Arial" w:hAnsi="Arial" w:cs="Arial"/>
        <w:color w:val="808080" w:themeColor="background1" w:themeShade="80"/>
        <w:sz w:val="20"/>
      </w:rPr>
      <w:t>)</w:t>
    </w:r>
    <w:r>
      <w:rPr>
        <w:rFonts w:ascii="Arial" w:hAnsi="Arial" w:cs="Arial"/>
        <w:color w:val="808080" w:themeColor="background1" w:themeShade="80"/>
        <w:sz w:val="20"/>
      </w:rPr>
      <w:tab/>
      <w:t>Delårsrapport Q2 2019</w:t>
    </w:r>
    <w:r>
      <w:rPr>
        <w:rFonts w:ascii="Arial" w:hAnsi="Arial" w:cs="Arial"/>
        <w:color w:val="808080" w:themeColor="background1" w:themeShade="80"/>
        <w:sz w:val="20"/>
      </w:rPr>
      <w:tab/>
      <w:t>556527-3314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59FB"/>
    <w:multiLevelType w:val="hybridMultilevel"/>
    <w:tmpl w:val="983CB948"/>
    <w:lvl w:ilvl="0" w:tplc="20A0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7F8"/>
    <w:multiLevelType w:val="hybridMultilevel"/>
    <w:tmpl w:val="12188ED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7F3C"/>
    <w:multiLevelType w:val="hybridMultilevel"/>
    <w:tmpl w:val="02E8F3A8"/>
    <w:lvl w:ilvl="0" w:tplc="597ED1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A3E"/>
    <w:multiLevelType w:val="hybridMultilevel"/>
    <w:tmpl w:val="ED3800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4256"/>
    <w:multiLevelType w:val="hybridMultilevel"/>
    <w:tmpl w:val="E7C02C72"/>
    <w:lvl w:ilvl="0" w:tplc="DA1873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35A"/>
    <w:multiLevelType w:val="hybridMultilevel"/>
    <w:tmpl w:val="1B502F08"/>
    <w:lvl w:ilvl="0" w:tplc="20A0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71F3C"/>
    <w:multiLevelType w:val="hybridMultilevel"/>
    <w:tmpl w:val="58A06B14"/>
    <w:lvl w:ilvl="0" w:tplc="20A0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57CE4"/>
    <w:multiLevelType w:val="hybridMultilevel"/>
    <w:tmpl w:val="2BCA4100"/>
    <w:lvl w:ilvl="0" w:tplc="041D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5D2E0B09"/>
    <w:multiLevelType w:val="hybridMultilevel"/>
    <w:tmpl w:val="38B85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69B1"/>
    <w:multiLevelType w:val="hybridMultilevel"/>
    <w:tmpl w:val="48927E20"/>
    <w:lvl w:ilvl="0" w:tplc="7598E77E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50DBD"/>
    <w:multiLevelType w:val="hybridMultilevel"/>
    <w:tmpl w:val="973C84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60B2E"/>
    <w:multiLevelType w:val="hybridMultilevel"/>
    <w:tmpl w:val="2D84844A"/>
    <w:lvl w:ilvl="0" w:tplc="20A00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79646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0561D"/>
    <w:multiLevelType w:val="hybridMultilevel"/>
    <w:tmpl w:val="B0A071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D1609"/>
    <w:multiLevelType w:val="hybridMultilevel"/>
    <w:tmpl w:val="BBF64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F0928"/>
    <w:multiLevelType w:val="hybridMultilevel"/>
    <w:tmpl w:val="F9827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9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86"/>
    <w:rsid w:val="0000112D"/>
    <w:rsid w:val="00006A9B"/>
    <w:rsid w:val="000139C3"/>
    <w:rsid w:val="0001493B"/>
    <w:rsid w:val="000212C7"/>
    <w:rsid w:val="00027E2B"/>
    <w:rsid w:val="00032DDD"/>
    <w:rsid w:val="00034C7E"/>
    <w:rsid w:val="00035ADE"/>
    <w:rsid w:val="00036843"/>
    <w:rsid w:val="0003701C"/>
    <w:rsid w:val="00047730"/>
    <w:rsid w:val="00053FEB"/>
    <w:rsid w:val="0005458F"/>
    <w:rsid w:val="00055C8E"/>
    <w:rsid w:val="00060674"/>
    <w:rsid w:val="00072DA8"/>
    <w:rsid w:val="00074DA7"/>
    <w:rsid w:val="00075BA0"/>
    <w:rsid w:val="00081724"/>
    <w:rsid w:val="00082568"/>
    <w:rsid w:val="0008300B"/>
    <w:rsid w:val="00085C12"/>
    <w:rsid w:val="000B4CC8"/>
    <w:rsid w:val="000C50F4"/>
    <w:rsid w:val="000D0286"/>
    <w:rsid w:val="000F161A"/>
    <w:rsid w:val="00111343"/>
    <w:rsid w:val="00114C7D"/>
    <w:rsid w:val="001154F3"/>
    <w:rsid w:val="0012466F"/>
    <w:rsid w:val="00132253"/>
    <w:rsid w:val="00133F9B"/>
    <w:rsid w:val="00144313"/>
    <w:rsid w:val="00144422"/>
    <w:rsid w:val="001477E5"/>
    <w:rsid w:val="00150630"/>
    <w:rsid w:val="00157CFC"/>
    <w:rsid w:val="00157F46"/>
    <w:rsid w:val="00163C70"/>
    <w:rsid w:val="00174DEC"/>
    <w:rsid w:val="00180CEC"/>
    <w:rsid w:val="001866AC"/>
    <w:rsid w:val="001872DE"/>
    <w:rsid w:val="00192453"/>
    <w:rsid w:val="00197347"/>
    <w:rsid w:val="001A056F"/>
    <w:rsid w:val="001A427C"/>
    <w:rsid w:val="001C0EB2"/>
    <w:rsid w:val="001C1C01"/>
    <w:rsid w:val="001C2087"/>
    <w:rsid w:val="001C4FBC"/>
    <w:rsid w:val="001C5799"/>
    <w:rsid w:val="001D7775"/>
    <w:rsid w:val="001F0C32"/>
    <w:rsid w:val="00200C8A"/>
    <w:rsid w:val="002032B0"/>
    <w:rsid w:val="0020445B"/>
    <w:rsid w:val="00210406"/>
    <w:rsid w:val="002205FB"/>
    <w:rsid w:val="00240B51"/>
    <w:rsid w:val="0024328F"/>
    <w:rsid w:val="00247511"/>
    <w:rsid w:val="00253992"/>
    <w:rsid w:val="00264C9C"/>
    <w:rsid w:val="00265256"/>
    <w:rsid w:val="002653D5"/>
    <w:rsid w:val="00272233"/>
    <w:rsid w:val="00275228"/>
    <w:rsid w:val="002756E0"/>
    <w:rsid w:val="0028061E"/>
    <w:rsid w:val="00280A4E"/>
    <w:rsid w:val="0028282C"/>
    <w:rsid w:val="00285B2B"/>
    <w:rsid w:val="00295AF5"/>
    <w:rsid w:val="002A2887"/>
    <w:rsid w:val="002B55CC"/>
    <w:rsid w:val="002D3D3A"/>
    <w:rsid w:val="002E5DEA"/>
    <w:rsid w:val="002F75FA"/>
    <w:rsid w:val="0030284C"/>
    <w:rsid w:val="00305C85"/>
    <w:rsid w:val="003250C8"/>
    <w:rsid w:val="003258A5"/>
    <w:rsid w:val="003272E3"/>
    <w:rsid w:val="00334669"/>
    <w:rsid w:val="00334F7F"/>
    <w:rsid w:val="00346D80"/>
    <w:rsid w:val="00351D3E"/>
    <w:rsid w:val="003578FB"/>
    <w:rsid w:val="00360E32"/>
    <w:rsid w:val="003615E7"/>
    <w:rsid w:val="00372E0C"/>
    <w:rsid w:val="00373ADE"/>
    <w:rsid w:val="00394901"/>
    <w:rsid w:val="003A1C4F"/>
    <w:rsid w:val="003B376E"/>
    <w:rsid w:val="003B55D1"/>
    <w:rsid w:val="003C1A3A"/>
    <w:rsid w:val="003C27C2"/>
    <w:rsid w:val="003C6AC8"/>
    <w:rsid w:val="003D2A91"/>
    <w:rsid w:val="003D59D0"/>
    <w:rsid w:val="003E50A8"/>
    <w:rsid w:val="003F4E79"/>
    <w:rsid w:val="00401183"/>
    <w:rsid w:val="00402730"/>
    <w:rsid w:val="00414041"/>
    <w:rsid w:val="00420FDF"/>
    <w:rsid w:val="0042120E"/>
    <w:rsid w:val="004251F9"/>
    <w:rsid w:val="00453CCE"/>
    <w:rsid w:val="004551CA"/>
    <w:rsid w:val="004608F3"/>
    <w:rsid w:val="00461D9F"/>
    <w:rsid w:val="00467EEB"/>
    <w:rsid w:val="004820EE"/>
    <w:rsid w:val="00486900"/>
    <w:rsid w:val="004876A6"/>
    <w:rsid w:val="0049326F"/>
    <w:rsid w:val="00494D58"/>
    <w:rsid w:val="00496DDA"/>
    <w:rsid w:val="004B165F"/>
    <w:rsid w:val="004B3755"/>
    <w:rsid w:val="004B439F"/>
    <w:rsid w:val="004B4B0D"/>
    <w:rsid w:val="004C5591"/>
    <w:rsid w:val="004C5EEF"/>
    <w:rsid w:val="004C60DE"/>
    <w:rsid w:val="004D18A8"/>
    <w:rsid w:val="004D2D7F"/>
    <w:rsid w:val="00500DEA"/>
    <w:rsid w:val="005013A6"/>
    <w:rsid w:val="00507CB3"/>
    <w:rsid w:val="00510798"/>
    <w:rsid w:val="00512BAB"/>
    <w:rsid w:val="00513288"/>
    <w:rsid w:val="005242D3"/>
    <w:rsid w:val="00532387"/>
    <w:rsid w:val="00534E64"/>
    <w:rsid w:val="00556759"/>
    <w:rsid w:val="00570F34"/>
    <w:rsid w:val="00571C0B"/>
    <w:rsid w:val="0057532D"/>
    <w:rsid w:val="00591F8C"/>
    <w:rsid w:val="00595917"/>
    <w:rsid w:val="005A08AA"/>
    <w:rsid w:val="005A5F59"/>
    <w:rsid w:val="005B7C78"/>
    <w:rsid w:val="005C019C"/>
    <w:rsid w:val="005C540B"/>
    <w:rsid w:val="005C65B1"/>
    <w:rsid w:val="005C70B7"/>
    <w:rsid w:val="005C7C0E"/>
    <w:rsid w:val="005D2DA8"/>
    <w:rsid w:val="005D37EF"/>
    <w:rsid w:val="005D58F7"/>
    <w:rsid w:val="005E1011"/>
    <w:rsid w:val="005E11D4"/>
    <w:rsid w:val="005F4E5B"/>
    <w:rsid w:val="00604F73"/>
    <w:rsid w:val="00607AEB"/>
    <w:rsid w:val="00610195"/>
    <w:rsid w:val="0061488C"/>
    <w:rsid w:val="00614F7C"/>
    <w:rsid w:val="00633DF8"/>
    <w:rsid w:val="00640D8C"/>
    <w:rsid w:val="00643454"/>
    <w:rsid w:val="00650ED3"/>
    <w:rsid w:val="0065427A"/>
    <w:rsid w:val="006605DA"/>
    <w:rsid w:val="00666A6C"/>
    <w:rsid w:val="0068253C"/>
    <w:rsid w:val="00687FEC"/>
    <w:rsid w:val="006A1E25"/>
    <w:rsid w:val="006A3A5E"/>
    <w:rsid w:val="006A766E"/>
    <w:rsid w:val="006B21FF"/>
    <w:rsid w:val="006B3ECE"/>
    <w:rsid w:val="006C0BEE"/>
    <w:rsid w:val="006C292B"/>
    <w:rsid w:val="006C336A"/>
    <w:rsid w:val="006D6CA2"/>
    <w:rsid w:val="006F1917"/>
    <w:rsid w:val="007003E0"/>
    <w:rsid w:val="007012C9"/>
    <w:rsid w:val="00710F8C"/>
    <w:rsid w:val="00717A47"/>
    <w:rsid w:val="0072068A"/>
    <w:rsid w:val="00724F28"/>
    <w:rsid w:val="00726D02"/>
    <w:rsid w:val="007427A0"/>
    <w:rsid w:val="0074394A"/>
    <w:rsid w:val="007440BC"/>
    <w:rsid w:val="0074510E"/>
    <w:rsid w:val="0075115F"/>
    <w:rsid w:val="00755BCD"/>
    <w:rsid w:val="007575DC"/>
    <w:rsid w:val="00761AF1"/>
    <w:rsid w:val="00767CA3"/>
    <w:rsid w:val="00772D76"/>
    <w:rsid w:val="007769EE"/>
    <w:rsid w:val="0078463E"/>
    <w:rsid w:val="00786DF3"/>
    <w:rsid w:val="00790660"/>
    <w:rsid w:val="00791503"/>
    <w:rsid w:val="00791523"/>
    <w:rsid w:val="00791FAF"/>
    <w:rsid w:val="007A134E"/>
    <w:rsid w:val="007A4A1B"/>
    <w:rsid w:val="007C41FF"/>
    <w:rsid w:val="007D6C46"/>
    <w:rsid w:val="007E4726"/>
    <w:rsid w:val="007E7A05"/>
    <w:rsid w:val="007F1A1B"/>
    <w:rsid w:val="00802E7A"/>
    <w:rsid w:val="008032C6"/>
    <w:rsid w:val="00810C0A"/>
    <w:rsid w:val="00821D66"/>
    <w:rsid w:val="008224B4"/>
    <w:rsid w:val="008252E1"/>
    <w:rsid w:val="0083384A"/>
    <w:rsid w:val="0083547A"/>
    <w:rsid w:val="00837BE4"/>
    <w:rsid w:val="008572D7"/>
    <w:rsid w:val="0085775B"/>
    <w:rsid w:val="00857801"/>
    <w:rsid w:val="00866141"/>
    <w:rsid w:val="00867641"/>
    <w:rsid w:val="00871744"/>
    <w:rsid w:val="008743BF"/>
    <w:rsid w:val="008761A2"/>
    <w:rsid w:val="00883285"/>
    <w:rsid w:val="0088526C"/>
    <w:rsid w:val="008938A7"/>
    <w:rsid w:val="00895B2F"/>
    <w:rsid w:val="008A0FAB"/>
    <w:rsid w:val="008A6BD6"/>
    <w:rsid w:val="008B13C6"/>
    <w:rsid w:val="008B4E49"/>
    <w:rsid w:val="008C1E7D"/>
    <w:rsid w:val="008C75AE"/>
    <w:rsid w:val="008D0210"/>
    <w:rsid w:val="008E045E"/>
    <w:rsid w:val="008E35C2"/>
    <w:rsid w:val="008F0D88"/>
    <w:rsid w:val="008F25C9"/>
    <w:rsid w:val="008F5E2E"/>
    <w:rsid w:val="00902D1B"/>
    <w:rsid w:val="009034F4"/>
    <w:rsid w:val="00916017"/>
    <w:rsid w:val="009173F3"/>
    <w:rsid w:val="00921D6B"/>
    <w:rsid w:val="0092274B"/>
    <w:rsid w:val="00924979"/>
    <w:rsid w:val="00924BF0"/>
    <w:rsid w:val="00935902"/>
    <w:rsid w:val="00942A29"/>
    <w:rsid w:val="009470D8"/>
    <w:rsid w:val="0095149F"/>
    <w:rsid w:val="00953442"/>
    <w:rsid w:val="00956FEE"/>
    <w:rsid w:val="0096584B"/>
    <w:rsid w:val="0097036E"/>
    <w:rsid w:val="00976164"/>
    <w:rsid w:val="00977650"/>
    <w:rsid w:val="009843EC"/>
    <w:rsid w:val="009B3253"/>
    <w:rsid w:val="009B4A86"/>
    <w:rsid w:val="009B5E5C"/>
    <w:rsid w:val="009C0926"/>
    <w:rsid w:val="009C6467"/>
    <w:rsid w:val="009C753F"/>
    <w:rsid w:val="009D5579"/>
    <w:rsid w:val="009E093E"/>
    <w:rsid w:val="009E13BE"/>
    <w:rsid w:val="009E6483"/>
    <w:rsid w:val="009E68C5"/>
    <w:rsid w:val="00A0440F"/>
    <w:rsid w:val="00A1791E"/>
    <w:rsid w:val="00A26013"/>
    <w:rsid w:val="00A264AD"/>
    <w:rsid w:val="00A348EA"/>
    <w:rsid w:val="00A3638D"/>
    <w:rsid w:val="00A5390A"/>
    <w:rsid w:val="00A559E9"/>
    <w:rsid w:val="00A55D44"/>
    <w:rsid w:val="00A6659C"/>
    <w:rsid w:val="00A7356F"/>
    <w:rsid w:val="00A77144"/>
    <w:rsid w:val="00A94D58"/>
    <w:rsid w:val="00AA2CAC"/>
    <w:rsid w:val="00AA5449"/>
    <w:rsid w:val="00AA69FE"/>
    <w:rsid w:val="00AA77C4"/>
    <w:rsid w:val="00AB51EB"/>
    <w:rsid w:val="00AB75CC"/>
    <w:rsid w:val="00AD22B1"/>
    <w:rsid w:val="00AE4BED"/>
    <w:rsid w:val="00AF2F36"/>
    <w:rsid w:val="00AF7733"/>
    <w:rsid w:val="00B11A32"/>
    <w:rsid w:val="00B16730"/>
    <w:rsid w:val="00B35835"/>
    <w:rsid w:val="00B40841"/>
    <w:rsid w:val="00B5137B"/>
    <w:rsid w:val="00B561AE"/>
    <w:rsid w:val="00B71A88"/>
    <w:rsid w:val="00B80F93"/>
    <w:rsid w:val="00B8246B"/>
    <w:rsid w:val="00B861C9"/>
    <w:rsid w:val="00B86776"/>
    <w:rsid w:val="00B876BE"/>
    <w:rsid w:val="00B94B47"/>
    <w:rsid w:val="00BA4E5E"/>
    <w:rsid w:val="00BA7420"/>
    <w:rsid w:val="00BB066A"/>
    <w:rsid w:val="00BB13A6"/>
    <w:rsid w:val="00BB57A9"/>
    <w:rsid w:val="00BC36AC"/>
    <w:rsid w:val="00BD1BB7"/>
    <w:rsid w:val="00BD3CB5"/>
    <w:rsid w:val="00BD4384"/>
    <w:rsid w:val="00BD75ED"/>
    <w:rsid w:val="00BE320A"/>
    <w:rsid w:val="00BE3860"/>
    <w:rsid w:val="00BE571B"/>
    <w:rsid w:val="00C01647"/>
    <w:rsid w:val="00C040D0"/>
    <w:rsid w:val="00C04BFF"/>
    <w:rsid w:val="00C17847"/>
    <w:rsid w:val="00C27783"/>
    <w:rsid w:val="00C402D0"/>
    <w:rsid w:val="00C51C12"/>
    <w:rsid w:val="00C51CBE"/>
    <w:rsid w:val="00C5647C"/>
    <w:rsid w:val="00C5727A"/>
    <w:rsid w:val="00C6079E"/>
    <w:rsid w:val="00C61CCF"/>
    <w:rsid w:val="00C670D9"/>
    <w:rsid w:val="00C701DB"/>
    <w:rsid w:val="00C75568"/>
    <w:rsid w:val="00C75AC9"/>
    <w:rsid w:val="00C91961"/>
    <w:rsid w:val="00C9697E"/>
    <w:rsid w:val="00C97089"/>
    <w:rsid w:val="00CB038B"/>
    <w:rsid w:val="00CB1FFC"/>
    <w:rsid w:val="00CB4FD1"/>
    <w:rsid w:val="00CB704E"/>
    <w:rsid w:val="00CB713C"/>
    <w:rsid w:val="00CB7D68"/>
    <w:rsid w:val="00CC20E7"/>
    <w:rsid w:val="00CD0C56"/>
    <w:rsid w:val="00CD4A64"/>
    <w:rsid w:val="00CD757C"/>
    <w:rsid w:val="00CE1018"/>
    <w:rsid w:val="00CE1F70"/>
    <w:rsid w:val="00CE7A63"/>
    <w:rsid w:val="00CF1B0C"/>
    <w:rsid w:val="00CF4EBF"/>
    <w:rsid w:val="00D07A7F"/>
    <w:rsid w:val="00D07D82"/>
    <w:rsid w:val="00D1335D"/>
    <w:rsid w:val="00D17CFD"/>
    <w:rsid w:val="00D22BD1"/>
    <w:rsid w:val="00D30ECD"/>
    <w:rsid w:val="00D371EA"/>
    <w:rsid w:val="00D562FD"/>
    <w:rsid w:val="00D62918"/>
    <w:rsid w:val="00D65831"/>
    <w:rsid w:val="00D669CC"/>
    <w:rsid w:val="00D66C92"/>
    <w:rsid w:val="00D71AE1"/>
    <w:rsid w:val="00D82D9C"/>
    <w:rsid w:val="00D956D1"/>
    <w:rsid w:val="00DA0FBD"/>
    <w:rsid w:val="00DA0FCC"/>
    <w:rsid w:val="00DB2A73"/>
    <w:rsid w:val="00DB3836"/>
    <w:rsid w:val="00DB3EAC"/>
    <w:rsid w:val="00DC4374"/>
    <w:rsid w:val="00DD41BC"/>
    <w:rsid w:val="00DE1CA6"/>
    <w:rsid w:val="00DE5001"/>
    <w:rsid w:val="00E004E9"/>
    <w:rsid w:val="00E03CF6"/>
    <w:rsid w:val="00E047B5"/>
    <w:rsid w:val="00E0587F"/>
    <w:rsid w:val="00E100E5"/>
    <w:rsid w:val="00E10B13"/>
    <w:rsid w:val="00E13F9D"/>
    <w:rsid w:val="00E2179A"/>
    <w:rsid w:val="00E247BE"/>
    <w:rsid w:val="00E26501"/>
    <w:rsid w:val="00E32B2B"/>
    <w:rsid w:val="00E5427E"/>
    <w:rsid w:val="00E67D9E"/>
    <w:rsid w:val="00E71F74"/>
    <w:rsid w:val="00E81747"/>
    <w:rsid w:val="00E81FC3"/>
    <w:rsid w:val="00E85CC3"/>
    <w:rsid w:val="00E94091"/>
    <w:rsid w:val="00E96CCD"/>
    <w:rsid w:val="00EA72B2"/>
    <w:rsid w:val="00EB5385"/>
    <w:rsid w:val="00EB7EF5"/>
    <w:rsid w:val="00EC3E83"/>
    <w:rsid w:val="00EC4581"/>
    <w:rsid w:val="00EE10B7"/>
    <w:rsid w:val="00F04062"/>
    <w:rsid w:val="00F04669"/>
    <w:rsid w:val="00F06B2D"/>
    <w:rsid w:val="00F16B8A"/>
    <w:rsid w:val="00F20F36"/>
    <w:rsid w:val="00F258D8"/>
    <w:rsid w:val="00F4232D"/>
    <w:rsid w:val="00F47AE6"/>
    <w:rsid w:val="00F50AAF"/>
    <w:rsid w:val="00F54831"/>
    <w:rsid w:val="00F54C9C"/>
    <w:rsid w:val="00F54F66"/>
    <w:rsid w:val="00F5666E"/>
    <w:rsid w:val="00F63BA7"/>
    <w:rsid w:val="00F81B5A"/>
    <w:rsid w:val="00F907CE"/>
    <w:rsid w:val="00F92B2D"/>
    <w:rsid w:val="00F971B0"/>
    <w:rsid w:val="00FA0C19"/>
    <w:rsid w:val="00FA17AB"/>
    <w:rsid w:val="00FB0345"/>
    <w:rsid w:val="00FB6030"/>
    <w:rsid w:val="00FB638C"/>
    <w:rsid w:val="00FB6903"/>
    <w:rsid w:val="00FB6B0A"/>
    <w:rsid w:val="00FB7C11"/>
    <w:rsid w:val="00FC3C08"/>
    <w:rsid w:val="00FF021A"/>
    <w:rsid w:val="00FF048A"/>
    <w:rsid w:val="00FF1991"/>
    <w:rsid w:val="00FF4EAF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33AA"/>
  <w15:docId w15:val="{4E060922-0363-44AC-8073-B94A446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91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link w:val="IngetavstndChar"/>
    <w:uiPriority w:val="1"/>
    <w:qFormat/>
    <w:rsid w:val="000D0286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0D0286"/>
    <w:rPr>
      <w:rFonts w:eastAsiaTheme="minorEastAsia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028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D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D0286"/>
  </w:style>
  <w:style w:type="paragraph" w:styleId="Sidfot">
    <w:name w:val="footer"/>
    <w:basedOn w:val="Normal"/>
    <w:link w:val="SidfotChar"/>
    <w:uiPriority w:val="99"/>
    <w:unhideWhenUsed/>
    <w:rsid w:val="000D0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D0286"/>
  </w:style>
  <w:style w:type="paragraph" w:styleId="Liststycke">
    <w:name w:val="List Paragraph"/>
    <w:basedOn w:val="Normal"/>
    <w:uiPriority w:val="34"/>
    <w:qFormat/>
    <w:rsid w:val="006A3A5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33DF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33DF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33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BFDA-5D44-4AE8-B8BC-5DC927F6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14</Pages>
  <Words>3261</Words>
  <Characters>17284</Characters>
  <Application>Microsoft Office Word</Application>
  <DocSecurity>0</DocSecurity>
  <Lines>144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Delårsrapport Q1</vt:lpstr>
    </vt:vector>
  </TitlesOfParts>
  <Company>Kvalitena AB (publ)</Company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Delårsrapport Q1</dc:title>
  <dc:subject>2015-01-01 – 2015-12-31</dc:subject>
  <dc:creator>Robert Rosenberg</dc:creator>
  <cp:lastModifiedBy>William Rosen</cp:lastModifiedBy>
  <cp:revision>74</cp:revision>
  <cp:lastPrinted>2019-08-30T08:15:00Z</cp:lastPrinted>
  <dcterms:created xsi:type="dcterms:W3CDTF">2018-05-28T07:30:00Z</dcterms:created>
  <dcterms:modified xsi:type="dcterms:W3CDTF">2019-08-30T08:56:00Z</dcterms:modified>
</cp:coreProperties>
</file>