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44612" w14:textId="703C0359" w:rsidR="007549BE" w:rsidRPr="00CF1C16" w:rsidRDefault="002005DF" w:rsidP="007549BE">
      <w:pPr>
        <w:spacing w:line="358" w:lineRule="exact"/>
        <w:textAlignment w:val="baseline"/>
        <w:rPr>
          <w:rFonts w:asciiTheme="minorHAnsi" w:eastAsia="Arial" w:hAnsiTheme="minorHAnsi" w:cstheme="minorHAnsi"/>
          <w:b/>
          <w:color w:val="000000"/>
          <w:sz w:val="32"/>
          <w:szCs w:val="32"/>
        </w:rPr>
      </w:pPr>
      <w:r w:rsidRPr="00CF1C16">
        <w:rPr>
          <w:rFonts w:asciiTheme="minorHAnsi" w:eastAsia="Arial" w:hAnsiTheme="minorHAnsi" w:cstheme="minorHAnsi"/>
          <w:b/>
          <w:color w:val="000000"/>
          <w:sz w:val="32"/>
          <w:szCs w:val="32"/>
        </w:rPr>
        <w:t>POWER OF ATTORNEY</w:t>
      </w:r>
    </w:p>
    <w:p w14:paraId="7751260F" w14:textId="3BEFE28D" w:rsidR="00256627" w:rsidRPr="00CF1C16" w:rsidRDefault="00D7605C" w:rsidP="00D7605C">
      <w:pPr>
        <w:spacing w:before="235" w:after="240" w:line="252" w:lineRule="exact"/>
        <w:jc w:val="both"/>
        <w:textAlignment w:val="baseline"/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</w:pPr>
      <w:r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Rovio Entertainment Corporation</w:t>
      </w:r>
      <w:r w:rsidR="007549BE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</w:t>
      </w:r>
      <w:r w:rsidR="002005DF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Annual General Meeting</w:t>
      </w:r>
      <w:r w:rsidR="007549BE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2020</w:t>
      </w:r>
    </w:p>
    <w:p w14:paraId="3E4341A9" w14:textId="5F4335C8" w:rsidR="00D24CCC" w:rsidRPr="00CF1C16" w:rsidRDefault="002005DF" w:rsidP="00D7605C">
      <w:pPr>
        <w:spacing w:before="235" w:after="240" w:line="252" w:lineRule="exact"/>
        <w:jc w:val="both"/>
        <w:textAlignment w:val="baseline"/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</w:pPr>
      <w:r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I</w:t>
      </w:r>
      <w:r w:rsidR="007549BE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/</w:t>
      </w:r>
      <w:r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we as shareholder </w:t>
      </w:r>
      <w:r w:rsidRP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of</w:t>
      </w:r>
      <w:r w:rsidR="007549BE" w:rsidRP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</w:t>
      </w:r>
      <w:r w:rsidR="00D7605C" w:rsidRP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Rovio Entertainment Corporation </w:t>
      </w:r>
      <w:r w:rsidR="00D24CCC" w:rsidRP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hereby</w:t>
      </w:r>
      <w:r w:rsidR="00D24CCC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authori</w:t>
      </w:r>
      <w:r w:rsidR="00CF3A5C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s</w:t>
      </w:r>
      <w:r w:rsidR="00D24CCC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e </w:t>
      </w:r>
      <w:r w:rsid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the </w:t>
      </w:r>
      <w:r w:rsidR="00D24CCC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General Counsel </w:t>
      </w:r>
      <w:r w:rsid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Minna Raitanen</w:t>
      </w:r>
      <w:r w:rsidR="00D24CCC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, with the power of substitution ("</w:t>
      </w:r>
      <w:r w:rsidR="009F6EA0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Representative</w:t>
      </w:r>
      <w:r w:rsidR="00D24CCC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")</w:t>
      </w:r>
      <w:r w:rsidR="00292598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to represent me/us and to exercise on my/our behalf the right to speak and the right to vote with all shares owned by me/us at the Annual General Meeting </w:t>
      </w:r>
      <w:r w:rsidR="00292598" w:rsidRP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of </w:t>
      </w:r>
      <w:r w:rsidR="00D7605C" w:rsidRP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Rovio Entertainment Corporation</w:t>
      </w:r>
      <w:r w:rsidR="00292598" w:rsidRP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, which</w:t>
      </w:r>
      <w:r w:rsidR="00292598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has been convened to be held on</w:t>
      </w:r>
      <w:r w:rsidR="007A6609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</w:t>
      </w:r>
      <w:r w:rsidR="00D760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March 31, 2020 at 1pm. </w:t>
      </w:r>
    </w:p>
    <w:p w14:paraId="2302A61C" w14:textId="3AC66020" w:rsidR="007549BE" w:rsidRPr="00CF1C16" w:rsidRDefault="00F07F88" w:rsidP="00D7605C">
      <w:pPr>
        <w:spacing w:before="232" w:after="240" w:line="230" w:lineRule="exact"/>
        <w:jc w:val="both"/>
        <w:textAlignment w:val="baseline"/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</w:pPr>
      <w:r w:rsidRPr="00CF1C16">
        <w:rPr>
          <w:rFonts w:asciiTheme="minorHAnsi" w:eastAsia="Arial" w:hAnsiTheme="minorHAnsi" w:cstheme="minorHAnsi"/>
          <w:color w:val="000000"/>
          <w:sz w:val="18"/>
          <w:szCs w:val="18"/>
          <w:u w:val="single"/>
          <w:lang w:val="en-GB"/>
        </w:rPr>
        <w:t>Voting instructions</w:t>
      </w:r>
      <w:r w:rsidR="007549BE" w:rsidRPr="00CF1C16">
        <w:rPr>
          <w:rFonts w:asciiTheme="minorHAnsi" w:eastAsia="Arial" w:hAnsiTheme="minorHAnsi" w:cstheme="minorHAnsi"/>
          <w:color w:val="000000"/>
          <w:sz w:val="18"/>
          <w:szCs w:val="18"/>
          <w:u w:val="single"/>
          <w:lang w:val="en-GB"/>
        </w:rPr>
        <w:t xml:space="preserve">: </w:t>
      </w:r>
    </w:p>
    <w:p w14:paraId="49B55741" w14:textId="6D7778F3" w:rsidR="00F07F88" w:rsidRPr="00CF1C16" w:rsidRDefault="00D30D84" w:rsidP="00D7605C">
      <w:pPr>
        <w:spacing w:after="240" w:line="230" w:lineRule="exact"/>
        <w:jc w:val="both"/>
        <w:textAlignment w:val="baseline"/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</w:pPr>
      <w:r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The Representative shall vote with my/our shares</w:t>
      </w:r>
      <w:r w:rsidR="006F7CC7" w:rsidRPr="006F7CC7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</w:t>
      </w:r>
      <w:r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in each of the agenda items to be handled in the meeting as indicated with a cross (x) below.</w:t>
      </w:r>
    </w:p>
    <w:p w14:paraId="38DF93CB" w14:textId="7F6503BD" w:rsidR="00F07F88" w:rsidRPr="00CF1C16" w:rsidRDefault="00F07F88" w:rsidP="00D7605C">
      <w:pPr>
        <w:spacing w:after="240" w:line="230" w:lineRule="exact"/>
        <w:jc w:val="both"/>
        <w:textAlignment w:val="baseline"/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</w:pPr>
      <w:r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In </w:t>
      </w:r>
      <w:r w:rsidR="00CF3A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items</w:t>
      </w:r>
      <w:r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for which a cross has been indicated for "Against" or "I abstain from voting", the </w:t>
      </w:r>
      <w:r w:rsidR="009F6EA0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Representative</w:t>
      </w:r>
      <w:r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is not obligated to demand a vote i</w:t>
      </w:r>
      <w:r w:rsidR="00EB5F07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f the chairman of the Annual General Meeting is able to conclude without conducting a vote, that the proposal considered under the </w:t>
      </w:r>
      <w:r w:rsidR="00D30D84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agenda item</w:t>
      </w:r>
      <w:r w:rsidR="00EB5F07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in question has sufficient support at the General Meeting.</w:t>
      </w:r>
      <w:r w:rsidR="00C37240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For</w:t>
      </w:r>
      <w:r w:rsidR="00EB5F07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such </w:t>
      </w:r>
      <w:r w:rsidR="00D30D84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items</w:t>
      </w:r>
      <w:r w:rsidR="00A9017E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,</w:t>
      </w:r>
      <w:r w:rsidR="00EB5F07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it shall be sufficient that abstaining</w:t>
      </w:r>
      <w:r w:rsidR="00C37240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votes and/or votes against are attached to the minutes</w:t>
      </w:r>
      <w:r w:rsidR="00A9017E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in accordance with the voting instructions</w:t>
      </w:r>
      <w:r w:rsidR="00C37240" w:rsidRPr="00CF1C16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>.</w:t>
      </w:r>
      <w:r w:rsidR="00CF3A5C">
        <w:rPr>
          <w:rFonts w:asciiTheme="minorHAnsi" w:eastAsia="Arial" w:hAnsiTheme="minorHAnsi" w:cstheme="minorHAnsi"/>
          <w:color w:val="000000"/>
          <w:sz w:val="18"/>
          <w:szCs w:val="18"/>
          <w:lang w:val="en-GB"/>
        </w:rPr>
        <w:t xml:space="preserve"> </w:t>
      </w:r>
    </w:p>
    <w:p w14:paraId="5E04D716" w14:textId="71563B71" w:rsidR="00C37240" w:rsidRPr="00CF1C16" w:rsidRDefault="00C37240" w:rsidP="00D7605C">
      <w:pPr>
        <w:spacing w:after="240" w:line="230" w:lineRule="exact"/>
        <w:jc w:val="both"/>
        <w:textAlignment w:val="baseline"/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</w:pPr>
      <w:r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If a proposal stated in the notice to the Annual General Meeting is amended at the Annual General Meeting, the </w:t>
      </w:r>
      <w:r w:rsidR="009F6EA0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Representative</w:t>
      </w:r>
      <w:r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</w:t>
      </w:r>
      <w:r w:rsidR="009E4E64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shall </w:t>
      </w:r>
      <w:r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not participate in </w:t>
      </w:r>
      <w:r w:rsidR="00F4318F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voting on such an amended proposal.</w:t>
      </w:r>
    </w:p>
    <w:p w14:paraId="72A5B9C9" w14:textId="0A343F1D" w:rsidR="00F4318F" w:rsidRPr="00CF1C16" w:rsidRDefault="00D30D84" w:rsidP="00D7605C">
      <w:pPr>
        <w:spacing w:after="240" w:line="230" w:lineRule="exact"/>
        <w:jc w:val="both"/>
        <w:textAlignment w:val="baseline"/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</w:pPr>
      <w:r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The </w:t>
      </w:r>
      <w:r w:rsidR="009F6EA0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Representative</w:t>
      </w:r>
      <w:r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shall</w:t>
      </w:r>
      <w:r w:rsidR="00126251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also</w:t>
      </w:r>
      <w:r w:rsidR="00BB061F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</w:t>
      </w:r>
      <w:r w:rsidR="000E3B42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refrain </w:t>
      </w:r>
      <w:r w:rsidR="00CF3A5C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from </w:t>
      </w:r>
      <w:r w:rsidR="000E3B42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participating in </w:t>
      </w:r>
      <w:r w:rsidR="00F4318F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voting</w:t>
      </w:r>
      <w:r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if no instruction is indicate</w:t>
      </w:r>
      <w:r w:rsidR="00CF3A5C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d</w:t>
      </w:r>
      <w:r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, or if more than one instruction is indicated</w:t>
      </w:r>
      <w:r w:rsidR="009E4E64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</w:t>
      </w:r>
      <w:r w:rsidR="00C37E83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for an agenda item</w:t>
      </w:r>
      <w:r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, or if any other text or marking than a cross </w:t>
      </w:r>
      <w:r w:rsidR="003433D0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(X) </w:t>
      </w:r>
      <w:r w:rsidR="00CF3A5C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has been</w:t>
      </w:r>
      <w:r w:rsidR="00CF3A5C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used to indicate the voting instruction</w:t>
      </w:r>
      <w:r w:rsidR="009E4E64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below</w:t>
      </w:r>
      <w:r w:rsidR="00CF3A5C" w:rsidRPr="00CF1C1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>.</w:t>
      </w:r>
      <w:r w:rsidR="00CF3A5C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</w:t>
      </w:r>
      <w:r w:rsidR="00D76736">
        <w:rPr>
          <w:rFonts w:asciiTheme="minorHAnsi" w:eastAsia="Arial" w:hAnsiTheme="minorHAnsi" w:cstheme="minorHAnsi"/>
          <w:b/>
          <w:color w:val="000000"/>
          <w:sz w:val="18"/>
          <w:szCs w:val="18"/>
          <w:lang w:val="en-GB"/>
        </w:rPr>
        <w:t xml:space="preserve"> </w:t>
      </w:r>
    </w:p>
    <w:tbl>
      <w:tblPr>
        <w:tblStyle w:val="TableGrid"/>
        <w:tblpPr w:leftFromText="180" w:rightFromText="180" w:vertAnchor="text" w:horzAnchor="margin" w:tblpY="70"/>
        <w:tblW w:w="9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5620"/>
        <w:gridCol w:w="1010"/>
        <w:gridCol w:w="825"/>
        <w:gridCol w:w="1390"/>
      </w:tblGrid>
      <w:tr w:rsidR="00790F11" w:rsidRPr="00480F3A" w14:paraId="061EE261" w14:textId="77777777" w:rsidTr="00790F11">
        <w:trPr>
          <w:trHeight w:val="664"/>
        </w:trPr>
        <w:tc>
          <w:tcPr>
            <w:tcW w:w="522" w:type="dxa"/>
            <w:vAlign w:val="center"/>
          </w:tcPr>
          <w:p w14:paraId="79C6CADE" w14:textId="77777777" w:rsidR="00790F11" w:rsidRPr="009F6EA0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20" w:type="dxa"/>
            <w:vAlign w:val="center"/>
          </w:tcPr>
          <w:p w14:paraId="5A61A9FF" w14:textId="10C900E6" w:rsidR="00790F11" w:rsidRPr="00480F3A" w:rsidRDefault="00BB061F" w:rsidP="00790F1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val="fi-F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i-FI"/>
              </w:rPr>
              <w:t>Agenda i</w:t>
            </w:r>
            <w:r w:rsidR="00CF3A5C">
              <w:rPr>
                <w:rFonts w:asciiTheme="minorHAnsi" w:hAnsiTheme="minorHAnsi" w:cstheme="minorHAnsi"/>
                <w:b/>
                <w:sz w:val="18"/>
                <w:szCs w:val="18"/>
                <w:lang w:val="fi-FI"/>
              </w:rPr>
              <w:t>tem</w:t>
            </w:r>
          </w:p>
        </w:tc>
        <w:tc>
          <w:tcPr>
            <w:tcW w:w="1010" w:type="dxa"/>
            <w:vAlign w:val="center"/>
          </w:tcPr>
          <w:p w14:paraId="6FC38582" w14:textId="77777777" w:rsidR="00790F11" w:rsidRPr="00480F3A" w:rsidRDefault="00790F11" w:rsidP="00790F1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i-F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i-FI"/>
              </w:rPr>
              <w:t>In favor</w:t>
            </w:r>
          </w:p>
        </w:tc>
        <w:tc>
          <w:tcPr>
            <w:tcW w:w="825" w:type="dxa"/>
            <w:vAlign w:val="center"/>
          </w:tcPr>
          <w:p w14:paraId="3AE5BF51" w14:textId="77777777" w:rsidR="00790F11" w:rsidRPr="00480F3A" w:rsidRDefault="00790F11" w:rsidP="00790F1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i-F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i-FI"/>
              </w:rPr>
              <w:t>Against</w:t>
            </w:r>
          </w:p>
        </w:tc>
        <w:tc>
          <w:tcPr>
            <w:tcW w:w="1390" w:type="dxa"/>
            <w:vAlign w:val="center"/>
          </w:tcPr>
          <w:p w14:paraId="1AE96044" w14:textId="5B67CC7C" w:rsidR="00790F11" w:rsidRPr="00480F3A" w:rsidRDefault="00095B16" w:rsidP="00790F1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i-FI"/>
              </w:rPr>
              <w:t>A</w:t>
            </w:r>
            <w:r w:rsidR="00790F11">
              <w:rPr>
                <w:rFonts w:asciiTheme="minorHAnsi" w:hAnsiTheme="minorHAnsi" w:cstheme="minorHAnsi"/>
                <w:b/>
                <w:sz w:val="18"/>
                <w:szCs w:val="18"/>
                <w:lang w:val="fi-FI"/>
              </w:rPr>
              <w:t>bstain from voting</w:t>
            </w:r>
          </w:p>
        </w:tc>
      </w:tr>
      <w:tr w:rsidR="00790F11" w:rsidRPr="00480F3A" w14:paraId="19CA0EFD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69DF5643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7.</w:t>
            </w:r>
          </w:p>
        </w:tc>
        <w:tc>
          <w:tcPr>
            <w:tcW w:w="5620" w:type="dxa"/>
            <w:vAlign w:val="center"/>
          </w:tcPr>
          <w:p w14:paraId="37FD3CEE" w14:textId="08668CB3" w:rsidR="00790F11" w:rsidRPr="00592A4B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92A4B">
              <w:rPr>
                <w:rFonts w:asciiTheme="minorHAnsi" w:hAnsiTheme="minorHAnsi" w:cstheme="minorHAnsi"/>
                <w:sz w:val="18"/>
                <w:szCs w:val="18"/>
              </w:rPr>
              <w:t xml:space="preserve">Adoption of the </w:t>
            </w:r>
            <w:r w:rsidR="005874E8" w:rsidRPr="005874E8">
              <w:rPr>
                <w:rFonts w:asciiTheme="minorHAnsi" w:hAnsiTheme="minorHAnsi" w:cstheme="minorHAnsi"/>
                <w:sz w:val="18"/>
                <w:szCs w:val="18"/>
              </w:rPr>
              <w:t>Financial Statements</w:t>
            </w:r>
          </w:p>
        </w:tc>
        <w:tc>
          <w:tcPr>
            <w:tcW w:w="1010" w:type="dxa"/>
            <w:vAlign w:val="center"/>
          </w:tcPr>
          <w:p w14:paraId="09174238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5C5403F5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E28AEE3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F11" w:rsidRPr="00592A4B" w14:paraId="796BB94C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77ADAF30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8.</w:t>
            </w:r>
          </w:p>
        </w:tc>
        <w:tc>
          <w:tcPr>
            <w:tcW w:w="5620" w:type="dxa"/>
            <w:vAlign w:val="center"/>
          </w:tcPr>
          <w:p w14:paraId="5D26B5E1" w14:textId="77777777" w:rsidR="00790F11" w:rsidRPr="00592A4B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92A4B">
              <w:rPr>
                <w:rFonts w:asciiTheme="minorHAnsi" w:hAnsiTheme="minorHAnsi" w:cstheme="minorHAnsi"/>
                <w:sz w:val="18"/>
                <w:szCs w:val="18"/>
              </w:rPr>
              <w:t>Resolution on the use of the profit shown on the balance sheet and the payment of dividend</w:t>
            </w:r>
          </w:p>
        </w:tc>
        <w:tc>
          <w:tcPr>
            <w:tcW w:w="1010" w:type="dxa"/>
            <w:vAlign w:val="center"/>
          </w:tcPr>
          <w:p w14:paraId="311C52E1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26A448EC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78E4EA5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F11" w:rsidRPr="00592A4B" w14:paraId="5BF363FE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34B0A301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9.</w:t>
            </w:r>
          </w:p>
        </w:tc>
        <w:tc>
          <w:tcPr>
            <w:tcW w:w="5620" w:type="dxa"/>
            <w:vAlign w:val="center"/>
          </w:tcPr>
          <w:p w14:paraId="776A23B8" w14:textId="77777777" w:rsidR="00790F11" w:rsidRPr="00592A4B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92A4B">
              <w:rPr>
                <w:rFonts w:asciiTheme="minorHAnsi" w:hAnsiTheme="minorHAnsi" w:cstheme="minorHAnsi"/>
                <w:sz w:val="18"/>
                <w:szCs w:val="18"/>
              </w:rPr>
              <w:t>Resolution on the discharge of the members of the Board of Directors and the CEO from liability</w:t>
            </w:r>
          </w:p>
        </w:tc>
        <w:tc>
          <w:tcPr>
            <w:tcW w:w="1010" w:type="dxa"/>
            <w:vAlign w:val="center"/>
          </w:tcPr>
          <w:p w14:paraId="3DE93930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3743BD48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CC13AA3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F11" w:rsidRPr="00480F3A" w14:paraId="7D0DB129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234FECE1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10.</w:t>
            </w:r>
          </w:p>
        </w:tc>
        <w:tc>
          <w:tcPr>
            <w:tcW w:w="5620" w:type="dxa"/>
            <w:vAlign w:val="center"/>
          </w:tcPr>
          <w:p w14:paraId="4C3F32E7" w14:textId="1798902D" w:rsidR="00790F11" w:rsidRPr="00592A4B" w:rsidRDefault="005874E8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Presentation</w:t>
            </w:r>
            <w:r w:rsidRPr="00592A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0F11" w:rsidRPr="00592A4B">
              <w:rPr>
                <w:rFonts w:asciiTheme="minorHAnsi" w:hAnsiTheme="minorHAnsi" w:cstheme="minorHAnsi"/>
                <w:sz w:val="18"/>
                <w:szCs w:val="18"/>
              </w:rPr>
              <w:t xml:space="preserve">of the remuneration policy </w:t>
            </w:r>
          </w:p>
        </w:tc>
        <w:tc>
          <w:tcPr>
            <w:tcW w:w="1010" w:type="dxa"/>
            <w:vAlign w:val="center"/>
          </w:tcPr>
          <w:p w14:paraId="2F90A67B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5B4F7900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2E1D74F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F11" w:rsidRPr="00480F3A" w14:paraId="1EF78118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11526C55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11.</w:t>
            </w:r>
          </w:p>
        </w:tc>
        <w:tc>
          <w:tcPr>
            <w:tcW w:w="5620" w:type="dxa"/>
            <w:vAlign w:val="center"/>
          </w:tcPr>
          <w:p w14:paraId="2212A4DD" w14:textId="77777777" w:rsidR="00790F11" w:rsidRPr="00592A4B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92A4B">
              <w:rPr>
                <w:rFonts w:asciiTheme="minorHAnsi" w:hAnsiTheme="minorHAnsi" w:cstheme="minorHAnsi"/>
                <w:sz w:val="18"/>
                <w:szCs w:val="18"/>
              </w:rPr>
              <w:t>Resolution on the remuneration of the members of the Board of Directors</w:t>
            </w:r>
          </w:p>
        </w:tc>
        <w:tc>
          <w:tcPr>
            <w:tcW w:w="1010" w:type="dxa"/>
            <w:vAlign w:val="center"/>
          </w:tcPr>
          <w:p w14:paraId="404B7DAA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2B20B242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0635D1A" w14:textId="77777777" w:rsidR="00790F11" w:rsidRPr="00592A4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F11" w:rsidRPr="00480F3A" w14:paraId="22DF988C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1820369C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12.</w:t>
            </w:r>
          </w:p>
        </w:tc>
        <w:tc>
          <w:tcPr>
            <w:tcW w:w="5620" w:type="dxa"/>
            <w:vAlign w:val="center"/>
          </w:tcPr>
          <w:p w14:paraId="26DBBDB0" w14:textId="77777777" w:rsidR="00790F11" w:rsidRPr="00D02EDB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2EDB">
              <w:rPr>
                <w:rFonts w:asciiTheme="minorHAnsi" w:hAnsiTheme="minorHAnsi" w:cstheme="minorHAnsi"/>
                <w:sz w:val="18"/>
                <w:szCs w:val="18"/>
              </w:rPr>
              <w:t>Resolution on the number of members of the Board of Directors</w:t>
            </w:r>
          </w:p>
        </w:tc>
        <w:tc>
          <w:tcPr>
            <w:tcW w:w="1010" w:type="dxa"/>
            <w:vAlign w:val="center"/>
          </w:tcPr>
          <w:p w14:paraId="5708D98F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098F2DE0" w14:textId="77777777" w:rsidR="00790F11" w:rsidRPr="00D02EDB" w:rsidRDefault="00790F11" w:rsidP="00790F11">
            <w:pPr>
              <w:pStyle w:val="ListParagraph"/>
              <w:ind w:left="5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4DFA591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F11" w:rsidRPr="00D02EDB" w14:paraId="5F9949A5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76EC09C6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13.</w:t>
            </w:r>
          </w:p>
        </w:tc>
        <w:tc>
          <w:tcPr>
            <w:tcW w:w="5620" w:type="dxa"/>
            <w:vAlign w:val="center"/>
          </w:tcPr>
          <w:p w14:paraId="583FE5BE" w14:textId="52DFD9A6" w:rsidR="00790F11" w:rsidRPr="00D02EDB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2EDB">
              <w:rPr>
                <w:rFonts w:asciiTheme="minorHAnsi" w:hAnsiTheme="minorHAnsi" w:cstheme="minorHAnsi"/>
                <w:sz w:val="18"/>
                <w:szCs w:val="18"/>
              </w:rPr>
              <w:t>Election of members</w:t>
            </w:r>
            <w:r w:rsidR="005874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874E8" w:rsidRPr="005874E8">
              <w:rPr>
                <w:rFonts w:asciiTheme="minorHAnsi" w:hAnsiTheme="minorHAnsi" w:cstheme="minorHAnsi"/>
                <w:sz w:val="18"/>
                <w:szCs w:val="18"/>
              </w:rPr>
              <w:t>and Chairman as well as Vice Chairman</w:t>
            </w:r>
            <w:r w:rsidR="005874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EDB">
              <w:rPr>
                <w:rFonts w:asciiTheme="minorHAnsi" w:hAnsiTheme="minorHAnsi" w:cstheme="minorHAnsi"/>
                <w:sz w:val="18"/>
                <w:szCs w:val="18"/>
              </w:rPr>
              <w:t>of the Board of Directors</w:t>
            </w:r>
          </w:p>
        </w:tc>
        <w:tc>
          <w:tcPr>
            <w:tcW w:w="1010" w:type="dxa"/>
            <w:vAlign w:val="center"/>
          </w:tcPr>
          <w:p w14:paraId="265D8AC2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6DA0FB0E" w14:textId="77777777" w:rsidR="00790F11" w:rsidRPr="00D02EDB" w:rsidRDefault="00790F11" w:rsidP="00790F11">
            <w:pPr>
              <w:pStyle w:val="List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3CC4C55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F11" w:rsidRPr="00480F3A" w14:paraId="13642B7B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16AB26F2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14.</w:t>
            </w:r>
          </w:p>
        </w:tc>
        <w:tc>
          <w:tcPr>
            <w:tcW w:w="5620" w:type="dxa"/>
            <w:vAlign w:val="center"/>
          </w:tcPr>
          <w:p w14:paraId="3F01C9E3" w14:textId="77777777" w:rsidR="00790F11" w:rsidRPr="00D02EDB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2EDB">
              <w:rPr>
                <w:rFonts w:asciiTheme="minorHAnsi" w:hAnsiTheme="minorHAnsi" w:cstheme="minorHAnsi"/>
                <w:sz w:val="18"/>
                <w:szCs w:val="18"/>
              </w:rPr>
              <w:t>Resolution on the remuneration of the auditor</w:t>
            </w:r>
          </w:p>
        </w:tc>
        <w:tc>
          <w:tcPr>
            <w:tcW w:w="1010" w:type="dxa"/>
            <w:vAlign w:val="center"/>
          </w:tcPr>
          <w:p w14:paraId="42AAD73E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2F102DD5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ABB02B9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F11" w:rsidRPr="00480F3A" w14:paraId="4224095F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04E4D0F9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15.</w:t>
            </w:r>
          </w:p>
        </w:tc>
        <w:tc>
          <w:tcPr>
            <w:tcW w:w="5620" w:type="dxa"/>
            <w:vAlign w:val="center"/>
          </w:tcPr>
          <w:p w14:paraId="59319847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D02EDB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Election of the auditor</w:t>
            </w:r>
          </w:p>
        </w:tc>
        <w:tc>
          <w:tcPr>
            <w:tcW w:w="1010" w:type="dxa"/>
            <w:vAlign w:val="center"/>
          </w:tcPr>
          <w:p w14:paraId="5EABC1FE" w14:textId="77777777" w:rsidR="00790F11" w:rsidRPr="00480F3A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</w:p>
        </w:tc>
        <w:tc>
          <w:tcPr>
            <w:tcW w:w="825" w:type="dxa"/>
            <w:vAlign w:val="center"/>
          </w:tcPr>
          <w:p w14:paraId="7E3E242E" w14:textId="77777777" w:rsidR="00790F11" w:rsidRPr="00480F3A" w:rsidRDefault="00790F11" w:rsidP="00790F11">
            <w:pPr>
              <w:pStyle w:val="ListParagraph"/>
              <w:ind w:left="36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</w:p>
        </w:tc>
        <w:tc>
          <w:tcPr>
            <w:tcW w:w="1390" w:type="dxa"/>
            <w:vAlign w:val="center"/>
          </w:tcPr>
          <w:p w14:paraId="30FF0308" w14:textId="77777777" w:rsidR="00790F11" w:rsidRPr="00480F3A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</w:p>
        </w:tc>
      </w:tr>
      <w:tr w:rsidR="00790F11" w:rsidRPr="00D02EDB" w14:paraId="0B64CFBC" w14:textId="77777777" w:rsidTr="00790F11">
        <w:trPr>
          <w:trHeight w:val="595"/>
        </w:trPr>
        <w:tc>
          <w:tcPr>
            <w:tcW w:w="522" w:type="dxa"/>
            <w:vAlign w:val="center"/>
          </w:tcPr>
          <w:p w14:paraId="7B885594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16.</w:t>
            </w:r>
          </w:p>
        </w:tc>
        <w:tc>
          <w:tcPr>
            <w:tcW w:w="5620" w:type="dxa"/>
            <w:vAlign w:val="center"/>
          </w:tcPr>
          <w:p w14:paraId="38480753" w14:textId="50810BC6" w:rsidR="00790F11" w:rsidRPr="00D02EDB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2EDB">
              <w:rPr>
                <w:rFonts w:asciiTheme="minorHAnsi" w:hAnsiTheme="minorHAnsi" w:cstheme="minorHAnsi"/>
                <w:sz w:val="18"/>
                <w:szCs w:val="18"/>
              </w:rPr>
              <w:t>Authorising the Board of Directors to decide on the repurchase and/or on the acceptance 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EDB">
              <w:rPr>
                <w:rFonts w:asciiTheme="minorHAnsi" w:hAnsiTheme="minorHAnsi" w:cstheme="minorHAnsi"/>
                <w:sz w:val="18"/>
                <w:szCs w:val="18"/>
              </w:rPr>
              <w:t xml:space="preserve">pledge of </w:t>
            </w:r>
            <w:r w:rsidR="005874E8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3E64D0"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D02EDB">
              <w:rPr>
                <w:rFonts w:asciiTheme="minorHAnsi" w:hAnsiTheme="minorHAnsi" w:cstheme="minorHAnsi"/>
                <w:sz w:val="18"/>
                <w:szCs w:val="18"/>
              </w:rPr>
              <w:t>’s own shares</w:t>
            </w:r>
          </w:p>
        </w:tc>
        <w:tc>
          <w:tcPr>
            <w:tcW w:w="1010" w:type="dxa"/>
            <w:vAlign w:val="center"/>
          </w:tcPr>
          <w:p w14:paraId="3E4DDF08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4C72149D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F8DBBA7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F11" w:rsidRPr="00D02EDB" w14:paraId="0912EC39" w14:textId="77777777" w:rsidTr="00790F11">
        <w:trPr>
          <w:trHeight w:val="359"/>
        </w:trPr>
        <w:tc>
          <w:tcPr>
            <w:tcW w:w="522" w:type="dxa"/>
            <w:vAlign w:val="center"/>
          </w:tcPr>
          <w:p w14:paraId="35821F83" w14:textId="77777777" w:rsidR="00790F11" w:rsidRPr="00480F3A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80F3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17.</w:t>
            </w:r>
          </w:p>
        </w:tc>
        <w:tc>
          <w:tcPr>
            <w:tcW w:w="5620" w:type="dxa"/>
            <w:vAlign w:val="center"/>
          </w:tcPr>
          <w:p w14:paraId="5BFFB19D" w14:textId="2B9ABA1C" w:rsidR="00790F11" w:rsidRPr="00D02EDB" w:rsidRDefault="00790F11" w:rsidP="00790F11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2EDB">
              <w:rPr>
                <w:rFonts w:asciiTheme="minorHAnsi" w:hAnsiTheme="minorHAnsi" w:cstheme="minorHAnsi"/>
                <w:sz w:val="18"/>
                <w:szCs w:val="18"/>
              </w:rPr>
              <w:t xml:space="preserve">Authorising the Board of Directors to decide on the </w:t>
            </w:r>
            <w:r w:rsidR="007A6609">
              <w:rPr>
                <w:rFonts w:asciiTheme="minorHAnsi" w:hAnsiTheme="minorHAnsi" w:cstheme="minorHAnsi"/>
                <w:sz w:val="18"/>
                <w:szCs w:val="18"/>
              </w:rPr>
              <w:t xml:space="preserve">issuance of </w:t>
            </w:r>
            <w:r w:rsidR="00BE38B1">
              <w:rPr>
                <w:rFonts w:asciiTheme="minorHAnsi" w:hAnsiTheme="minorHAnsi" w:cstheme="minorHAnsi"/>
                <w:sz w:val="18"/>
                <w:szCs w:val="18"/>
              </w:rPr>
              <w:t>shares and</w:t>
            </w:r>
            <w:r w:rsidR="005874E8" w:rsidRPr="005874E8">
              <w:rPr>
                <w:rFonts w:asciiTheme="minorHAnsi" w:hAnsiTheme="minorHAnsi" w:cstheme="minorHAnsi"/>
                <w:sz w:val="18"/>
                <w:szCs w:val="18"/>
              </w:rPr>
              <w:t xml:space="preserve"> the issuance of</w:t>
            </w:r>
            <w:r w:rsidR="00BE38B1">
              <w:rPr>
                <w:rFonts w:asciiTheme="minorHAnsi" w:hAnsiTheme="minorHAnsi" w:cstheme="minorHAnsi"/>
                <w:sz w:val="18"/>
                <w:szCs w:val="18"/>
              </w:rPr>
              <w:t xml:space="preserve"> special rights entitling to shares </w:t>
            </w:r>
          </w:p>
        </w:tc>
        <w:tc>
          <w:tcPr>
            <w:tcW w:w="1010" w:type="dxa"/>
            <w:vAlign w:val="center"/>
          </w:tcPr>
          <w:p w14:paraId="7B4DC9BF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72418BEF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7A25139" w14:textId="77777777" w:rsidR="00790F11" w:rsidRPr="00D02EDB" w:rsidRDefault="00790F11" w:rsidP="00790F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1B44935" w14:textId="77777777" w:rsidR="007A6609" w:rsidRDefault="007A6609" w:rsidP="00456496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CD148FD" w14:textId="0B25BC45" w:rsidR="00553E7D" w:rsidRPr="00BF0931" w:rsidRDefault="00456496" w:rsidP="00456496">
      <w:pPr>
        <w:jc w:val="center"/>
        <w:rPr>
          <w:rFonts w:asciiTheme="minorHAnsi" w:hAnsiTheme="minorHAnsi" w:cstheme="minorHAnsi"/>
          <w:sz w:val="20"/>
          <w:szCs w:val="20"/>
        </w:rPr>
      </w:pPr>
      <w:r w:rsidRPr="00BF0931">
        <w:rPr>
          <w:rFonts w:asciiTheme="minorHAnsi" w:hAnsiTheme="minorHAnsi" w:cstheme="minorHAnsi"/>
          <w:sz w:val="20"/>
          <w:szCs w:val="20"/>
        </w:rPr>
        <w:t>[</w:t>
      </w:r>
      <w:r w:rsidR="00BF0931" w:rsidRPr="00BF0931">
        <w:rPr>
          <w:rFonts w:asciiTheme="minorHAnsi" w:hAnsiTheme="minorHAnsi" w:cstheme="minorHAnsi"/>
          <w:i/>
          <w:sz w:val="20"/>
          <w:szCs w:val="20"/>
        </w:rPr>
        <w:t>Signature on the following page</w:t>
      </w:r>
      <w:r w:rsidRPr="00BF0931">
        <w:rPr>
          <w:rFonts w:asciiTheme="minorHAnsi" w:hAnsiTheme="minorHAnsi" w:cstheme="minorHAnsi"/>
          <w:sz w:val="20"/>
          <w:szCs w:val="20"/>
        </w:rPr>
        <w:t>]</w:t>
      </w:r>
    </w:p>
    <w:tbl>
      <w:tblPr>
        <w:tblStyle w:val="TableGrid"/>
        <w:tblpPr w:leftFromText="180" w:rightFromText="180" w:vertAnchor="text" w:horzAnchor="margin" w:tblpY="1020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560"/>
        <w:gridCol w:w="3827"/>
      </w:tblGrid>
      <w:tr w:rsidR="00BA0D45" w:rsidRPr="006B7667" w14:paraId="6A51CEC7" w14:textId="77777777" w:rsidTr="00BA0D45">
        <w:trPr>
          <w:trHeight w:val="841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1F17A0F1" w14:textId="0C0F341A" w:rsidR="00BA0D45" w:rsidRPr="00C6532F" w:rsidRDefault="00BF0931" w:rsidP="00BA0D4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  <w:lastRenderedPageBreak/>
              <w:t>Signature</w:t>
            </w:r>
          </w:p>
        </w:tc>
        <w:tc>
          <w:tcPr>
            <w:tcW w:w="1560" w:type="dxa"/>
          </w:tcPr>
          <w:p w14:paraId="6885F8F7" w14:textId="77777777" w:rsidR="00BA0D45" w:rsidRPr="00C6532F" w:rsidRDefault="00BA0D45" w:rsidP="00BA0D4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6AD1D81" w14:textId="707BB740" w:rsidR="00BA0D45" w:rsidRPr="00C6532F" w:rsidRDefault="00BF0931" w:rsidP="00BA0D4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  <w:t>Signature</w:t>
            </w:r>
          </w:p>
        </w:tc>
      </w:tr>
      <w:tr w:rsidR="00BA0D45" w:rsidRPr="00045051" w14:paraId="7B442280" w14:textId="77777777" w:rsidTr="00BA0D45">
        <w:trPr>
          <w:trHeight w:val="798"/>
        </w:trPr>
        <w:tc>
          <w:tcPr>
            <w:tcW w:w="3964" w:type="dxa"/>
            <w:tcBorders>
              <w:top w:val="single" w:sz="4" w:space="0" w:color="auto"/>
            </w:tcBorders>
          </w:tcPr>
          <w:p w14:paraId="5F769E4E" w14:textId="2A93C75B" w:rsidR="00BA0D45" w:rsidRPr="00C6532F" w:rsidRDefault="00BF0931" w:rsidP="00BA0D4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  <w:t>Name in block letters</w:t>
            </w:r>
          </w:p>
        </w:tc>
        <w:tc>
          <w:tcPr>
            <w:tcW w:w="1560" w:type="dxa"/>
          </w:tcPr>
          <w:p w14:paraId="64A3F365" w14:textId="77777777" w:rsidR="00BA0D45" w:rsidRPr="00C6532F" w:rsidRDefault="00BA0D45" w:rsidP="00BA0D4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0BD5A76" w14:textId="7B3DBFFE" w:rsidR="00BA0D45" w:rsidRPr="00C6532F" w:rsidRDefault="00BF0931" w:rsidP="00BA0D4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i-FI"/>
              </w:rPr>
              <w:t>Name in block letters</w:t>
            </w:r>
          </w:p>
        </w:tc>
      </w:tr>
    </w:tbl>
    <w:p w14:paraId="47DD8EF0" w14:textId="3580ACBD" w:rsidR="00C27CC8" w:rsidRDefault="00BF0931" w:rsidP="00C27CC8">
      <w:pPr>
        <w:tabs>
          <w:tab w:val="right" w:leader="underscore" w:pos="5400"/>
        </w:tabs>
        <w:spacing w:before="20" w:after="1103" w:line="229" w:lineRule="exact"/>
        <w:textAlignment w:val="baseline"/>
        <w:rPr>
          <w:rFonts w:asciiTheme="minorHAnsi" w:eastAsia="Arial" w:hAnsiTheme="minorHAnsi" w:cstheme="minorHAnsi"/>
          <w:color w:val="000000"/>
          <w:sz w:val="18"/>
          <w:szCs w:val="18"/>
          <w:lang w:val="fi-FI"/>
        </w:rPr>
      </w:pPr>
      <w:r>
        <w:rPr>
          <w:rFonts w:asciiTheme="minorHAnsi" w:eastAsia="Arial" w:hAnsiTheme="minorHAnsi" w:cstheme="minorHAnsi"/>
          <w:color w:val="000000"/>
          <w:sz w:val="18"/>
          <w:szCs w:val="18"/>
          <w:lang w:val="fi-FI"/>
        </w:rPr>
        <w:t>Place and date</w:t>
      </w:r>
      <w:r w:rsidR="00C27CC8" w:rsidRPr="00C6532F">
        <w:rPr>
          <w:rFonts w:asciiTheme="minorHAnsi" w:eastAsia="Arial" w:hAnsiTheme="minorHAnsi" w:cstheme="minorHAnsi"/>
          <w:color w:val="000000"/>
          <w:sz w:val="18"/>
          <w:szCs w:val="18"/>
          <w:lang w:val="fi-FI"/>
        </w:rPr>
        <w:t xml:space="preserve"> </w:t>
      </w:r>
      <w:r w:rsidR="00C27CC8" w:rsidRPr="00C6532F">
        <w:rPr>
          <w:rFonts w:asciiTheme="minorHAnsi" w:eastAsia="Arial" w:hAnsiTheme="minorHAnsi" w:cstheme="minorHAnsi"/>
          <w:color w:val="000000"/>
          <w:sz w:val="18"/>
          <w:szCs w:val="18"/>
          <w:lang w:val="fi-FI"/>
        </w:rPr>
        <w:tab/>
        <w:t xml:space="preserve"> _____ / ______ 2020</w:t>
      </w:r>
    </w:p>
    <w:p w14:paraId="1CB9186E" w14:textId="689357D2" w:rsidR="00BA0D45" w:rsidRPr="009F6EA0" w:rsidRDefault="00BF0931" w:rsidP="00C27CC8">
      <w:pPr>
        <w:tabs>
          <w:tab w:val="right" w:leader="underscore" w:pos="5400"/>
        </w:tabs>
        <w:spacing w:before="20" w:after="1103" w:line="229" w:lineRule="exact"/>
        <w:textAlignment w:val="baseline"/>
        <w:rPr>
          <w:rFonts w:asciiTheme="minorHAnsi" w:eastAsia="Arial" w:hAnsiTheme="minorHAnsi" w:cstheme="minorHAnsi"/>
          <w:color w:val="000000"/>
          <w:sz w:val="18"/>
          <w:szCs w:val="18"/>
        </w:rPr>
      </w:pPr>
      <w:r w:rsidRPr="00BF0931">
        <w:rPr>
          <w:rFonts w:asciiTheme="minorHAnsi" w:eastAsia="Arial" w:hAnsiTheme="minorHAnsi" w:cstheme="minorHAnsi"/>
          <w:color w:val="000000"/>
          <w:sz w:val="18"/>
          <w:szCs w:val="18"/>
        </w:rPr>
        <w:t>To be returned in c</w:t>
      </w:r>
      <w:r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ompleted form </w:t>
      </w:r>
      <w:r w:rsidR="00D76736">
        <w:rPr>
          <w:rFonts w:asciiTheme="minorHAnsi" w:eastAsia="Arial" w:hAnsiTheme="minorHAnsi" w:cstheme="minorHAnsi"/>
          <w:color w:val="000000"/>
          <w:sz w:val="18"/>
          <w:szCs w:val="18"/>
        </w:rPr>
        <w:t>as a pdf document by e-mail to</w:t>
      </w:r>
      <w:r w:rsidR="006B11D9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rovio.agm@rovio.com</w:t>
      </w:r>
      <w:r w:rsidR="00D76736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or </w:t>
      </w:r>
      <w:r w:rsidR="00DA2791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via regular mail or personally </w:t>
      </w:r>
      <w:r w:rsidR="00D76736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at </w:t>
      </w:r>
      <w:r w:rsidR="00D7605C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Rovio Entertainment Corporation at Keilaranta 7, 02150, Espoo </w:t>
      </w:r>
      <w:r w:rsidR="00DA2791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so that they are received by Rovio </w:t>
      </w:r>
      <w:r w:rsidR="009F6EA0">
        <w:rPr>
          <w:rFonts w:asciiTheme="minorHAnsi" w:eastAsia="Arial" w:hAnsiTheme="minorHAnsi" w:cstheme="minorHAnsi"/>
          <w:color w:val="000000"/>
          <w:sz w:val="18"/>
          <w:szCs w:val="18"/>
        </w:rPr>
        <w:t>no later than</w:t>
      </w:r>
      <w:r w:rsidR="00D76736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</w:t>
      </w:r>
      <w:r w:rsidR="00D7605C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March 30, 2020 </w:t>
      </w:r>
      <w:r w:rsidR="00DA2791">
        <w:rPr>
          <w:rFonts w:asciiTheme="minorHAnsi" w:eastAsia="Arial" w:hAnsiTheme="minorHAnsi" w:cstheme="minorHAnsi"/>
          <w:color w:val="000000"/>
          <w:sz w:val="18"/>
          <w:szCs w:val="18"/>
        </w:rPr>
        <w:t>by</w:t>
      </w:r>
      <w:bookmarkStart w:id="0" w:name="_GoBack"/>
      <w:bookmarkEnd w:id="0"/>
      <w:r w:rsidR="00D7605C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noon. </w:t>
      </w:r>
    </w:p>
    <w:sectPr w:rsidR="00BA0D45" w:rsidRPr="009F6E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4F6A" w14:textId="77777777" w:rsidR="004C613E" w:rsidRDefault="004C613E" w:rsidP="00292233">
      <w:r>
        <w:separator/>
      </w:r>
    </w:p>
  </w:endnote>
  <w:endnote w:type="continuationSeparator" w:id="0">
    <w:p w14:paraId="35DFE9D2" w14:textId="77777777" w:rsidR="004C613E" w:rsidRDefault="004C613E" w:rsidP="002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6FCA" w14:textId="0F7D6EEA" w:rsidR="00292233" w:rsidRDefault="00456639" w:rsidP="00CF1C16">
    <w:pPr>
      <w:pStyle w:val="Footer"/>
      <w:tabs>
        <w:tab w:val="clear" w:pos="4680"/>
        <w:tab w:val="clear" w:pos="9360"/>
      </w:tabs>
    </w:pPr>
    <w:r>
      <w:rPr>
        <w:rFonts w:ascii="Calibri" w:hAnsi="Calibri" w:cs="Calibri"/>
        <w:sz w:val="16"/>
      </w:rPr>
      <w:t>W/9819152/v3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906E6" w14:textId="701A0C8F" w:rsidR="00292233" w:rsidRDefault="00456639" w:rsidP="00CF1C16">
    <w:pPr>
      <w:pStyle w:val="Footer"/>
      <w:tabs>
        <w:tab w:val="clear" w:pos="4680"/>
        <w:tab w:val="clear" w:pos="9360"/>
      </w:tabs>
    </w:pPr>
    <w:r>
      <w:rPr>
        <w:rFonts w:ascii="Calibri" w:hAnsi="Calibri" w:cs="Calibri"/>
        <w:sz w:val="16"/>
      </w:rPr>
      <w:t>W/9831792/v3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66475" w14:textId="77777777" w:rsidR="004C613E" w:rsidRDefault="004C613E" w:rsidP="00292233">
      <w:r>
        <w:separator/>
      </w:r>
    </w:p>
  </w:footnote>
  <w:footnote w:type="continuationSeparator" w:id="0">
    <w:p w14:paraId="04E7C8A0" w14:textId="77777777" w:rsidR="004C613E" w:rsidRDefault="004C613E" w:rsidP="0029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57A2" w14:textId="77777777" w:rsidR="00C81E9E" w:rsidRDefault="00C81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6E58" w14:textId="77777777" w:rsidR="00C81E9E" w:rsidRDefault="00C81E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15281" w14:textId="77777777" w:rsidR="00C81E9E" w:rsidRDefault="00C81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1657"/>
    <w:multiLevelType w:val="hybridMultilevel"/>
    <w:tmpl w:val="3654BC2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57B3A3C"/>
    <w:multiLevelType w:val="hybridMultilevel"/>
    <w:tmpl w:val="884C58FC"/>
    <w:lvl w:ilvl="0" w:tplc="E636461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87693"/>
    <w:multiLevelType w:val="hybridMultilevel"/>
    <w:tmpl w:val="AE1844A2"/>
    <w:lvl w:ilvl="0" w:tplc="63BEFF88">
      <w:start w:val="1"/>
      <w:numFmt w:val="bullet"/>
      <w:lvlText w:val=""/>
      <w:lvlJc w:val="left"/>
      <w:pPr>
        <w:ind w:left="501" w:hanging="360"/>
      </w:pPr>
      <w:rPr>
        <w:rFonts w:ascii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31124C5"/>
    <w:multiLevelType w:val="hybridMultilevel"/>
    <w:tmpl w:val="944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6774E"/>
    <w:multiLevelType w:val="multilevel"/>
    <w:tmpl w:val="83C0D81A"/>
    <w:lvl w:ilvl="0">
      <w:start w:val="7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F7753F"/>
    <w:multiLevelType w:val="hybridMultilevel"/>
    <w:tmpl w:val="8160D6BE"/>
    <w:lvl w:ilvl="0" w:tplc="ED00B3B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hideSpellingErrors/>
  <w:hideGrammaticalErrors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BE"/>
    <w:rsid w:val="00013B87"/>
    <w:rsid w:val="00045051"/>
    <w:rsid w:val="00084872"/>
    <w:rsid w:val="000855C2"/>
    <w:rsid w:val="00095AED"/>
    <w:rsid w:val="00095B16"/>
    <w:rsid w:val="000C4551"/>
    <w:rsid w:val="000D63E7"/>
    <w:rsid w:val="000E3B42"/>
    <w:rsid w:val="000F172F"/>
    <w:rsid w:val="000F7897"/>
    <w:rsid w:val="00126251"/>
    <w:rsid w:val="00141280"/>
    <w:rsid w:val="00156542"/>
    <w:rsid w:val="00181585"/>
    <w:rsid w:val="001A02BC"/>
    <w:rsid w:val="001C4408"/>
    <w:rsid w:val="001E0F4D"/>
    <w:rsid w:val="002005DF"/>
    <w:rsid w:val="0020422A"/>
    <w:rsid w:val="00256627"/>
    <w:rsid w:val="002667A9"/>
    <w:rsid w:val="00292233"/>
    <w:rsid w:val="00292598"/>
    <w:rsid w:val="00295B54"/>
    <w:rsid w:val="0030456A"/>
    <w:rsid w:val="00305223"/>
    <w:rsid w:val="00333FC3"/>
    <w:rsid w:val="0034281D"/>
    <w:rsid w:val="00342EFF"/>
    <w:rsid w:val="003433D0"/>
    <w:rsid w:val="00350FDE"/>
    <w:rsid w:val="00351F0F"/>
    <w:rsid w:val="00360F03"/>
    <w:rsid w:val="003636A2"/>
    <w:rsid w:val="00365BFE"/>
    <w:rsid w:val="003671DD"/>
    <w:rsid w:val="003B4B67"/>
    <w:rsid w:val="003C64A2"/>
    <w:rsid w:val="003D5BB7"/>
    <w:rsid w:val="003E64D0"/>
    <w:rsid w:val="003F0505"/>
    <w:rsid w:val="003F7C4A"/>
    <w:rsid w:val="00442FB9"/>
    <w:rsid w:val="004526DE"/>
    <w:rsid w:val="00456496"/>
    <w:rsid w:val="00456639"/>
    <w:rsid w:val="00480F3A"/>
    <w:rsid w:val="00481865"/>
    <w:rsid w:val="004C402E"/>
    <w:rsid w:val="004C613E"/>
    <w:rsid w:val="004D0C62"/>
    <w:rsid w:val="004D23D3"/>
    <w:rsid w:val="005304B1"/>
    <w:rsid w:val="00536367"/>
    <w:rsid w:val="00553E7D"/>
    <w:rsid w:val="005874E8"/>
    <w:rsid w:val="00592A4B"/>
    <w:rsid w:val="005A1EED"/>
    <w:rsid w:val="005D0C5C"/>
    <w:rsid w:val="005D65E7"/>
    <w:rsid w:val="0061175C"/>
    <w:rsid w:val="00693D4D"/>
    <w:rsid w:val="006B11D9"/>
    <w:rsid w:val="006B7667"/>
    <w:rsid w:val="006E1735"/>
    <w:rsid w:val="006F7CC7"/>
    <w:rsid w:val="00720AEF"/>
    <w:rsid w:val="00727C94"/>
    <w:rsid w:val="007549BE"/>
    <w:rsid w:val="00756330"/>
    <w:rsid w:val="007620A0"/>
    <w:rsid w:val="00762321"/>
    <w:rsid w:val="00765380"/>
    <w:rsid w:val="00790F11"/>
    <w:rsid w:val="007A6609"/>
    <w:rsid w:val="008019B2"/>
    <w:rsid w:val="00822E85"/>
    <w:rsid w:val="00853A47"/>
    <w:rsid w:val="008E534E"/>
    <w:rsid w:val="008E5730"/>
    <w:rsid w:val="009471A9"/>
    <w:rsid w:val="00947FBE"/>
    <w:rsid w:val="0095337F"/>
    <w:rsid w:val="009B04DB"/>
    <w:rsid w:val="009C337C"/>
    <w:rsid w:val="009C471F"/>
    <w:rsid w:val="009E4E64"/>
    <w:rsid w:val="009F12BD"/>
    <w:rsid w:val="009F6EA0"/>
    <w:rsid w:val="00A735CD"/>
    <w:rsid w:val="00A9017E"/>
    <w:rsid w:val="00AA2F26"/>
    <w:rsid w:val="00AE655D"/>
    <w:rsid w:val="00B543F0"/>
    <w:rsid w:val="00B90439"/>
    <w:rsid w:val="00B916AC"/>
    <w:rsid w:val="00BA0D45"/>
    <w:rsid w:val="00BB061F"/>
    <w:rsid w:val="00BB32B9"/>
    <w:rsid w:val="00BE38B1"/>
    <w:rsid w:val="00BF0931"/>
    <w:rsid w:val="00BF2F32"/>
    <w:rsid w:val="00C157E0"/>
    <w:rsid w:val="00C27CC8"/>
    <w:rsid w:val="00C37240"/>
    <w:rsid w:val="00C37E83"/>
    <w:rsid w:val="00C6532F"/>
    <w:rsid w:val="00C81E9E"/>
    <w:rsid w:val="00C93859"/>
    <w:rsid w:val="00CF1C16"/>
    <w:rsid w:val="00CF3A5C"/>
    <w:rsid w:val="00D02EDB"/>
    <w:rsid w:val="00D24CCC"/>
    <w:rsid w:val="00D30D84"/>
    <w:rsid w:val="00D45E63"/>
    <w:rsid w:val="00D7605C"/>
    <w:rsid w:val="00D76736"/>
    <w:rsid w:val="00DA00B2"/>
    <w:rsid w:val="00DA2791"/>
    <w:rsid w:val="00DE6D17"/>
    <w:rsid w:val="00DF4E36"/>
    <w:rsid w:val="00E1122B"/>
    <w:rsid w:val="00E439CD"/>
    <w:rsid w:val="00EA25A7"/>
    <w:rsid w:val="00EB5F07"/>
    <w:rsid w:val="00EF4DDD"/>
    <w:rsid w:val="00F07F88"/>
    <w:rsid w:val="00F12169"/>
    <w:rsid w:val="00F25FC3"/>
    <w:rsid w:val="00F4318F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7054B8"/>
  <w15:chartTrackingRefBased/>
  <w15:docId w15:val="{C2F7D1DF-5A66-49C6-B834-6B55CF25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B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C2"/>
    <w:pPr>
      <w:ind w:left="720"/>
      <w:contextualSpacing/>
    </w:pPr>
  </w:style>
  <w:style w:type="table" w:styleId="TableGrid">
    <w:name w:val="Table Grid"/>
    <w:basedOn w:val="TableNormal"/>
    <w:uiPriority w:val="39"/>
    <w:rsid w:val="0009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5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B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BB7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BB7"/>
    <w:rPr>
      <w:rFonts w:ascii="Times New Roman" w:eastAsia="PMingLiU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B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B7"/>
    <w:rPr>
      <w:rFonts w:ascii="Segoe UI" w:eastAsia="PMingLiU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2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33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2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33"/>
    <w:rPr>
      <w:rFonts w:ascii="Times New Roman" w:eastAsia="PMingLiU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F4DD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76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6E6A5690356548937322D110328256" ma:contentTypeVersion="13" ma:contentTypeDescription="Luo uusi asiakirja." ma:contentTypeScope="" ma:versionID="f7e97ced10930bb68d69452ec76c3b77">
  <xsd:schema xmlns:xsd="http://www.w3.org/2001/XMLSchema" xmlns:xs="http://www.w3.org/2001/XMLSchema" xmlns:p="http://schemas.microsoft.com/office/2006/metadata/properties" xmlns:ns3="d3eba554-3551-4d16-b507-5bd87245308d" xmlns:ns4="30290171-9d9a-4142-962f-0afa80f893a6" targetNamespace="http://schemas.microsoft.com/office/2006/metadata/properties" ma:root="true" ma:fieldsID="7f1f1a528f5119e7a05e36ec6010e914" ns3:_="" ns4:_="">
    <xsd:import namespace="d3eba554-3551-4d16-b507-5bd87245308d"/>
    <xsd:import namespace="30290171-9d9a-4142-962f-0afa80f893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ba554-3551-4d16-b507-5bd8724530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90171-9d9a-4142-962f-0afa80f8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>
          </xs:element>
          <xs:element ref="pc:AccountId" minOccurs="0">
          </xs:element>
          <xs:element ref="pc:AccountType" minOccurs="0">
          </xs:element>
        </xs:sequence>
      </xs:complexType>
    </xs:element>
    <xs:element name="DisplayName" type="xs:string">
    </xs:element>
    <xs:element name="AccountId" type="xs:string">
    </xs:element>
    <xs:element name="AccountType" type="xs:string">
    </xs:element>
    <xs:element name="BDCAssociatedEntity">
      <xs:complexType>
        <xs:sequence>
          <xs:element ref="pc:BDCEntity" minOccurs="0" maxOccurs="unbounded">
          </xs:element>
        </xs:sequence>
        <xs:attribute ref="pc:EntityNamespace">
        </xs:attribute>
        <xs:attribute ref="pc:EntityName">
        </xs:attribute>
        <xs:attribute ref="pc:SystemInstanceName">
        </xs:attribute>
        <xs:attribute ref="pc:AssociationName">
        </xs:attribute>
      </xs:complexType>
    </xs:element>
    <xs:attribute name="EntityNamespace" type="xs:string">
    </xs:attribute>
    <xs:attribute name="EntityName" type="xs:string">
    </xs:attribute>
    <xs:attribute name="SystemInstanceName" type="xs:string">
    </xs:attribute>
    <xs:attribute name="AssociationName" type="xs:string">
    </xs:attribute>
    <xs:element name="BDCEntity">
      <xs:complexType>
        <xs:sequence>
          <xs:element ref="pc:EntityDisplayName" minOccurs="0">
          </xs:element>
          <xs:element ref="pc:EntityInstanceReference" minOccurs="0">
          </xs:element>
          <xs:element ref="pc:EntityId1" minOccurs="0">
          </xs:element>
          <xs:element ref="pc:EntityId2" minOccurs="0">
          </xs:element>
          <xs:element ref="pc:EntityId3" minOccurs="0">
          </xs:element>
          <xs:element ref="pc:EntityId4" minOccurs="0">
          </xs:element>
          <xs:element ref="pc:EntityId5" minOccurs="0">
          </xs:element>
        </xs:sequence>
      </xs:complexType>
    </xs:element>
    <xs:element name="EntityDisplayName" type="xs:string">
    </xs:element>
    <xs:element name="EntityInstanceReference" type="xs:string">
    </xs:element>
    <xs:element name="EntityId1" type="xs:string">
    </xs:element>
    <xs:element name="EntityId2" type="xs:string">
    </xs:element>
    <xs:element name="EntityId3" type="xs:string">
    </xs:element>
    <xs:element name="EntityId4" type="xs:string">
    </xs:element>
    <xs:element name="EntityId5" type="xs:string">
    </xs:element>
    <xs:element name="Terms">
      <xs:complexType>
        <xs:sequence>
          <xs:element ref="pc:TermInfo" minOccurs="0" maxOccurs="unbounded">
          </xs:element>
        </xs:sequence>
      </xs:complexType>
    </xs:element>
    <xs:element name="TermInfo">
      <xs:complexType>
        <xs:sequence>
          <xs:element ref="pc:TermName" minOccurs="0">
          </xs:element>
          <xs:element ref="pc:TermId" minOccurs="0">
          </xs:element>
        </xs:sequence>
      </xs:complexType>
    </xs:element>
    <xs:element name="TermName" type="xs:string">
    </xs:element>
    <xs:element name="TermId" type="xs:string">
    </xs:element>
  </xs:schema>
</ct:contentTypeSchema>
</file>

<file path=customXml/itemProps1.xml><?xml version="1.0" encoding="utf-8"?>
<ds:datastoreItem xmlns:ds="http://schemas.openxmlformats.org/officeDocument/2006/customXml" ds:itemID="{FDD28637-5CB6-471E-952D-F4C7239A7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6DF6E-5D24-4460-AB29-1DCCB869E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13C86-5DC2-43B9-82E8-EAB7B2EF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ba554-3551-4d16-b507-5bd87245308d"/>
    <ds:schemaRef ds:uri="30290171-9d9a-4142-962f-0afa80f89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Rovio_Annual General Meeting 2020 - Proxy Form - Voting Instructions - ENG-1 compared with Rovio_Annual General Meeting 2020 - Proxy Form - Voting Instructions - ENG-1-1</dc:title>
  <dc:subject>
  </dc:subject>
  <dc:creator>Roschier</dc:creator>
  <cp:keywords>
  </cp:keywords>
  <dc:description>
  </dc:description>
  <cp:lastModifiedBy>Minna Raitanen</cp:lastModifiedBy>
  <cp:revision>3</cp:revision>
  <dcterms:created xsi:type="dcterms:W3CDTF">2020-03-23T06:49:00Z</dcterms:created>
  <dcterms:modified xsi:type="dcterms:W3CDTF">2020-03-23T06:49:00Z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0x010100F76E6A5690356548937322D110328256</vt:lpwstr>
  </property>
  <property fmtid="{D5CDD505-2E9C-101B-9397-08002B2CF9AE}" pid="3" name="DocRef_src">
    <vt:lpwstr>{Module.FooterText}</vt:lpwstr>
  </property>
  <property fmtid="{D5CDD505-2E9C-101B-9397-08002B2CF9AE}" pid="4" name="SD_TIM_Ran">
    <vt:lpwstr>True</vt:lpwstr>
  </property>
  <property fmtid="{D5CDD505-2E9C-101B-9397-08002B2CF9AE}" pid="5" name="DocRef">
    <vt:lpwstr>W/9831792/v3</vt:lpwstr>
  </property>
  <property fmtid="{D5CDD505-2E9C-101B-9397-08002B2CF9AE}" pid="6" name="/bp_dc_filepath">
    <vt:lpwstr>C\\\rRe FI :aAlTppae\oGng2 o n-E\mpaerdpDtv en0yrgs NxUypcmofmouilri2xmntsGcskDopCDocpoaat0o irn-oesaL\socst_ule r-tuo1dr\t\Dcc \uAn e-P oci-.saosOnM Vt1</vt:lpwstr>
  </property>
  <property fmtid="{D5CDD505-2E9C-101B-9397-08002B2CF9AE}" pid="7" name="/bp_dc_orgversion">
    <vt:lpwstr>isC*MocOS**arhD!!:n.iW922ake:8.grrm32eo.o19Wc7</vt:lpwstr>
  </property>
  <property fmtid="{D5CDD505-2E9C-101B-9397-08002B2CF9AE}" pid="8" name="bp_dc_comparedocs">
    <vt:lpwstr>4.3.400.132 _tc</vt:lpwstr>
  </property>
  <property fmtid="{D5CDD505-2E9C-101B-9397-08002B2CF9AE}" pid="9" name="/bp_dc_modversion">
    <vt:lpwstr>isC*mocOS**arhD!!:n.iW933ake:8.grrm32eo.o19wc7</vt:lpwstr>
  </property>
</Properties>
</file>