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8665"/>
      </w:tblGrid>
      <w:tr w:rsidR="00225A15" w:rsidRPr="008C518D" w14:paraId="0C7DCEEC" w14:textId="77777777" w:rsidTr="006A7AAF">
        <w:tc>
          <w:tcPr>
            <w:tcW w:w="803" w:type="dxa"/>
          </w:tcPr>
          <w:p w14:paraId="582AE836" w14:textId="6C7528C4" w:rsidR="00225A15" w:rsidRPr="008C518D" w:rsidRDefault="00225A15" w:rsidP="00FD30B6">
            <w:pPr>
              <w:spacing w:line="240" w:lineRule="exact"/>
              <w:jc w:val="center"/>
              <w:rPr>
                <w:b/>
                <w:lang w:val="en-GB"/>
              </w:rPr>
            </w:pPr>
          </w:p>
        </w:tc>
        <w:tc>
          <w:tcPr>
            <w:tcW w:w="8665" w:type="dxa"/>
          </w:tcPr>
          <w:p w14:paraId="011B399C" w14:textId="6FBDF40F" w:rsidR="00225A15" w:rsidRPr="008C518D" w:rsidRDefault="00225A15" w:rsidP="00FD30B6">
            <w:pPr>
              <w:spacing w:line="240" w:lineRule="exact"/>
              <w:jc w:val="center"/>
              <w:rPr>
                <w:lang w:val="en-GB"/>
              </w:rPr>
            </w:pPr>
          </w:p>
        </w:tc>
      </w:tr>
    </w:tbl>
    <w:p w14:paraId="691C179B" w14:textId="2E120779" w:rsidR="006A7AAF" w:rsidRPr="008C518D" w:rsidRDefault="006A7AAF" w:rsidP="00F33208">
      <w:pPr>
        <w:jc w:val="both"/>
        <w:rPr>
          <w:lang w:val="en-GB"/>
        </w:rPr>
      </w:pPr>
    </w:p>
    <w:p w14:paraId="04B58839" w14:textId="62A17D28" w:rsidR="006A7AAF" w:rsidRPr="008C518D" w:rsidRDefault="00445D88" w:rsidP="00F33208">
      <w:pPr>
        <w:jc w:val="both"/>
        <w:rPr>
          <w:b/>
          <w:bCs/>
          <w:lang w:val="en-GB"/>
        </w:rPr>
      </w:pPr>
      <w:r w:rsidRPr="008C518D">
        <w:rPr>
          <w:b/>
          <w:bCs/>
          <w:lang w:val="en-GB"/>
        </w:rPr>
        <w:t>NOT FOR DISTRIBUTION OR RELEASE, DIRECTLY OR INDIRECTLY, IN WHOLE OR IN PART IN OR INTO THE UNITED STATES, CANADA, AUSTRALIA OR JAPAN OR ANY OTHER JURISDICTION IN WHICH THE DISTRIBUTION OR RELEASE WOULD BE UNLAWFUL. OTHER RESTRICTIONS ARE APPLICABLE. PLEASE SEE THE IMPORTANT NOTICE AT THE END OF THE LETTER</w:t>
      </w:r>
    </w:p>
    <w:p w14:paraId="78EB79FD" w14:textId="77777777" w:rsidR="00445D88" w:rsidRPr="008C518D" w:rsidRDefault="00445D88" w:rsidP="00445D88">
      <w:pPr>
        <w:jc w:val="center"/>
        <w:rPr>
          <w:lang w:val="en-GB"/>
        </w:rPr>
      </w:pPr>
    </w:p>
    <w:p w14:paraId="62C5407A" w14:textId="1144E3AB" w:rsidR="006A7AAF" w:rsidRPr="008C518D" w:rsidRDefault="00027068" w:rsidP="00FD30B6">
      <w:pPr>
        <w:jc w:val="right"/>
        <w:rPr>
          <w:lang w:val="en-GB"/>
        </w:rPr>
      </w:pPr>
      <w:r w:rsidRPr="008C518D" w:rsidDel="00027068">
        <w:rPr>
          <w:lang w:val="en-GB"/>
        </w:rPr>
        <w:t xml:space="preserve"> </w:t>
      </w:r>
      <w:r w:rsidR="00BD60B2" w:rsidRPr="008C518D">
        <w:rPr>
          <w:lang w:val="en-GB"/>
        </w:rPr>
        <w:t>2</w:t>
      </w:r>
      <w:r w:rsidR="00DF5664" w:rsidRPr="008C518D">
        <w:rPr>
          <w:lang w:val="en-GB"/>
        </w:rPr>
        <w:t>2</w:t>
      </w:r>
      <w:r w:rsidR="00997B17" w:rsidRPr="008C518D">
        <w:rPr>
          <w:lang w:val="en-GB"/>
        </w:rPr>
        <w:t xml:space="preserve"> </w:t>
      </w:r>
      <w:r w:rsidR="006A7AAF" w:rsidRPr="008C518D">
        <w:rPr>
          <w:lang w:val="en-GB"/>
        </w:rPr>
        <w:t>November 2019</w:t>
      </w:r>
    </w:p>
    <w:p w14:paraId="59F20BE7" w14:textId="77777777" w:rsidR="00027068" w:rsidRPr="008C518D" w:rsidRDefault="00027068" w:rsidP="00FD30B6">
      <w:pPr>
        <w:rPr>
          <w:b/>
          <w:bCs/>
          <w:lang w:val="en-GB"/>
        </w:rPr>
      </w:pPr>
    </w:p>
    <w:p w14:paraId="6780F6F9" w14:textId="3D629061" w:rsidR="009370A0" w:rsidRPr="008C518D" w:rsidRDefault="0012301E" w:rsidP="00027068">
      <w:pPr>
        <w:jc w:val="both"/>
        <w:rPr>
          <w:b/>
          <w:bCs/>
          <w:lang w:val="en-GB"/>
        </w:rPr>
      </w:pPr>
      <w:r w:rsidRPr="008C518D">
        <w:rPr>
          <w:b/>
          <w:bCs/>
          <w:lang w:val="en-GB"/>
        </w:rPr>
        <w:t>Regarding r</w:t>
      </w:r>
      <w:r w:rsidR="00DC76E1" w:rsidRPr="008C518D">
        <w:rPr>
          <w:b/>
          <w:bCs/>
          <w:lang w:val="en-GB"/>
        </w:rPr>
        <w:t xml:space="preserve">esults of the </w:t>
      </w:r>
      <w:r w:rsidR="00BD60B2" w:rsidRPr="008C518D">
        <w:rPr>
          <w:b/>
          <w:bCs/>
          <w:lang w:val="en-GB"/>
        </w:rPr>
        <w:t>sale of part of the stake</w:t>
      </w:r>
      <w:r w:rsidR="00DC76E1" w:rsidRPr="008C518D">
        <w:rPr>
          <w:b/>
          <w:bCs/>
          <w:lang w:val="en-GB"/>
        </w:rPr>
        <w:t xml:space="preserve"> in </w:t>
      </w:r>
      <w:r w:rsidR="006A7AAF" w:rsidRPr="008C518D">
        <w:rPr>
          <w:b/>
          <w:bCs/>
          <w:lang w:val="en-GB"/>
        </w:rPr>
        <w:t>AB</w:t>
      </w:r>
      <w:r w:rsidR="005D7BB5" w:rsidRPr="008C518D">
        <w:rPr>
          <w:b/>
          <w:bCs/>
          <w:lang w:val="en-GB"/>
        </w:rPr>
        <w:t> </w:t>
      </w:r>
      <w:r w:rsidR="006A7AAF" w:rsidRPr="008C518D">
        <w:rPr>
          <w:b/>
          <w:bCs/>
          <w:lang w:val="en-GB"/>
        </w:rPr>
        <w:t>“Novaturas”</w:t>
      </w:r>
    </w:p>
    <w:p w14:paraId="598F91A9" w14:textId="77777777" w:rsidR="009370A0" w:rsidRPr="008C518D" w:rsidRDefault="009370A0" w:rsidP="00FD30B6">
      <w:pPr>
        <w:rPr>
          <w:lang w:val="en-GB"/>
        </w:rPr>
      </w:pPr>
    </w:p>
    <w:p w14:paraId="17FEB9CF" w14:textId="4664D139" w:rsidR="00BD60B2" w:rsidRPr="008C518D" w:rsidRDefault="00DC76E1" w:rsidP="00DF5664">
      <w:pPr>
        <w:jc w:val="both"/>
        <w:rPr>
          <w:lang w:val="en-GB"/>
        </w:rPr>
      </w:pPr>
      <w:r w:rsidRPr="008C518D">
        <w:rPr>
          <w:lang w:val="en-GB"/>
        </w:rPr>
        <w:t xml:space="preserve">Further to the </w:t>
      </w:r>
      <w:r w:rsidR="004E58E6" w:rsidRPr="008C518D">
        <w:rPr>
          <w:lang w:val="en-GB"/>
        </w:rPr>
        <w:t xml:space="preserve">notification </w:t>
      </w:r>
      <w:r w:rsidRPr="008C518D">
        <w:rPr>
          <w:lang w:val="en-GB"/>
        </w:rPr>
        <w:t>on 20 November 2019</w:t>
      </w:r>
      <w:r w:rsidR="002331C4" w:rsidRPr="008C518D">
        <w:rPr>
          <w:lang w:val="en-GB"/>
        </w:rPr>
        <w:t xml:space="preserve"> </w:t>
      </w:r>
      <w:r w:rsidR="002331C4" w:rsidRPr="008C518D">
        <w:rPr>
          <w:i/>
          <w:iCs/>
          <w:lang w:val="en-GB"/>
        </w:rPr>
        <w:t xml:space="preserve">Regarding launch of sale of shares, held by Central European Tour Operator </w:t>
      </w:r>
      <w:proofErr w:type="spellStart"/>
      <w:r w:rsidR="002331C4" w:rsidRPr="008C518D">
        <w:rPr>
          <w:i/>
          <w:iCs/>
          <w:lang w:val="en-GB"/>
        </w:rPr>
        <w:t>S.a.r.l</w:t>
      </w:r>
      <w:proofErr w:type="spellEnd"/>
      <w:r w:rsidR="002331C4" w:rsidRPr="008C518D">
        <w:rPr>
          <w:i/>
          <w:iCs/>
          <w:lang w:val="en-GB"/>
        </w:rPr>
        <w:t>. in AB “Novaturas”</w:t>
      </w:r>
      <w:r w:rsidRPr="008C518D">
        <w:rPr>
          <w:lang w:val="en-GB"/>
        </w:rPr>
        <w:t xml:space="preserve">, </w:t>
      </w:r>
      <w:r w:rsidR="004E58E6" w:rsidRPr="008C518D">
        <w:rPr>
          <w:lang w:val="en-GB"/>
        </w:rPr>
        <w:t xml:space="preserve">Central European Tour Operator </w:t>
      </w:r>
      <w:proofErr w:type="spellStart"/>
      <w:r w:rsidR="004E58E6" w:rsidRPr="008C518D">
        <w:rPr>
          <w:lang w:val="en-GB"/>
        </w:rPr>
        <w:t>S.a.r.l</w:t>
      </w:r>
      <w:proofErr w:type="spellEnd"/>
      <w:r w:rsidR="000776E0" w:rsidRPr="008C518D">
        <w:rPr>
          <w:lang w:val="en-GB"/>
        </w:rPr>
        <w:t>.</w:t>
      </w:r>
      <w:r w:rsidR="004E58E6" w:rsidRPr="008C518D">
        <w:rPr>
          <w:lang w:val="en-GB"/>
        </w:rPr>
        <w:t xml:space="preserve"> </w:t>
      </w:r>
      <w:r w:rsidR="00DF5664" w:rsidRPr="008C518D">
        <w:rPr>
          <w:lang w:val="en-GB"/>
        </w:rPr>
        <w:t xml:space="preserve">announces that it has placed </w:t>
      </w:r>
      <w:r w:rsidR="00381DBB">
        <w:rPr>
          <w:lang w:val="en-GB"/>
        </w:rPr>
        <w:t>904,745</w:t>
      </w:r>
      <w:r w:rsidR="00BD60B2" w:rsidRPr="008C518D">
        <w:rPr>
          <w:lang w:val="en-GB"/>
        </w:rPr>
        <w:t xml:space="preserve"> shares of </w:t>
      </w:r>
      <w:r w:rsidR="007B52E1" w:rsidRPr="008C518D">
        <w:rPr>
          <w:lang w:val="en-GB"/>
        </w:rPr>
        <w:t>AB “</w:t>
      </w:r>
      <w:proofErr w:type="spellStart"/>
      <w:r w:rsidR="007B52E1" w:rsidRPr="008C518D">
        <w:rPr>
          <w:lang w:val="en-GB"/>
        </w:rPr>
        <w:t>Novaturas</w:t>
      </w:r>
      <w:proofErr w:type="spellEnd"/>
      <w:r w:rsidR="007B52E1" w:rsidRPr="008C518D">
        <w:rPr>
          <w:lang w:val="en-GB"/>
        </w:rPr>
        <w:t>”, legal entity code 135567698, registered at A. </w:t>
      </w:r>
      <w:proofErr w:type="spellStart"/>
      <w:r w:rsidR="007B52E1" w:rsidRPr="008C518D">
        <w:rPr>
          <w:lang w:val="en-GB"/>
        </w:rPr>
        <w:t>Mickevičiaus</w:t>
      </w:r>
      <w:proofErr w:type="spellEnd"/>
      <w:r w:rsidR="007B52E1" w:rsidRPr="008C518D">
        <w:rPr>
          <w:lang w:val="en-GB"/>
        </w:rPr>
        <w:t xml:space="preserve"> str. 27, Kaunas, Lithuania (the </w:t>
      </w:r>
      <w:r w:rsidR="007B52E1" w:rsidRPr="008C518D">
        <w:rPr>
          <w:b/>
          <w:bCs/>
          <w:lang w:val="en-GB"/>
        </w:rPr>
        <w:t>Company</w:t>
      </w:r>
      <w:r w:rsidR="007B52E1" w:rsidRPr="008C518D">
        <w:rPr>
          <w:lang w:val="en-GB"/>
        </w:rPr>
        <w:t>)</w:t>
      </w:r>
      <w:r w:rsidR="00BD60B2" w:rsidRPr="008C518D">
        <w:rPr>
          <w:lang w:val="en-GB"/>
        </w:rPr>
        <w:t xml:space="preserve">, corresponding to </w:t>
      </w:r>
      <w:r w:rsidR="00690B37">
        <w:rPr>
          <w:lang w:val="en-GB"/>
        </w:rPr>
        <w:t>11.59</w:t>
      </w:r>
      <w:bookmarkStart w:id="0" w:name="_GoBack"/>
      <w:bookmarkEnd w:id="0"/>
      <w:r w:rsidR="00A46DE4" w:rsidRPr="008C518D">
        <w:rPr>
          <w:lang w:val="en-GB"/>
        </w:rPr>
        <w:t xml:space="preserve"> </w:t>
      </w:r>
      <w:r w:rsidR="00BD60B2" w:rsidRPr="008C518D">
        <w:rPr>
          <w:lang w:val="en-GB"/>
        </w:rPr>
        <w:t>% of the Company’s share capital</w:t>
      </w:r>
      <w:r w:rsidR="007B52E1" w:rsidRPr="008C518D">
        <w:rPr>
          <w:lang w:val="en-GB"/>
        </w:rPr>
        <w:t xml:space="preserve"> (the </w:t>
      </w:r>
      <w:r w:rsidR="007B52E1" w:rsidRPr="008C518D">
        <w:rPr>
          <w:b/>
          <w:bCs/>
          <w:lang w:val="en-GB"/>
        </w:rPr>
        <w:t>Shares</w:t>
      </w:r>
      <w:r w:rsidR="007B52E1" w:rsidRPr="008C518D">
        <w:rPr>
          <w:lang w:val="en-GB"/>
        </w:rPr>
        <w:t>)</w:t>
      </w:r>
      <w:r w:rsidR="00BD60B2" w:rsidRPr="008C518D">
        <w:rPr>
          <w:lang w:val="en-GB"/>
        </w:rPr>
        <w:t xml:space="preserve">, at a price per Share of </w:t>
      </w:r>
      <w:r w:rsidR="007B52E1" w:rsidRPr="008C518D">
        <w:rPr>
          <w:lang w:val="en-GB"/>
        </w:rPr>
        <w:t xml:space="preserve">EUR </w:t>
      </w:r>
      <w:r w:rsidR="00A46DE4" w:rsidRPr="008C518D">
        <w:rPr>
          <w:lang w:val="en-GB"/>
        </w:rPr>
        <w:t>4</w:t>
      </w:r>
      <w:r w:rsidR="0013178B">
        <w:rPr>
          <w:lang w:val="en-GB"/>
        </w:rPr>
        <w:t xml:space="preserve"> (four euros)</w:t>
      </w:r>
      <w:r w:rsidR="00A46DE4" w:rsidRPr="008C518D">
        <w:rPr>
          <w:lang w:val="en-GB"/>
        </w:rPr>
        <w:t xml:space="preserve">, </w:t>
      </w:r>
      <w:r w:rsidR="00BD60B2" w:rsidRPr="008C518D">
        <w:rPr>
          <w:lang w:val="en-GB"/>
        </w:rPr>
        <w:t xml:space="preserve">corresponding to a total amount of approximately </w:t>
      </w:r>
      <w:r w:rsidR="007B52E1" w:rsidRPr="008C518D">
        <w:rPr>
          <w:lang w:val="en-GB"/>
        </w:rPr>
        <w:t>EUR</w:t>
      </w:r>
      <w:r w:rsidR="0013178B">
        <w:rPr>
          <w:lang w:val="en-GB"/>
        </w:rPr>
        <w:t> </w:t>
      </w:r>
      <w:r w:rsidR="00A46DE4" w:rsidRPr="008C518D">
        <w:rPr>
          <w:lang w:val="en-GB"/>
        </w:rPr>
        <w:t>3,6</w:t>
      </w:r>
      <w:r w:rsidR="0013178B">
        <w:rPr>
          <w:lang w:val="en-GB"/>
        </w:rPr>
        <w:t xml:space="preserve"> million</w:t>
      </w:r>
      <w:r w:rsidR="00BD60B2" w:rsidRPr="008C518D">
        <w:rPr>
          <w:lang w:val="en-GB"/>
        </w:rPr>
        <w:t xml:space="preserve">. </w:t>
      </w:r>
    </w:p>
    <w:p w14:paraId="163296C9" w14:textId="5756DED9" w:rsidR="00BD60B2" w:rsidRPr="008C518D" w:rsidRDefault="00BD60B2" w:rsidP="00BD60B2">
      <w:pPr>
        <w:jc w:val="both"/>
        <w:rPr>
          <w:lang w:val="en-GB"/>
        </w:rPr>
      </w:pPr>
    </w:p>
    <w:p w14:paraId="222AF219" w14:textId="67BEB49D" w:rsidR="00BD60B2" w:rsidRPr="008C518D" w:rsidRDefault="00BD60B2" w:rsidP="00BD60B2">
      <w:pPr>
        <w:jc w:val="both"/>
        <w:rPr>
          <w:lang w:val="en-GB"/>
        </w:rPr>
      </w:pPr>
      <w:r w:rsidRPr="008C518D">
        <w:rPr>
          <w:lang w:val="en-GB"/>
        </w:rPr>
        <w:t xml:space="preserve">The placement was carried out through an accelerated </w:t>
      </w:r>
      <w:proofErr w:type="spellStart"/>
      <w:r w:rsidRPr="008C518D">
        <w:rPr>
          <w:lang w:val="en-GB"/>
        </w:rPr>
        <w:t>bookbuilding</w:t>
      </w:r>
      <w:proofErr w:type="spellEnd"/>
      <w:r w:rsidRPr="008C518D">
        <w:rPr>
          <w:lang w:val="en-GB"/>
        </w:rPr>
        <w:t xml:space="preserve"> (“</w:t>
      </w:r>
      <w:r w:rsidRPr="008C518D">
        <w:rPr>
          <w:b/>
          <w:bCs/>
          <w:lang w:val="en-GB"/>
        </w:rPr>
        <w:t>ABB</w:t>
      </w:r>
      <w:r w:rsidRPr="008C518D">
        <w:rPr>
          <w:lang w:val="en-GB"/>
        </w:rPr>
        <w:t xml:space="preserve">”) offering to </w:t>
      </w:r>
      <w:r w:rsidR="007B52E1" w:rsidRPr="008C518D">
        <w:rPr>
          <w:lang w:val="en-GB"/>
        </w:rPr>
        <w:t xml:space="preserve">qualified investors and </w:t>
      </w:r>
      <w:r w:rsidR="00B67685" w:rsidRPr="008C518D">
        <w:rPr>
          <w:lang w:val="en-GB"/>
        </w:rPr>
        <w:t xml:space="preserve">/ or </w:t>
      </w:r>
      <w:r w:rsidR="007B52E1" w:rsidRPr="008C518D">
        <w:rPr>
          <w:lang w:val="en-GB"/>
        </w:rPr>
        <w:t>fewer than 150 natural or legal persons per Member State of the European Economic Area, other than qualified investors</w:t>
      </w:r>
      <w:r w:rsidRPr="008C518D">
        <w:rPr>
          <w:lang w:val="en-GB"/>
        </w:rPr>
        <w:t xml:space="preserve">. The transaction will be settled by delivery of Shares and payment of the consideration on </w:t>
      </w:r>
      <w:r w:rsidR="00A46DE4" w:rsidRPr="008C518D">
        <w:rPr>
          <w:lang w:val="en-GB"/>
        </w:rPr>
        <w:t>26</w:t>
      </w:r>
      <w:r w:rsidRPr="008C518D">
        <w:rPr>
          <w:lang w:val="en-GB"/>
        </w:rPr>
        <w:t xml:space="preserve"> </w:t>
      </w:r>
      <w:r w:rsidR="007B52E1" w:rsidRPr="008C518D">
        <w:rPr>
          <w:lang w:val="en-GB"/>
        </w:rPr>
        <w:t>November</w:t>
      </w:r>
      <w:r w:rsidRPr="008C518D">
        <w:rPr>
          <w:lang w:val="en-GB"/>
        </w:rPr>
        <w:t xml:space="preserve"> 201</w:t>
      </w:r>
      <w:r w:rsidR="007B52E1" w:rsidRPr="008C518D">
        <w:rPr>
          <w:lang w:val="en-GB"/>
        </w:rPr>
        <w:t>9</w:t>
      </w:r>
      <w:r w:rsidRPr="008C518D">
        <w:rPr>
          <w:lang w:val="en-GB"/>
        </w:rPr>
        <w:t xml:space="preserve">. </w:t>
      </w:r>
    </w:p>
    <w:p w14:paraId="06108126" w14:textId="77777777" w:rsidR="00BD60B2" w:rsidRPr="008C518D" w:rsidRDefault="00BD60B2" w:rsidP="00BD60B2">
      <w:pPr>
        <w:jc w:val="both"/>
        <w:rPr>
          <w:lang w:val="en-GB"/>
        </w:rPr>
      </w:pPr>
    </w:p>
    <w:p w14:paraId="08CB8B62" w14:textId="1068CF95" w:rsidR="00EC61ED" w:rsidRPr="008C518D" w:rsidRDefault="00FD30B6" w:rsidP="00FD30B6">
      <w:pPr>
        <w:jc w:val="both"/>
        <w:rPr>
          <w:lang w:val="en-GB"/>
        </w:rPr>
      </w:pPr>
      <w:r w:rsidRPr="008C518D">
        <w:rPr>
          <w:lang w:val="en-GB"/>
        </w:rPr>
        <w:t xml:space="preserve">AS LHV </w:t>
      </w:r>
      <w:proofErr w:type="spellStart"/>
      <w:r w:rsidRPr="008C518D">
        <w:rPr>
          <w:lang w:val="en-GB"/>
        </w:rPr>
        <w:t>Pank</w:t>
      </w:r>
      <w:proofErr w:type="spellEnd"/>
      <w:r w:rsidR="006A7AAF" w:rsidRPr="008C518D">
        <w:rPr>
          <w:lang w:val="en-GB"/>
        </w:rPr>
        <w:t xml:space="preserve"> act</w:t>
      </w:r>
      <w:r w:rsidR="00C12364" w:rsidRPr="008C518D">
        <w:rPr>
          <w:lang w:val="en-GB"/>
        </w:rPr>
        <w:t xml:space="preserve">ed </w:t>
      </w:r>
      <w:r w:rsidR="006A7AAF" w:rsidRPr="008C518D">
        <w:rPr>
          <w:lang w:val="en-GB"/>
        </w:rPr>
        <w:t xml:space="preserve">as </w:t>
      </w:r>
      <w:r w:rsidR="00B67685" w:rsidRPr="008C518D">
        <w:rPr>
          <w:lang w:val="en-GB"/>
        </w:rPr>
        <w:t xml:space="preserve">the </w:t>
      </w:r>
      <w:r w:rsidR="00DF5664" w:rsidRPr="008C518D">
        <w:rPr>
          <w:lang w:val="en-GB"/>
        </w:rPr>
        <w:t>sole</w:t>
      </w:r>
      <w:r w:rsidR="006A7AAF" w:rsidRPr="008C518D">
        <w:rPr>
          <w:lang w:val="en-GB"/>
        </w:rPr>
        <w:t xml:space="preserve"> bookrunner </w:t>
      </w:r>
      <w:r w:rsidR="00DF5664" w:rsidRPr="008C518D">
        <w:rPr>
          <w:lang w:val="en-GB"/>
        </w:rPr>
        <w:t>of the placement</w:t>
      </w:r>
      <w:r w:rsidR="0012301E" w:rsidRPr="008C518D">
        <w:rPr>
          <w:lang w:val="en-GB"/>
        </w:rPr>
        <w:t>.</w:t>
      </w:r>
    </w:p>
    <w:p w14:paraId="6DEBBA88" w14:textId="77777777" w:rsidR="00FD30B6" w:rsidRPr="008C518D" w:rsidRDefault="00FD30B6" w:rsidP="00FD30B6">
      <w:pPr>
        <w:jc w:val="both"/>
        <w:rPr>
          <w:i/>
          <w:lang w:val="en-GB"/>
        </w:rPr>
      </w:pPr>
    </w:p>
    <w:p w14:paraId="46D5FD96" w14:textId="323E815B" w:rsidR="00445D88" w:rsidRPr="008C518D" w:rsidRDefault="00445D88" w:rsidP="00445D88">
      <w:pPr>
        <w:jc w:val="both"/>
        <w:rPr>
          <w:b/>
          <w:bCs/>
          <w:lang w:val="en-GB"/>
        </w:rPr>
      </w:pPr>
      <w:r w:rsidRPr="008C518D">
        <w:rPr>
          <w:b/>
          <w:bCs/>
          <w:lang w:val="en-GB"/>
        </w:rPr>
        <w:t>IMPORTANT NOTICE:</w:t>
      </w:r>
    </w:p>
    <w:p w14:paraId="1A6E44AD" w14:textId="77777777" w:rsidR="00445D88" w:rsidRPr="008C518D" w:rsidRDefault="00445D88" w:rsidP="00445D88">
      <w:pPr>
        <w:jc w:val="both"/>
        <w:rPr>
          <w:lang w:val="en-GB"/>
        </w:rPr>
      </w:pPr>
    </w:p>
    <w:p w14:paraId="134D6AE1" w14:textId="73B1BA27" w:rsidR="00445D88" w:rsidRPr="008C518D" w:rsidRDefault="00445D88" w:rsidP="00445D88">
      <w:pPr>
        <w:jc w:val="both"/>
        <w:rPr>
          <w:lang w:val="en-GB"/>
        </w:rPr>
      </w:pPr>
      <w:r w:rsidRPr="008C518D">
        <w:rPr>
          <w:lang w:val="en-GB"/>
        </w:rPr>
        <w:t xml:space="preserve">This communication is not an offer for the sale of securities in the United States or any other jurisdiction. Securities may not be offered or sold in the United States absent registration or an exemption from registration under the U.S. Securities Act of 1933, as amended (the “Securities Act”). Central European Tour Operator </w:t>
      </w:r>
      <w:proofErr w:type="spellStart"/>
      <w:r w:rsidRPr="008C518D">
        <w:rPr>
          <w:lang w:val="en-GB"/>
        </w:rPr>
        <w:t>S.a.r.l</w:t>
      </w:r>
      <w:proofErr w:type="spellEnd"/>
      <w:r w:rsidRPr="008C518D">
        <w:rPr>
          <w:lang w:val="en-GB"/>
        </w:rPr>
        <w:t>. does not intend to register any portion of the</w:t>
      </w:r>
      <w:r w:rsidR="002331C4" w:rsidRPr="008C518D">
        <w:rPr>
          <w:lang w:val="en-GB"/>
        </w:rPr>
        <w:t xml:space="preserve"> accelerated </w:t>
      </w:r>
      <w:proofErr w:type="spellStart"/>
      <w:r w:rsidR="002331C4" w:rsidRPr="008C518D">
        <w:rPr>
          <w:lang w:val="en-GB"/>
        </w:rPr>
        <w:t>bookbuilding</w:t>
      </w:r>
      <w:proofErr w:type="spellEnd"/>
      <w:r w:rsidR="002331C4" w:rsidRPr="008C518D">
        <w:rPr>
          <w:lang w:val="en-GB"/>
        </w:rPr>
        <w:t xml:space="preserve"> (the </w:t>
      </w:r>
      <w:r w:rsidR="002331C4" w:rsidRPr="008C518D">
        <w:rPr>
          <w:b/>
          <w:bCs/>
          <w:lang w:val="en-GB"/>
        </w:rPr>
        <w:t>ABB</w:t>
      </w:r>
      <w:r w:rsidR="002331C4" w:rsidRPr="008C518D">
        <w:rPr>
          <w:lang w:val="en-GB"/>
        </w:rPr>
        <w:t>)</w:t>
      </w:r>
      <w:r w:rsidRPr="008C518D">
        <w:rPr>
          <w:lang w:val="en-GB"/>
        </w:rPr>
        <w:t xml:space="preserve"> in the United States and does not intend to conduct a public offering of securities in the United States and/or in any other </w:t>
      </w:r>
      <w:r w:rsidR="006B581F" w:rsidRPr="008C518D">
        <w:rPr>
          <w:lang w:val="en-GB"/>
        </w:rPr>
        <w:t>jurisdiction</w:t>
      </w:r>
      <w:r w:rsidRPr="008C518D">
        <w:rPr>
          <w:lang w:val="en-GB"/>
        </w:rPr>
        <w:t>.</w:t>
      </w:r>
    </w:p>
    <w:p w14:paraId="1C09FEE6" w14:textId="77777777" w:rsidR="00445D88" w:rsidRPr="008C518D" w:rsidRDefault="00445D88" w:rsidP="00445D88">
      <w:pPr>
        <w:jc w:val="both"/>
        <w:rPr>
          <w:lang w:val="en-GB"/>
        </w:rPr>
      </w:pPr>
    </w:p>
    <w:p w14:paraId="46848A22" w14:textId="7A2766F7" w:rsidR="00445D88" w:rsidRPr="008C518D" w:rsidRDefault="00445D88" w:rsidP="00445D88">
      <w:pPr>
        <w:jc w:val="both"/>
        <w:rPr>
          <w:lang w:val="en-GB"/>
        </w:rPr>
      </w:pPr>
      <w:r w:rsidRPr="008C518D">
        <w:rPr>
          <w:lang w:val="en-GB"/>
        </w:rPr>
        <w:t xml:space="preserve">This communication in the United States is intended only for </w:t>
      </w:r>
      <w:r w:rsidR="006B581F" w:rsidRPr="008C518D">
        <w:rPr>
          <w:lang w:val="en-GB"/>
        </w:rPr>
        <w:t>qualified institutional buyers (the “</w:t>
      </w:r>
      <w:r w:rsidRPr="008C518D">
        <w:rPr>
          <w:lang w:val="en-GB"/>
        </w:rPr>
        <w:t>QIB</w:t>
      </w:r>
      <w:r w:rsidR="006B581F" w:rsidRPr="008C518D">
        <w:rPr>
          <w:lang w:val="en-GB"/>
        </w:rPr>
        <w:t>”)</w:t>
      </w:r>
      <w:r w:rsidRPr="008C518D">
        <w:rPr>
          <w:lang w:val="en-GB"/>
        </w:rPr>
        <w:t xml:space="preserve"> and by accepting delivery of this communication in the United States, you confirm that you are a QIB. The securities referred to herein may only be sold pursuant to Regulation S of the Securities Act and in the US, pursuant to an exemption from the Securities Act, strictly only to a limited number of QIBs (as defined in Rule 144A under the Securities Act) and in certain other countries, only to authorized professional institutional investors. The securities are “restricted securities</w:t>
      </w:r>
      <w:r w:rsidR="006B581F" w:rsidRPr="008C518D">
        <w:rPr>
          <w:lang w:val="en-GB"/>
        </w:rPr>
        <w:t>”</w:t>
      </w:r>
      <w:r w:rsidRPr="008C518D">
        <w:rPr>
          <w:lang w:val="en-GB"/>
        </w:rPr>
        <w:t xml:space="preserve"> as defined in Rule 144A under the Securities Act and any allocation will only be made on the basis of the purchaser executing an investor representation letter.</w:t>
      </w:r>
    </w:p>
    <w:p w14:paraId="65B40640" w14:textId="77777777" w:rsidR="00445D88" w:rsidRPr="008C518D" w:rsidRDefault="00445D88" w:rsidP="00445D88">
      <w:pPr>
        <w:jc w:val="both"/>
        <w:rPr>
          <w:lang w:val="en-GB"/>
        </w:rPr>
      </w:pPr>
    </w:p>
    <w:p w14:paraId="4660C587" w14:textId="77777777" w:rsidR="00445D88" w:rsidRPr="008C518D" w:rsidRDefault="00445D88" w:rsidP="00445D88">
      <w:pPr>
        <w:jc w:val="both"/>
        <w:rPr>
          <w:lang w:val="en-GB"/>
        </w:rPr>
      </w:pPr>
      <w:r w:rsidRPr="008C518D">
        <w:rPr>
          <w:lang w:val="en-GB"/>
        </w:rPr>
        <w:t>The material set forth herein is for information purposes only and is not an offer to sell, or the solicitation of an offer to buy, any securities in any jurisdiction in which such offer, solicitation or sale would be unlawful and, in particular, is not for release, publication or distribution in or into the United States, Australia, Canada or Japan.</w:t>
      </w:r>
    </w:p>
    <w:p w14:paraId="0986A4B0" w14:textId="77777777" w:rsidR="00445D88" w:rsidRPr="008C518D" w:rsidRDefault="00445D88" w:rsidP="00445D88">
      <w:pPr>
        <w:jc w:val="both"/>
        <w:rPr>
          <w:lang w:val="en-GB"/>
        </w:rPr>
      </w:pPr>
    </w:p>
    <w:p w14:paraId="0D68A2D9" w14:textId="13101225" w:rsidR="00445D88" w:rsidRPr="008C518D" w:rsidRDefault="00445D88" w:rsidP="00445D88">
      <w:pPr>
        <w:jc w:val="both"/>
        <w:rPr>
          <w:lang w:val="en-GB"/>
        </w:rPr>
      </w:pPr>
      <w:r w:rsidRPr="008C518D">
        <w:rPr>
          <w:lang w:val="en-GB"/>
        </w:rPr>
        <w:t xml:space="preserve">This communication and any subsequent offer of securities may be restricted by law in certain jurisdictions, and persons receiving this communication or any subsequent offer should inform themselves about and observe any such restrictions and must not under any circumstances forward this communication to any other person. Failure to comply with such restrictions may violate the securities laws of any such jurisdiction. The ABB is only addressed to and directed </w:t>
      </w:r>
      <w:r w:rsidR="00AF63D1" w:rsidRPr="008C518D">
        <w:rPr>
          <w:lang w:val="en-GB"/>
        </w:rPr>
        <w:t>(</w:t>
      </w:r>
      <w:proofErr w:type="spellStart"/>
      <w:r w:rsidR="00AF63D1" w:rsidRPr="008C518D">
        <w:rPr>
          <w:lang w:val="en-GB"/>
        </w:rPr>
        <w:t>i</w:t>
      </w:r>
      <w:proofErr w:type="spellEnd"/>
      <w:r w:rsidR="00AF63D1" w:rsidRPr="008C518D">
        <w:rPr>
          <w:lang w:val="en-GB"/>
        </w:rPr>
        <w:t xml:space="preserve">) </w:t>
      </w:r>
      <w:r w:rsidRPr="008C518D">
        <w:rPr>
          <w:lang w:val="en-GB"/>
        </w:rPr>
        <w:t xml:space="preserve">at persons in Member States of the European Economic Area who are “qualified investors” within the meaning of Article 2(1)(e) of the </w:t>
      </w:r>
      <w:r w:rsidR="00A665B6" w:rsidRPr="008C518D">
        <w:rPr>
          <w:lang w:val="en-GB"/>
        </w:rPr>
        <w:t>Regulation (EU) 2017/1129 of the European Parliament and of the Council of 14 June 2017 on the prospectus to be published when securities are offered to the public or admitted to trading on a regulated market, and repealing Directive 2003/71/EC</w:t>
      </w:r>
      <w:r w:rsidR="00027068" w:rsidRPr="008C518D">
        <w:rPr>
          <w:lang w:val="en-GB"/>
        </w:rPr>
        <w:t xml:space="preserve">, as well as </w:t>
      </w:r>
      <w:r w:rsidR="00AF63D1" w:rsidRPr="008C518D">
        <w:rPr>
          <w:lang w:val="en-GB"/>
        </w:rPr>
        <w:t>(ii) at fewer than 150 natural or legal persons per Member State, other than qualified investors under Article 1(4)(b) of the above regulation</w:t>
      </w:r>
      <w:r w:rsidRPr="008C518D">
        <w:rPr>
          <w:lang w:val="en-GB"/>
        </w:rPr>
        <w:t>. In addition, in the United Kingdom, this communication is being distributed to, and is directed only at, qualified investors who: (</w:t>
      </w:r>
      <w:proofErr w:type="spellStart"/>
      <w:r w:rsidRPr="008C518D">
        <w:rPr>
          <w:lang w:val="en-GB"/>
        </w:rPr>
        <w:t>i</w:t>
      </w:r>
      <w:proofErr w:type="spellEnd"/>
      <w:r w:rsidRPr="008C518D">
        <w:rPr>
          <w:lang w:val="en-GB"/>
        </w:rPr>
        <w:t xml:space="preserve">) are investment professionals within the meaning of Article 19(5) of the Financial Services and Markets Act </w:t>
      </w:r>
      <w:r w:rsidRPr="008C518D">
        <w:rPr>
          <w:lang w:val="en-GB"/>
        </w:rPr>
        <w:lastRenderedPageBreak/>
        <w:t>2000 (Financial Promotion) Order 2005 (the “Financial Promotion Order”); (ii) persons falling within any of the categories of persons described in Article 49 of the Financial Promotion Order; and (iii) any other persons to whom it may otherwise lawfully be made (all such persons together being referred to as “relevant persons”).</w:t>
      </w:r>
    </w:p>
    <w:p w14:paraId="023C0713" w14:textId="77777777" w:rsidR="00445D88" w:rsidRPr="008C518D" w:rsidRDefault="00445D88" w:rsidP="00445D88">
      <w:pPr>
        <w:jc w:val="both"/>
        <w:rPr>
          <w:lang w:val="en-GB"/>
        </w:rPr>
      </w:pPr>
    </w:p>
    <w:p w14:paraId="53E805C5" w14:textId="417C2CF0" w:rsidR="00445D88" w:rsidRPr="008C518D" w:rsidRDefault="00445D88" w:rsidP="00445D88">
      <w:pPr>
        <w:jc w:val="both"/>
        <w:rPr>
          <w:lang w:val="en-GB"/>
        </w:rPr>
      </w:pPr>
      <w:r w:rsidRPr="008C518D">
        <w:rPr>
          <w:lang w:val="en-GB"/>
        </w:rPr>
        <w:t xml:space="preserve">Any investment or investment activity to which these materials relate are available only to relevant persons in the United Kingdom and qualified investors in any </w:t>
      </w:r>
      <w:r w:rsidR="006B581F" w:rsidRPr="008C518D">
        <w:rPr>
          <w:lang w:val="en-GB"/>
        </w:rPr>
        <w:t>M</w:t>
      </w:r>
      <w:r w:rsidRPr="008C518D">
        <w:rPr>
          <w:lang w:val="en-GB"/>
        </w:rPr>
        <w:t xml:space="preserve">ember </w:t>
      </w:r>
      <w:r w:rsidR="006B581F" w:rsidRPr="008C518D">
        <w:rPr>
          <w:lang w:val="en-GB"/>
        </w:rPr>
        <w:t>S</w:t>
      </w:r>
      <w:r w:rsidRPr="008C518D">
        <w:rPr>
          <w:lang w:val="en-GB"/>
        </w:rPr>
        <w:t>tate of the European Economic Area other than the United Kingdom and will only be engaged with such persons.</w:t>
      </w:r>
    </w:p>
    <w:p w14:paraId="370183D0" w14:textId="77777777" w:rsidR="00AE395F" w:rsidRPr="008C518D" w:rsidRDefault="00AE395F" w:rsidP="00AE395F">
      <w:pPr>
        <w:jc w:val="both"/>
        <w:rPr>
          <w:lang w:val="en-GB"/>
        </w:rPr>
      </w:pPr>
    </w:p>
    <w:p w14:paraId="502A80E7" w14:textId="77777777" w:rsidR="00AE395F" w:rsidRPr="008C518D" w:rsidRDefault="00AE395F" w:rsidP="00AE395F">
      <w:pPr>
        <w:jc w:val="both"/>
        <w:rPr>
          <w:lang w:val="en-GB"/>
        </w:rPr>
      </w:pPr>
      <w:r w:rsidRPr="008C518D">
        <w:rPr>
          <w:lang w:val="en-GB"/>
        </w:rPr>
        <w:t xml:space="preserve">Any investment decision to buy Shares must be made solely on the basis of publicly available information of AB “Novaturas”. Such information is not the responsibility of Central European Tour Operator </w:t>
      </w:r>
      <w:proofErr w:type="spellStart"/>
      <w:r w:rsidRPr="008C518D">
        <w:rPr>
          <w:lang w:val="en-GB"/>
        </w:rPr>
        <w:t>S.a.r.l</w:t>
      </w:r>
      <w:proofErr w:type="spellEnd"/>
      <w:r w:rsidRPr="008C518D">
        <w:rPr>
          <w:lang w:val="en-GB"/>
        </w:rPr>
        <w:t xml:space="preserve">. and/or LHV </w:t>
      </w:r>
      <w:proofErr w:type="spellStart"/>
      <w:r w:rsidRPr="008C518D">
        <w:rPr>
          <w:lang w:val="en-GB"/>
        </w:rPr>
        <w:t>Pank</w:t>
      </w:r>
      <w:proofErr w:type="spellEnd"/>
      <w:r w:rsidRPr="008C518D">
        <w:rPr>
          <w:lang w:val="en-GB"/>
        </w:rPr>
        <w:t xml:space="preserve"> and has not been independently verified by any of them.</w:t>
      </w:r>
    </w:p>
    <w:p w14:paraId="099FFC8E" w14:textId="77777777" w:rsidR="00AE395F" w:rsidRPr="008C518D" w:rsidRDefault="00AE395F" w:rsidP="00AE395F">
      <w:pPr>
        <w:jc w:val="both"/>
        <w:rPr>
          <w:lang w:val="en-GB"/>
        </w:rPr>
      </w:pPr>
    </w:p>
    <w:p w14:paraId="59A896DF" w14:textId="77777777" w:rsidR="00AE395F" w:rsidRPr="008C518D" w:rsidRDefault="00AE395F" w:rsidP="00AE395F">
      <w:pPr>
        <w:jc w:val="both"/>
        <w:rPr>
          <w:lang w:val="en-GB"/>
        </w:rPr>
      </w:pPr>
      <w:r w:rsidRPr="008C518D">
        <w:rPr>
          <w:lang w:val="en-GB"/>
        </w:rPr>
        <w:t xml:space="preserve">LHV </w:t>
      </w:r>
      <w:proofErr w:type="spellStart"/>
      <w:r w:rsidRPr="008C518D">
        <w:rPr>
          <w:lang w:val="en-GB"/>
        </w:rPr>
        <w:t>Pank</w:t>
      </w:r>
      <w:proofErr w:type="spellEnd"/>
      <w:r w:rsidRPr="008C518D">
        <w:rPr>
          <w:lang w:val="en-GB"/>
        </w:rPr>
        <w:t xml:space="preserve"> is acting for Central European Tour Operator </w:t>
      </w:r>
      <w:proofErr w:type="spellStart"/>
      <w:r w:rsidRPr="008C518D">
        <w:rPr>
          <w:lang w:val="en-GB"/>
        </w:rPr>
        <w:t>S.a.r.l</w:t>
      </w:r>
      <w:proofErr w:type="spellEnd"/>
      <w:r w:rsidRPr="008C518D">
        <w:rPr>
          <w:lang w:val="en-GB"/>
        </w:rPr>
        <w:t xml:space="preserve">. and no one else in connection with the ABB process and will not be responsible to anyone other than Central European Tour Operator </w:t>
      </w:r>
      <w:proofErr w:type="spellStart"/>
      <w:r w:rsidRPr="008C518D">
        <w:rPr>
          <w:lang w:val="en-GB"/>
        </w:rPr>
        <w:t>S.a.r.l</w:t>
      </w:r>
      <w:proofErr w:type="spellEnd"/>
      <w:r w:rsidRPr="008C518D">
        <w:rPr>
          <w:lang w:val="en-GB"/>
        </w:rPr>
        <w:t>. for providing advice or the protections afforded to clients in relation to any transaction or any matters referred to in this communication.</w:t>
      </w:r>
    </w:p>
    <w:p w14:paraId="33B0C733" w14:textId="77777777" w:rsidR="00AE395F" w:rsidRPr="008C518D" w:rsidRDefault="00AE395F" w:rsidP="00AE395F">
      <w:pPr>
        <w:jc w:val="both"/>
        <w:rPr>
          <w:lang w:val="en-GB"/>
        </w:rPr>
      </w:pPr>
    </w:p>
    <w:p w14:paraId="35942A97" w14:textId="0FCF313B" w:rsidR="003C22F4" w:rsidRPr="008C518D" w:rsidRDefault="003C22F4" w:rsidP="00FD30B6">
      <w:pPr>
        <w:jc w:val="both"/>
        <w:rPr>
          <w:lang w:val="en-GB"/>
        </w:rPr>
      </w:pPr>
    </w:p>
    <w:p w14:paraId="1AA05A16" w14:textId="14ACB392" w:rsidR="00CE5D9A" w:rsidRPr="008C518D" w:rsidRDefault="00CE5D9A" w:rsidP="00FD30B6">
      <w:pPr>
        <w:jc w:val="both"/>
        <w:rPr>
          <w:lang w:val="en-GB"/>
        </w:rPr>
      </w:pPr>
    </w:p>
    <w:p w14:paraId="407196A5" w14:textId="77777777" w:rsidR="00CE5D9A" w:rsidRPr="008C518D" w:rsidRDefault="00CE5D9A" w:rsidP="00FD30B6">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362"/>
      </w:tblGrid>
      <w:tr w:rsidR="002243C9" w:rsidRPr="008C518D" w14:paraId="1A9A450E" w14:textId="77777777" w:rsidTr="009B4074">
        <w:tc>
          <w:tcPr>
            <w:tcW w:w="6096" w:type="dxa"/>
          </w:tcPr>
          <w:p w14:paraId="1032B6EE" w14:textId="378A41E5" w:rsidR="00BE4E21" w:rsidRPr="008C518D" w:rsidRDefault="00FD30B6" w:rsidP="00FD30B6">
            <w:pPr>
              <w:spacing w:line="240" w:lineRule="exact"/>
              <w:rPr>
                <w:lang w:val="en-GB"/>
              </w:rPr>
            </w:pPr>
            <w:r w:rsidRPr="008C518D">
              <w:rPr>
                <w:b/>
                <w:bCs/>
                <w:lang w:val="en-GB"/>
              </w:rPr>
              <w:t>For and o</w:t>
            </w:r>
            <w:r w:rsidR="00BE4E21" w:rsidRPr="008C518D">
              <w:rPr>
                <w:b/>
                <w:bCs/>
                <w:lang w:val="en-GB"/>
              </w:rPr>
              <w:t xml:space="preserve">n behalf of Central European Tour Operator </w:t>
            </w:r>
            <w:proofErr w:type="spellStart"/>
            <w:r w:rsidR="00BE4E21" w:rsidRPr="008C518D">
              <w:rPr>
                <w:b/>
                <w:bCs/>
                <w:lang w:val="en-GB"/>
              </w:rPr>
              <w:t>S.a.r.l</w:t>
            </w:r>
            <w:proofErr w:type="spellEnd"/>
            <w:r w:rsidR="00BE4E21" w:rsidRPr="008C518D">
              <w:rPr>
                <w:b/>
                <w:lang w:val="en-GB"/>
              </w:rPr>
              <w:t>.:</w:t>
            </w:r>
          </w:p>
        </w:tc>
        <w:tc>
          <w:tcPr>
            <w:tcW w:w="3362" w:type="dxa"/>
          </w:tcPr>
          <w:p w14:paraId="04A0744C" w14:textId="77777777" w:rsidR="00BE4E21" w:rsidRPr="008C518D" w:rsidRDefault="00BE4E21" w:rsidP="00FD30B6">
            <w:pPr>
              <w:spacing w:line="240" w:lineRule="exact"/>
              <w:jc w:val="both"/>
              <w:rPr>
                <w:lang w:val="en-GB"/>
              </w:rPr>
            </w:pPr>
          </w:p>
        </w:tc>
      </w:tr>
      <w:tr w:rsidR="002243C9" w:rsidRPr="008C518D" w14:paraId="4B213DFF" w14:textId="77777777" w:rsidTr="009B4074">
        <w:tc>
          <w:tcPr>
            <w:tcW w:w="6096" w:type="dxa"/>
          </w:tcPr>
          <w:p w14:paraId="2B57DB77" w14:textId="77777777" w:rsidR="00BE4E21" w:rsidRPr="008C518D" w:rsidRDefault="00BE4E21" w:rsidP="00FD30B6">
            <w:pPr>
              <w:spacing w:line="240" w:lineRule="exact"/>
              <w:jc w:val="both"/>
              <w:rPr>
                <w:lang w:val="en-GB"/>
              </w:rPr>
            </w:pPr>
          </w:p>
        </w:tc>
        <w:tc>
          <w:tcPr>
            <w:tcW w:w="3362" w:type="dxa"/>
          </w:tcPr>
          <w:p w14:paraId="648B329B" w14:textId="77777777" w:rsidR="00BE4E21" w:rsidRPr="008C518D" w:rsidRDefault="00BE4E21" w:rsidP="00FD30B6">
            <w:pPr>
              <w:spacing w:line="240" w:lineRule="exact"/>
              <w:jc w:val="both"/>
              <w:rPr>
                <w:lang w:val="en-GB"/>
              </w:rPr>
            </w:pPr>
          </w:p>
        </w:tc>
      </w:tr>
      <w:tr w:rsidR="002243C9" w:rsidRPr="008C518D" w14:paraId="411A81F0" w14:textId="77777777" w:rsidTr="009B4074">
        <w:tc>
          <w:tcPr>
            <w:tcW w:w="6096" w:type="dxa"/>
          </w:tcPr>
          <w:p w14:paraId="555449BC" w14:textId="77777777" w:rsidR="00BE4E21" w:rsidRPr="008C518D" w:rsidRDefault="00BE4E21" w:rsidP="00FD30B6">
            <w:pPr>
              <w:spacing w:line="240" w:lineRule="exact"/>
              <w:jc w:val="both"/>
              <w:rPr>
                <w:lang w:val="en-GB"/>
              </w:rPr>
            </w:pPr>
          </w:p>
        </w:tc>
        <w:tc>
          <w:tcPr>
            <w:tcW w:w="3362" w:type="dxa"/>
          </w:tcPr>
          <w:p w14:paraId="1D9D92EE" w14:textId="77777777" w:rsidR="00BE4E21" w:rsidRPr="008C518D" w:rsidRDefault="00BE4E21" w:rsidP="00FD30B6">
            <w:pPr>
              <w:spacing w:line="240" w:lineRule="exact"/>
              <w:jc w:val="both"/>
              <w:rPr>
                <w:lang w:val="en-GB"/>
              </w:rPr>
            </w:pPr>
          </w:p>
        </w:tc>
      </w:tr>
      <w:tr w:rsidR="002243C9" w:rsidRPr="008C518D" w14:paraId="202579A6" w14:textId="77777777" w:rsidTr="009B4074">
        <w:tc>
          <w:tcPr>
            <w:tcW w:w="6096" w:type="dxa"/>
          </w:tcPr>
          <w:p w14:paraId="30F7A6FC" w14:textId="77777777" w:rsidR="00BE4E21" w:rsidRPr="008C518D" w:rsidRDefault="00BE4E21" w:rsidP="00FD30B6">
            <w:pPr>
              <w:spacing w:line="240" w:lineRule="exact"/>
              <w:jc w:val="both"/>
              <w:rPr>
                <w:lang w:val="en-GB"/>
              </w:rPr>
            </w:pPr>
          </w:p>
        </w:tc>
        <w:tc>
          <w:tcPr>
            <w:tcW w:w="3362" w:type="dxa"/>
          </w:tcPr>
          <w:p w14:paraId="27CDE060" w14:textId="77777777" w:rsidR="00BE4E21" w:rsidRPr="008C518D" w:rsidRDefault="00BE4E21" w:rsidP="00FD30B6">
            <w:pPr>
              <w:spacing w:line="240" w:lineRule="exact"/>
              <w:jc w:val="both"/>
              <w:rPr>
                <w:lang w:val="en-GB"/>
              </w:rPr>
            </w:pPr>
          </w:p>
        </w:tc>
      </w:tr>
      <w:tr w:rsidR="002243C9" w:rsidRPr="008C518D" w14:paraId="10AAA448" w14:textId="77777777" w:rsidTr="009B4074">
        <w:trPr>
          <w:gridAfter w:val="1"/>
          <w:wAfter w:w="3362" w:type="dxa"/>
        </w:trPr>
        <w:tc>
          <w:tcPr>
            <w:tcW w:w="6096" w:type="dxa"/>
          </w:tcPr>
          <w:p w14:paraId="58B8A6AD" w14:textId="77777777" w:rsidR="006A7AAF" w:rsidRPr="008C518D" w:rsidRDefault="006A7AAF" w:rsidP="00FD30B6">
            <w:pPr>
              <w:spacing w:line="240" w:lineRule="exact"/>
              <w:jc w:val="both"/>
              <w:rPr>
                <w:lang w:val="en-GB"/>
              </w:rPr>
            </w:pPr>
            <w:r w:rsidRPr="008C518D">
              <w:rPr>
                <w:lang w:val="en-GB"/>
              </w:rPr>
              <w:t>______________________________</w:t>
            </w:r>
          </w:p>
        </w:tc>
      </w:tr>
      <w:tr w:rsidR="002243C9" w:rsidRPr="008C518D" w14:paraId="1BF7BDFC" w14:textId="77777777" w:rsidTr="009B4074">
        <w:trPr>
          <w:gridAfter w:val="1"/>
          <w:wAfter w:w="3362" w:type="dxa"/>
        </w:trPr>
        <w:tc>
          <w:tcPr>
            <w:tcW w:w="6096" w:type="dxa"/>
          </w:tcPr>
          <w:p w14:paraId="7D6D2868" w14:textId="6166466B" w:rsidR="006A7AAF" w:rsidRPr="008C518D" w:rsidRDefault="00FD30B6" w:rsidP="00FD30B6">
            <w:pPr>
              <w:spacing w:line="240" w:lineRule="exact"/>
              <w:jc w:val="both"/>
              <w:rPr>
                <w:i/>
                <w:iCs/>
                <w:sz w:val="18"/>
                <w:szCs w:val="18"/>
                <w:lang w:val="en-GB"/>
              </w:rPr>
            </w:pPr>
            <w:r w:rsidRPr="008C518D">
              <w:rPr>
                <w:i/>
                <w:iCs/>
                <w:sz w:val="18"/>
                <w:szCs w:val="18"/>
                <w:lang w:val="en-GB"/>
              </w:rPr>
              <w:t>(position, full name, signature)</w:t>
            </w:r>
          </w:p>
        </w:tc>
      </w:tr>
      <w:tr w:rsidR="002243C9" w:rsidRPr="008C518D" w14:paraId="326C53F2" w14:textId="77777777" w:rsidTr="009B4074">
        <w:trPr>
          <w:gridAfter w:val="1"/>
          <w:wAfter w:w="3362" w:type="dxa"/>
        </w:trPr>
        <w:tc>
          <w:tcPr>
            <w:tcW w:w="6096" w:type="dxa"/>
          </w:tcPr>
          <w:p w14:paraId="0A402126" w14:textId="77777777" w:rsidR="006A7AAF" w:rsidRPr="008C518D" w:rsidRDefault="006A7AAF" w:rsidP="00FD30B6">
            <w:pPr>
              <w:spacing w:line="240" w:lineRule="exact"/>
              <w:jc w:val="both"/>
              <w:rPr>
                <w:lang w:val="en-GB"/>
              </w:rPr>
            </w:pPr>
          </w:p>
        </w:tc>
      </w:tr>
      <w:tr w:rsidR="002243C9" w:rsidRPr="008C518D" w14:paraId="7A4FEE27" w14:textId="77777777" w:rsidTr="009B4074">
        <w:trPr>
          <w:gridAfter w:val="1"/>
          <w:wAfter w:w="3362" w:type="dxa"/>
        </w:trPr>
        <w:tc>
          <w:tcPr>
            <w:tcW w:w="6096" w:type="dxa"/>
          </w:tcPr>
          <w:p w14:paraId="00DD3EC3" w14:textId="77777777" w:rsidR="006A7AAF" w:rsidRPr="008C518D" w:rsidRDefault="006A7AAF" w:rsidP="00FD30B6">
            <w:pPr>
              <w:spacing w:line="240" w:lineRule="exact"/>
              <w:jc w:val="both"/>
              <w:rPr>
                <w:lang w:val="en-GB"/>
              </w:rPr>
            </w:pPr>
          </w:p>
        </w:tc>
      </w:tr>
      <w:tr w:rsidR="002243C9" w:rsidRPr="008C518D" w14:paraId="4AD8B98F" w14:textId="77777777" w:rsidTr="009B4074">
        <w:trPr>
          <w:gridAfter w:val="1"/>
          <w:wAfter w:w="3362" w:type="dxa"/>
        </w:trPr>
        <w:tc>
          <w:tcPr>
            <w:tcW w:w="6096" w:type="dxa"/>
          </w:tcPr>
          <w:p w14:paraId="1C29732A" w14:textId="77777777" w:rsidR="006A7AAF" w:rsidRPr="008C518D" w:rsidRDefault="006A7AAF" w:rsidP="00FD30B6">
            <w:pPr>
              <w:spacing w:line="240" w:lineRule="exact"/>
              <w:jc w:val="both"/>
              <w:rPr>
                <w:lang w:val="en-GB"/>
              </w:rPr>
            </w:pPr>
          </w:p>
        </w:tc>
      </w:tr>
      <w:tr w:rsidR="002243C9" w:rsidRPr="008C518D" w14:paraId="01693E9F" w14:textId="77777777" w:rsidTr="009B4074">
        <w:trPr>
          <w:gridAfter w:val="1"/>
          <w:wAfter w:w="3362" w:type="dxa"/>
        </w:trPr>
        <w:tc>
          <w:tcPr>
            <w:tcW w:w="6096" w:type="dxa"/>
          </w:tcPr>
          <w:p w14:paraId="77536E66" w14:textId="77777777" w:rsidR="006A7AAF" w:rsidRPr="008C518D" w:rsidRDefault="006A7AAF" w:rsidP="00FD30B6">
            <w:pPr>
              <w:spacing w:line="240" w:lineRule="exact"/>
              <w:jc w:val="both"/>
              <w:rPr>
                <w:lang w:val="en-GB"/>
              </w:rPr>
            </w:pPr>
          </w:p>
        </w:tc>
      </w:tr>
      <w:tr w:rsidR="002243C9" w:rsidRPr="008C518D" w14:paraId="7A7D51D8" w14:textId="77777777" w:rsidTr="009B4074">
        <w:trPr>
          <w:gridAfter w:val="1"/>
          <w:wAfter w:w="3362" w:type="dxa"/>
        </w:trPr>
        <w:tc>
          <w:tcPr>
            <w:tcW w:w="6096" w:type="dxa"/>
          </w:tcPr>
          <w:p w14:paraId="3D94145B" w14:textId="77777777" w:rsidR="006A7AAF" w:rsidRPr="008C518D" w:rsidRDefault="006A7AAF" w:rsidP="00FD30B6">
            <w:pPr>
              <w:spacing w:line="240" w:lineRule="exact"/>
              <w:jc w:val="both"/>
              <w:rPr>
                <w:lang w:val="en-GB"/>
              </w:rPr>
            </w:pPr>
          </w:p>
        </w:tc>
      </w:tr>
      <w:tr w:rsidR="006A7AAF" w:rsidRPr="008C518D" w14:paraId="5A730F5F" w14:textId="77777777" w:rsidTr="009B4074">
        <w:trPr>
          <w:gridAfter w:val="1"/>
          <w:wAfter w:w="3362" w:type="dxa"/>
        </w:trPr>
        <w:tc>
          <w:tcPr>
            <w:tcW w:w="6096" w:type="dxa"/>
          </w:tcPr>
          <w:p w14:paraId="34B9B558" w14:textId="77777777" w:rsidR="006A7AAF" w:rsidRPr="008C518D" w:rsidRDefault="006A7AAF" w:rsidP="00FD30B6">
            <w:pPr>
              <w:spacing w:line="240" w:lineRule="exact"/>
              <w:jc w:val="both"/>
              <w:rPr>
                <w:lang w:val="en-GB"/>
              </w:rPr>
            </w:pPr>
          </w:p>
        </w:tc>
      </w:tr>
    </w:tbl>
    <w:p w14:paraId="0B21A36E" w14:textId="77777777" w:rsidR="00EC61ED" w:rsidRPr="008C518D" w:rsidRDefault="00EC61ED" w:rsidP="00FD30B6">
      <w:pPr>
        <w:jc w:val="both"/>
        <w:rPr>
          <w:lang w:val="en-GB"/>
        </w:rPr>
      </w:pPr>
    </w:p>
    <w:sectPr w:rsidR="00EC61ED" w:rsidRPr="008C518D" w:rsidSect="00225A15">
      <w:pgSz w:w="11906" w:h="16838"/>
      <w:pgMar w:top="1134" w:right="1134" w:bottom="1134" w:left="130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F32"/>
    <w:multiLevelType w:val="hybridMultilevel"/>
    <w:tmpl w:val="CB2CDB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15"/>
    <w:rsid w:val="00006B67"/>
    <w:rsid w:val="00010465"/>
    <w:rsid w:val="00027068"/>
    <w:rsid w:val="00027F5E"/>
    <w:rsid w:val="00043438"/>
    <w:rsid w:val="00073690"/>
    <w:rsid w:val="000776E0"/>
    <w:rsid w:val="0009085E"/>
    <w:rsid w:val="000B0E26"/>
    <w:rsid w:val="000D7A66"/>
    <w:rsid w:val="000F1982"/>
    <w:rsid w:val="0012301E"/>
    <w:rsid w:val="0013178B"/>
    <w:rsid w:val="001445EE"/>
    <w:rsid w:val="00161F50"/>
    <w:rsid w:val="002243C9"/>
    <w:rsid w:val="00225A15"/>
    <w:rsid w:val="002264BC"/>
    <w:rsid w:val="002331C4"/>
    <w:rsid w:val="00280EFA"/>
    <w:rsid w:val="002C690F"/>
    <w:rsid w:val="002C6BF3"/>
    <w:rsid w:val="002E2EF0"/>
    <w:rsid w:val="00381DBB"/>
    <w:rsid w:val="003C22F4"/>
    <w:rsid w:val="004340EC"/>
    <w:rsid w:val="00445D88"/>
    <w:rsid w:val="004E58E6"/>
    <w:rsid w:val="0052375E"/>
    <w:rsid w:val="00565D2F"/>
    <w:rsid w:val="005B03D6"/>
    <w:rsid w:val="005D7BB5"/>
    <w:rsid w:val="005E6E13"/>
    <w:rsid w:val="006554B0"/>
    <w:rsid w:val="00690B37"/>
    <w:rsid w:val="006A7AAF"/>
    <w:rsid w:val="006B581F"/>
    <w:rsid w:val="006E5DCE"/>
    <w:rsid w:val="007303EB"/>
    <w:rsid w:val="007B0B1E"/>
    <w:rsid w:val="007B52E1"/>
    <w:rsid w:val="007C0B28"/>
    <w:rsid w:val="00853FFA"/>
    <w:rsid w:val="008C518D"/>
    <w:rsid w:val="008E53A2"/>
    <w:rsid w:val="0092488F"/>
    <w:rsid w:val="009370A0"/>
    <w:rsid w:val="00952EFB"/>
    <w:rsid w:val="00997B17"/>
    <w:rsid w:val="009B4074"/>
    <w:rsid w:val="009D009F"/>
    <w:rsid w:val="00A06137"/>
    <w:rsid w:val="00A20D9F"/>
    <w:rsid w:val="00A46DE4"/>
    <w:rsid w:val="00A665B6"/>
    <w:rsid w:val="00AE395F"/>
    <w:rsid w:val="00AF63D1"/>
    <w:rsid w:val="00B06FC3"/>
    <w:rsid w:val="00B67685"/>
    <w:rsid w:val="00B77B89"/>
    <w:rsid w:val="00BA54AA"/>
    <w:rsid w:val="00BC3439"/>
    <w:rsid w:val="00BD60B2"/>
    <w:rsid w:val="00BE4E21"/>
    <w:rsid w:val="00C12364"/>
    <w:rsid w:val="00C83ED7"/>
    <w:rsid w:val="00CC7843"/>
    <w:rsid w:val="00CD0640"/>
    <w:rsid w:val="00CE5D9A"/>
    <w:rsid w:val="00CF524A"/>
    <w:rsid w:val="00D06AB1"/>
    <w:rsid w:val="00DC76E1"/>
    <w:rsid w:val="00DF5664"/>
    <w:rsid w:val="00EA2BCC"/>
    <w:rsid w:val="00EA7F6B"/>
    <w:rsid w:val="00EC5050"/>
    <w:rsid w:val="00EC61ED"/>
    <w:rsid w:val="00F114A6"/>
    <w:rsid w:val="00F33208"/>
    <w:rsid w:val="00F46336"/>
    <w:rsid w:val="00F54F7F"/>
    <w:rsid w:val="00F76048"/>
    <w:rsid w:val="00F9653D"/>
    <w:rsid w:val="00FB3CE4"/>
    <w:rsid w:val="00FC227E"/>
    <w:rsid w:val="00FD30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lt-LT"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A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AAF"/>
    <w:pPr>
      <w:ind w:left="720"/>
      <w:contextualSpacing/>
    </w:pPr>
  </w:style>
  <w:style w:type="paragraph" w:styleId="BalloonText">
    <w:name w:val="Balloon Text"/>
    <w:basedOn w:val="Normal"/>
    <w:link w:val="BalloonTextChar"/>
    <w:uiPriority w:val="99"/>
    <w:semiHidden/>
    <w:unhideWhenUsed/>
    <w:rsid w:val="00A665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5B6"/>
    <w:rPr>
      <w:rFonts w:ascii="Segoe UI" w:hAnsi="Segoe UI" w:cs="Segoe UI"/>
      <w:sz w:val="18"/>
      <w:szCs w:val="18"/>
    </w:rPr>
  </w:style>
  <w:style w:type="character" w:styleId="CommentReference">
    <w:name w:val="annotation reference"/>
    <w:basedOn w:val="DefaultParagraphFont"/>
    <w:uiPriority w:val="99"/>
    <w:semiHidden/>
    <w:unhideWhenUsed/>
    <w:rsid w:val="00EA7F6B"/>
    <w:rPr>
      <w:sz w:val="16"/>
      <w:szCs w:val="16"/>
    </w:rPr>
  </w:style>
  <w:style w:type="paragraph" w:styleId="CommentText">
    <w:name w:val="annotation text"/>
    <w:basedOn w:val="Normal"/>
    <w:link w:val="CommentTextChar"/>
    <w:uiPriority w:val="99"/>
    <w:semiHidden/>
    <w:unhideWhenUsed/>
    <w:rsid w:val="00EA7F6B"/>
    <w:pPr>
      <w:spacing w:line="240" w:lineRule="auto"/>
    </w:pPr>
  </w:style>
  <w:style w:type="character" w:customStyle="1" w:styleId="CommentTextChar">
    <w:name w:val="Comment Text Char"/>
    <w:basedOn w:val="DefaultParagraphFont"/>
    <w:link w:val="CommentText"/>
    <w:uiPriority w:val="99"/>
    <w:semiHidden/>
    <w:rsid w:val="00EA7F6B"/>
  </w:style>
  <w:style w:type="paragraph" w:styleId="CommentSubject">
    <w:name w:val="annotation subject"/>
    <w:basedOn w:val="CommentText"/>
    <w:next w:val="CommentText"/>
    <w:link w:val="CommentSubjectChar"/>
    <w:uiPriority w:val="99"/>
    <w:semiHidden/>
    <w:unhideWhenUsed/>
    <w:rsid w:val="00EA7F6B"/>
    <w:rPr>
      <w:b/>
      <w:bCs/>
    </w:rPr>
  </w:style>
  <w:style w:type="character" w:customStyle="1" w:styleId="CommentSubjectChar">
    <w:name w:val="Comment Subject Char"/>
    <w:basedOn w:val="CommentTextChar"/>
    <w:link w:val="CommentSubject"/>
    <w:uiPriority w:val="99"/>
    <w:semiHidden/>
    <w:rsid w:val="00EA7F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lt-LT"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A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AAF"/>
    <w:pPr>
      <w:ind w:left="720"/>
      <w:contextualSpacing/>
    </w:pPr>
  </w:style>
  <w:style w:type="paragraph" w:styleId="BalloonText">
    <w:name w:val="Balloon Text"/>
    <w:basedOn w:val="Normal"/>
    <w:link w:val="BalloonTextChar"/>
    <w:uiPriority w:val="99"/>
    <w:semiHidden/>
    <w:unhideWhenUsed/>
    <w:rsid w:val="00A665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5B6"/>
    <w:rPr>
      <w:rFonts w:ascii="Segoe UI" w:hAnsi="Segoe UI" w:cs="Segoe UI"/>
      <w:sz w:val="18"/>
      <w:szCs w:val="18"/>
    </w:rPr>
  </w:style>
  <w:style w:type="character" w:styleId="CommentReference">
    <w:name w:val="annotation reference"/>
    <w:basedOn w:val="DefaultParagraphFont"/>
    <w:uiPriority w:val="99"/>
    <w:semiHidden/>
    <w:unhideWhenUsed/>
    <w:rsid w:val="00EA7F6B"/>
    <w:rPr>
      <w:sz w:val="16"/>
      <w:szCs w:val="16"/>
    </w:rPr>
  </w:style>
  <w:style w:type="paragraph" w:styleId="CommentText">
    <w:name w:val="annotation text"/>
    <w:basedOn w:val="Normal"/>
    <w:link w:val="CommentTextChar"/>
    <w:uiPriority w:val="99"/>
    <w:semiHidden/>
    <w:unhideWhenUsed/>
    <w:rsid w:val="00EA7F6B"/>
    <w:pPr>
      <w:spacing w:line="240" w:lineRule="auto"/>
    </w:pPr>
  </w:style>
  <w:style w:type="character" w:customStyle="1" w:styleId="CommentTextChar">
    <w:name w:val="Comment Text Char"/>
    <w:basedOn w:val="DefaultParagraphFont"/>
    <w:link w:val="CommentText"/>
    <w:uiPriority w:val="99"/>
    <w:semiHidden/>
    <w:rsid w:val="00EA7F6B"/>
  </w:style>
  <w:style w:type="paragraph" w:styleId="CommentSubject">
    <w:name w:val="annotation subject"/>
    <w:basedOn w:val="CommentText"/>
    <w:next w:val="CommentText"/>
    <w:link w:val="CommentSubjectChar"/>
    <w:uiPriority w:val="99"/>
    <w:semiHidden/>
    <w:unhideWhenUsed/>
    <w:rsid w:val="00EA7F6B"/>
    <w:rPr>
      <w:b/>
      <w:bCs/>
    </w:rPr>
  </w:style>
  <w:style w:type="character" w:customStyle="1" w:styleId="CommentSubjectChar">
    <w:name w:val="Comment Subject Char"/>
    <w:basedOn w:val="CommentTextChar"/>
    <w:link w:val="CommentSubject"/>
    <w:uiPriority w:val="99"/>
    <w:semiHidden/>
    <w:rsid w:val="00EA7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D719-9F62-4EBF-A874-2003F8F0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Enterprise Investors</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c:creator>
  <cp:lastModifiedBy>Tomasz Ciborowski</cp:lastModifiedBy>
  <cp:revision>3</cp:revision>
  <cp:lastPrinted>2019-11-22T16:05:00Z</cp:lastPrinted>
  <dcterms:created xsi:type="dcterms:W3CDTF">2019-11-22T16:06:00Z</dcterms:created>
  <dcterms:modified xsi:type="dcterms:W3CDTF">2019-11-22T16:10:00Z</dcterms:modified>
</cp:coreProperties>
</file>