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D3CA" w14:textId="2AE7F973" w:rsidR="00A50A7B" w:rsidRPr="00010985" w:rsidRDefault="0012503B" w:rsidP="00E94714">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outlineLvl w:val="0"/>
        <w:rPr>
          <w:rFonts w:ascii="Arial" w:hAnsi="Arial" w:cs="Arial"/>
          <w:b/>
          <w:sz w:val="20"/>
          <w:szCs w:val="20"/>
        </w:rPr>
      </w:pPr>
      <w:r w:rsidRPr="006D296D">
        <w:rPr>
          <w:rFonts w:ascii="Arial" w:hAnsi="Arial" w:cs="Arial"/>
          <w:b/>
          <w:noProof/>
          <w:lang w:eastAsia="fr-FR"/>
        </w:rPr>
        <w:drawing>
          <wp:inline distT="0" distB="0" distL="0" distR="0" wp14:anchorId="51BF97EA" wp14:editId="3E33BBF5">
            <wp:extent cx="1974850" cy="607060"/>
            <wp:effectExtent l="0" t="0" r="0" b="0"/>
            <wp:docPr id="1" name="Image 1" descr="BD_Lexi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_Lexiboo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0" cy="607060"/>
                    </a:xfrm>
                    <a:prstGeom prst="rect">
                      <a:avLst/>
                    </a:prstGeom>
                    <a:noFill/>
                    <a:ln>
                      <a:noFill/>
                    </a:ln>
                  </pic:spPr>
                </pic:pic>
              </a:graphicData>
            </a:graphic>
          </wp:inline>
        </w:drawing>
      </w:r>
      <w:r w:rsidR="00490104" w:rsidRPr="006D296D">
        <w:rPr>
          <w:rFonts w:ascii="Arial" w:hAnsi="Arial" w:cs="Arial"/>
          <w:b/>
        </w:rPr>
        <w:tab/>
      </w:r>
      <w:r w:rsidR="00490104" w:rsidRPr="006D296D">
        <w:rPr>
          <w:rFonts w:ascii="Arial" w:hAnsi="Arial" w:cs="Arial"/>
          <w:b/>
        </w:rPr>
        <w:tab/>
      </w:r>
      <w:r w:rsidR="00490104" w:rsidRPr="006D296D">
        <w:rPr>
          <w:rFonts w:ascii="Arial" w:hAnsi="Arial" w:cs="Arial"/>
          <w:b/>
        </w:rPr>
        <w:tab/>
      </w:r>
      <w:r w:rsidR="00C7626B" w:rsidRPr="006D296D">
        <w:rPr>
          <w:rFonts w:ascii="Arial" w:hAnsi="Arial" w:cs="Arial"/>
          <w:b/>
        </w:rPr>
        <w:tab/>
      </w:r>
      <w:r w:rsidR="00CF1111">
        <w:rPr>
          <w:rFonts w:ascii="Arial" w:hAnsi="Arial" w:cs="Arial"/>
          <w:b/>
        </w:rPr>
        <w:t xml:space="preserve">     </w:t>
      </w:r>
      <w:r w:rsidR="007E2638" w:rsidRPr="006D296D">
        <w:rPr>
          <w:rFonts w:ascii="Arial" w:hAnsi="Arial" w:cs="Arial"/>
          <w:b/>
        </w:rPr>
        <w:t xml:space="preserve"> </w:t>
      </w:r>
      <w:r w:rsidR="001F687F">
        <w:rPr>
          <w:rFonts w:cs="Calibri"/>
        </w:rPr>
        <w:t>Les Ulis</w:t>
      </w:r>
      <w:r w:rsidR="001E60F4" w:rsidRPr="006D296D">
        <w:rPr>
          <w:rFonts w:cs="Calibri"/>
        </w:rPr>
        <w:t xml:space="preserve">, le </w:t>
      </w:r>
      <w:r w:rsidR="00305775">
        <w:rPr>
          <w:rFonts w:cs="Calibri"/>
        </w:rPr>
        <w:t xml:space="preserve">8 </w:t>
      </w:r>
      <w:r w:rsidR="00952D49">
        <w:rPr>
          <w:rFonts w:cs="Calibri"/>
        </w:rPr>
        <w:t>janvier</w:t>
      </w:r>
      <w:r w:rsidR="00234AC8" w:rsidRPr="006D296D">
        <w:rPr>
          <w:rFonts w:cs="Calibri"/>
        </w:rPr>
        <w:t xml:space="preserve"> 20</w:t>
      </w:r>
      <w:r w:rsidR="003C7E96">
        <w:rPr>
          <w:rFonts w:cs="Calibri"/>
        </w:rPr>
        <w:t>2</w:t>
      </w:r>
      <w:r w:rsidR="00305775">
        <w:rPr>
          <w:rFonts w:cs="Calibri"/>
        </w:rPr>
        <w:t>4</w:t>
      </w:r>
      <w:r w:rsidR="00CF1111">
        <w:rPr>
          <w:rFonts w:cs="Calibri"/>
        </w:rPr>
        <w:t xml:space="preserve"> à </w:t>
      </w:r>
      <w:r w:rsidR="005F59C9">
        <w:rPr>
          <w:rFonts w:cs="Calibri"/>
        </w:rPr>
        <w:t>07</w:t>
      </w:r>
      <w:r w:rsidR="00CF1111">
        <w:rPr>
          <w:rFonts w:cs="Calibri"/>
        </w:rPr>
        <w:t>H00</w:t>
      </w:r>
    </w:p>
    <w:p w14:paraId="35B6CD6A" w14:textId="77777777" w:rsidR="004A4AF5" w:rsidRDefault="004A4AF5" w:rsidP="00555E6D">
      <w:pPr>
        <w:spacing w:after="0"/>
        <w:jc w:val="both"/>
        <w:outlineLvl w:val="0"/>
        <w:rPr>
          <w:rFonts w:cs="Calibri"/>
          <w:b/>
          <w:smallCaps/>
          <w:sz w:val="26"/>
          <w:szCs w:val="26"/>
        </w:rPr>
      </w:pPr>
    </w:p>
    <w:p w14:paraId="67B7AF20" w14:textId="77777777" w:rsidR="00A548CE" w:rsidRDefault="00A548CE" w:rsidP="00555E6D">
      <w:pPr>
        <w:spacing w:after="0"/>
        <w:jc w:val="both"/>
        <w:outlineLvl w:val="0"/>
        <w:rPr>
          <w:rFonts w:cs="Calibri"/>
          <w:b/>
          <w:smallCaps/>
          <w:sz w:val="26"/>
          <w:szCs w:val="26"/>
        </w:rPr>
      </w:pPr>
    </w:p>
    <w:p w14:paraId="4E9CFA21" w14:textId="36D2BBCB" w:rsidR="0053538E" w:rsidRPr="00C44F0B" w:rsidRDefault="00503789" w:rsidP="003602B1">
      <w:pPr>
        <w:spacing w:after="0"/>
        <w:jc w:val="both"/>
        <w:outlineLvl w:val="0"/>
        <w:rPr>
          <w:rFonts w:cs="Calibri"/>
          <w:b/>
          <w:smallCaps/>
          <w:sz w:val="26"/>
          <w:szCs w:val="26"/>
        </w:rPr>
      </w:pPr>
      <w:r w:rsidRPr="00555E6D">
        <w:rPr>
          <w:rFonts w:cs="Calibri"/>
          <w:b/>
          <w:smallCaps/>
          <w:sz w:val="26"/>
          <w:szCs w:val="26"/>
        </w:rPr>
        <w:t>RESULTATS S</w:t>
      </w:r>
      <w:r w:rsidR="0053781B">
        <w:rPr>
          <w:rFonts w:cs="Calibri"/>
          <w:b/>
          <w:smallCaps/>
          <w:sz w:val="26"/>
          <w:szCs w:val="26"/>
        </w:rPr>
        <w:t>1</w:t>
      </w:r>
      <w:r w:rsidRPr="00555E6D">
        <w:rPr>
          <w:rFonts w:cs="Calibri"/>
          <w:b/>
          <w:smallCaps/>
          <w:sz w:val="26"/>
          <w:szCs w:val="26"/>
        </w:rPr>
        <w:t xml:space="preserve"> 20</w:t>
      </w:r>
      <w:r w:rsidR="00C00E18">
        <w:rPr>
          <w:rFonts w:cs="Calibri"/>
          <w:b/>
          <w:smallCaps/>
          <w:sz w:val="26"/>
          <w:szCs w:val="26"/>
        </w:rPr>
        <w:t>2</w:t>
      </w:r>
      <w:r w:rsidR="002B21C3">
        <w:rPr>
          <w:rFonts w:cs="Calibri"/>
          <w:b/>
          <w:smallCaps/>
          <w:sz w:val="26"/>
          <w:szCs w:val="26"/>
        </w:rPr>
        <w:t>3</w:t>
      </w:r>
      <w:r w:rsidRPr="00555E6D">
        <w:rPr>
          <w:rFonts w:cs="Calibri"/>
          <w:b/>
          <w:smallCaps/>
          <w:sz w:val="26"/>
          <w:szCs w:val="26"/>
        </w:rPr>
        <w:t>-2</w:t>
      </w:r>
      <w:r w:rsidR="002B21C3">
        <w:rPr>
          <w:rFonts w:cs="Calibri"/>
          <w:b/>
          <w:smallCaps/>
          <w:sz w:val="26"/>
          <w:szCs w:val="26"/>
        </w:rPr>
        <w:t>4</w:t>
      </w:r>
      <w:r w:rsidRPr="00555E6D">
        <w:rPr>
          <w:rFonts w:cs="Calibri"/>
          <w:b/>
          <w:smallCaps/>
          <w:sz w:val="26"/>
          <w:szCs w:val="26"/>
        </w:rPr>
        <w:t> </w:t>
      </w:r>
      <w:r w:rsidRPr="00C44F0B">
        <w:rPr>
          <w:rFonts w:cs="Calibri"/>
          <w:b/>
          <w:smallCaps/>
          <w:sz w:val="26"/>
          <w:szCs w:val="26"/>
        </w:rPr>
        <w:t xml:space="preserve">: PROGRESSION </w:t>
      </w:r>
      <w:r w:rsidR="00555E6D" w:rsidRPr="00C44F0B">
        <w:rPr>
          <w:rFonts w:cs="Calibri"/>
          <w:b/>
          <w:smallCaps/>
          <w:sz w:val="26"/>
          <w:szCs w:val="26"/>
        </w:rPr>
        <w:t xml:space="preserve">DE </w:t>
      </w:r>
      <w:r w:rsidR="002B21C3">
        <w:rPr>
          <w:rFonts w:cs="Calibri"/>
          <w:b/>
          <w:smallCaps/>
          <w:sz w:val="26"/>
          <w:szCs w:val="26"/>
        </w:rPr>
        <w:t>47</w:t>
      </w:r>
      <w:r w:rsidR="0053781B" w:rsidRPr="00C44F0B">
        <w:rPr>
          <w:rFonts w:cs="Calibri"/>
          <w:b/>
          <w:smallCaps/>
          <w:sz w:val="26"/>
          <w:szCs w:val="26"/>
        </w:rPr>
        <w:t>.</w:t>
      </w:r>
      <w:r w:rsidR="00833627">
        <w:rPr>
          <w:rFonts w:cs="Calibri"/>
          <w:b/>
          <w:smallCaps/>
          <w:sz w:val="26"/>
          <w:szCs w:val="26"/>
        </w:rPr>
        <w:t>3</w:t>
      </w:r>
      <w:r w:rsidR="00555E6D" w:rsidRPr="00C44F0B">
        <w:rPr>
          <w:rFonts w:cs="Calibri"/>
          <w:b/>
          <w:smallCaps/>
          <w:sz w:val="26"/>
          <w:szCs w:val="26"/>
        </w:rPr>
        <w:t xml:space="preserve">% </w:t>
      </w:r>
      <w:r w:rsidRPr="00C44F0B">
        <w:rPr>
          <w:rFonts w:cs="Calibri"/>
          <w:b/>
          <w:smallCaps/>
          <w:sz w:val="26"/>
          <w:szCs w:val="26"/>
        </w:rPr>
        <w:t xml:space="preserve">DU </w:t>
      </w:r>
      <w:r w:rsidR="0053781B" w:rsidRPr="00C44F0B">
        <w:rPr>
          <w:rFonts w:cs="Calibri"/>
          <w:b/>
          <w:smallCaps/>
          <w:sz w:val="26"/>
          <w:szCs w:val="26"/>
        </w:rPr>
        <w:t xml:space="preserve">REX </w:t>
      </w:r>
      <w:r w:rsidR="00DA41BE">
        <w:rPr>
          <w:rFonts w:cs="Calibri"/>
          <w:b/>
          <w:smallCaps/>
          <w:sz w:val="26"/>
          <w:szCs w:val="26"/>
        </w:rPr>
        <w:t xml:space="preserve">A </w:t>
      </w:r>
      <w:r w:rsidR="0053781B" w:rsidRPr="00C44F0B">
        <w:rPr>
          <w:rFonts w:cs="Calibri"/>
          <w:b/>
          <w:smallCaps/>
          <w:sz w:val="26"/>
          <w:szCs w:val="26"/>
        </w:rPr>
        <w:t>+</w:t>
      </w:r>
      <w:r w:rsidR="007768CD">
        <w:rPr>
          <w:rFonts w:cs="Calibri"/>
          <w:b/>
          <w:smallCaps/>
          <w:sz w:val="26"/>
          <w:szCs w:val="26"/>
        </w:rPr>
        <w:t>3.</w:t>
      </w:r>
      <w:r w:rsidR="00833627">
        <w:rPr>
          <w:rFonts w:cs="Calibri"/>
          <w:b/>
          <w:smallCaps/>
          <w:sz w:val="26"/>
          <w:szCs w:val="26"/>
        </w:rPr>
        <w:t>5</w:t>
      </w:r>
      <w:r w:rsidR="00D3207B" w:rsidRPr="00C44F0B">
        <w:rPr>
          <w:rFonts w:cs="Calibri"/>
          <w:b/>
          <w:smallCaps/>
          <w:sz w:val="26"/>
          <w:szCs w:val="26"/>
        </w:rPr>
        <w:t xml:space="preserve"> </w:t>
      </w:r>
      <w:r w:rsidR="0053781B" w:rsidRPr="00C44F0B">
        <w:rPr>
          <w:rFonts w:cs="Calibri"/>
          <w:b/>
          <w:smallCaps/>
          <w:sz w:val="26"/>
          <w:szCs w:val="26"/>
        </w:rPr>
        <w:t>M€ VS +2</w:t>
      </w:r>
      <w:r w:rsidR="007768CD">
        <w:rPr>
          <w:rFonts w:cs="Calibri"/>
          <w:b/>
          <w:smallCaps/>
          <w:sz w:val="26"/>
          <w:szCs w:val="26"/>
        </w:rPr>
        <w:t>.4</w:t>
      </w:r>
      <w:r w:rsidR="00D3207B" w:rsidRPr="00C44F0B">
        <w:rPr>
          <w:rFonts w:cs="Calibri"/>
          <w:b/>
          <w:smallCaps/>
          <w:sz w:val="26"/>
          <w:szCs w:val="26"/>
        </w:rPr>
        <w:t xml:space="preserve"> </w:t>
      </w:r>
      <w:r w:rsidR="0053781B" w:rsidRPr="00C44F0B">
        <w:rPr>
          <w:rFonts w:cs="Calibri"/>
          <w:b/>
          <w:smallCaps/>
          <w:sz w:val="26"/>
          <w:szCs w:val="26"/>
        </w:rPr>
        <w:t>M€ SUR LE S1 202</w:t>
      </w:r>
      <w:r w:rsidR="007768CD">
        <w:rPr>
          <w:rFonts w:cs="Calibri"/>
          <w:b/>
          <w:smallCaps/>
          <w:sz w:val="26"/>
          <w:szCs w:val="26"/>
        </w:rPr>
        <w:t>2</w:t>
      </w:r>
      <w:r w:rsidR="0053781B" w:rsidRPr="00C44F0B">
        <w:rPr>
          <w:rFonts w:cs="Calibri"/>
          <w:b/>
          <w:smallCaps/>
          <w:sz w:val="26"/>
          <w:szCs w:val="26"/>
        </w:rPr>
        <w:t>-2</w:t>
      </w:r>
      <w:r w:rsidR="007768CD">
        <w:rPr>
          <w:rFonts w:cs="Calibri"/>
          <w:b/>
          <w:smallCaps/>
          <w:sz w:val="26"/>
          <w:szCs w:val="26"/>
        </w:rPr>
        <w:t>3</w:t>
      </w:r>
      <w:r w:rsidR="006459BE">
        <w:rPr>
          <w:rFonts w:cs="Calibri"/>
          <w:b/>
          <w:smallCaps/>
          <w:sz w:val="26"/>
          <w:szCs w:val="26"/>
        </w:rPr>
        <w:t xml:space="preserve"> </w:t>
      </w:r>
      <w:r w:rsidR="00A64D6D">
        <w:rPr>
          <w:rFonts w:cs="Calibri"/>
          <w:b/>
          <w:smallCaps/>
          <w:sz w:val="26"/>
          <w:szCs w:val="26"/>
        </w:rPr>
        <w:t xml:space="preserve">ET DE </w:t>
      </w:r>
      <w:r w:rsidR="009C182C" w:rsidRPr="00DA41BE">
        <w:rPr>
          <w:rFonts w:cs="Calibri"/>
          <w:b/>
          <w:smallCaps/>
          <w:sz w:val="26"/>
          <w:szCs w:val="26"/>
        </w:rPr>
        <w:t>46,9%</w:t>
      </w:r>
      <w:r w:rsidR="009C182C">
        <w:rPr>
          <w:rFonts w:cs="Calibri"/>
          <w:b/>
          <w:smallCaps/>
          <w:sz w:val="26"/>
          <w:szCs w:val="26"/>
        </w:rPr>
        <w:t xml:space="preserve"> DE </w:t>
      </w:r>
      <w:r w:rsidR="00A64D6D">
        <w:rPr>
          <w:rFonts w:cs="Calibri"/>
          <w:b/>
          <w:smallCaps/>
          <w:sz w:val="26"/>
          <w:szCs w:val="26"/>
        </w:rPr>
        <w:t>L’EBITDA</w:t>
      </w:r>
      <w:r w:rsidR="00DA41BE">
        <w:rPr>
          <w:rFonts w:cs="Calibri"/>
          <w:b/>
          <w:smallCaps/>
          <w:sz w:val="26"/>
          <w:szCs w:val="26"/>
        </w:rPr>
        <w:t xml:space="preserve"> A +3.7 M€ </w:t>
      </w:r>
      <w:r w:rsidR="00C31F11">
        <w:rPr>
          <w:rFonts w:cs="Calibri"/>
          <w:b/>
          <w:smallCaps/>
          <w:sz w:val="26"/>
          <w:szCs w:val="26"/>
        </w:rPr>
        <w:t>VS +2.5 M€</w:t>
      </w:r>
      <w:r w:rsidR="009C182C">
        <w:rPr>
          <w:rFonts w:cs="Calibri"/>
          <w:b/>
          <w:smallCaps/>
          <w:sz w:val="26"/>
          <w:szCs w:val="26"/>
        </w:rPr>
        <w:t xml:space="preserve"> </w:t>
      </w:r>
      <w:r w:rsidR="00E40D20" w:rsidRPr="00C44F0B">
        <w:rPr>
          <w:rFonts w:cs="Calibri"/>
          <w:b/>
          <w:smallCaps/>
          <w:sz w:val="26"/>
          <w:szCs w:val="26"/>
        </w:rPr>
        <w:t>MALGRE UN EFFET DE BASE ELEVE</w:t>
      </w:r>
      <w:r w:rsidR="003E4ECD">
        <w:rPr>
          <w:rFonts w:cs="Calibri"/>
          <w:b/>
          <w:smallCaps/>
          <w:sz w:val="26"/>
          <w:szCs w:val="26"/>
        </w:rPr>
        <w:t xml:space="preserve"> GRACE A LA CROISSANCE DE L’ACTIVITE ET DES MARGES</w:t>
      </w:r>
      <w:r w:rsidR="009431A0">
        <w:rPr>
          <w:rFonts w:cs="Calibri"/>
          <w:b/>
          <w:smallCaps/>
          <w:sz w:val="26"/>
          <w:szCs w:val="26"/>
        </w:rPr>
        <w:t xml:space="preserve"> ET AU CONTROLE DES CHARGES</w:t>
      </w:r>
      <w:r w:rsidR="00B409F1">
        <w:rPr>
          <w:rFonts w:cs="Calibri"/>
          <w:b/>
          <w:smallCaps/>
          <w:sz w:val="26"/>
          <w:szCs w:val="26"/>
        </w:rPr>
        <w:t>. CROISSANCE</w:t>
      </w:r>
      <w:r w:rsidR="00E840FC">
        <w:rPr>
          <w:rFonts w:cs="Calibri"/>
          <w:b/>
          <w:smallCaps/>
          <w:sz w:val="26"/>
          <w:szCs w:val="26"/>
        </w:rPr>
        <w:t xml:space="preserve"> DE </w:t>
      </w:r>
      <w:r w:rsidR="000E4EAB">
        <w:rPr>
          <w:rFonts w:cs="Calibri"/>
          <w:b/>
          <w:smallCaps/>
          <w:sz w:val="26"/>
          <w:szCs w:val="26"/>
        </w:rPr>
        <w:t>145% DU RESULTAT NET (+</w:t>
      </w:r>
      <w:r w:rsidR="00A95336">
        <w:rPr>
          <w:rFonts w:cs="Calibri"/>
          <w:b/>
          <w:smallCaps/>
          <w:sz w:val="26"/>
          <w:szCs w:val="26"/>
        </w:rPr>
        <w:t xml:space="preserve">3.1 M€ vs +1.3M€ </w:t>
      </w:r>
      <w:r w:rsidR="00F15515">
        <w:rPr>
          <w:rFonts w:cs="Calibri"/>
          <w:b/>
          <w:smallCaps/>
          <w:sz w:val="26"/>
          <w:szCs w:val="26"/>
        </w:rPr>
        <w:t>SUR LE S1 2022-23)</w:t>
      </w:r>
      <w:r w:rsidR="0053781B" w:rsidRPr="00C44F0B">
        <w:rPr>
          <w:rFonts w:cs="Calibri"/>
          <w:b/>
          <w:smallCaps/>
          <w:sz w:val="26"/>
          <w:szCs w:val="26"/>
        </w:rPr>
        <w:t xml:space="preserve">. </w:t>
      </w:r>
      <w:r w:rsidR="00DC4C30">
        <w:rPr>
          <w:rFonts w:cs="Calibri"/>
          <w:b/>
          <w:smallCaps/>
          <w:sz w:val="26"/>
          <w:szCs w:val="26"/>
        </w:rPr>
        <w:t xml:space="preserve">BELLES </w:t>
      </w:r>
      <w:r w:rsidR="003602B1" w:rsidRPr="00C44F0B">
        <w:rPr>
          <w:rFonts w:cs="Calibri"/>
          <w:b/>
          <w:smallCaps/>
          <w:sz w:val="26"/>
          <w:szCs w:val="26"/>
        </w:rPr>
        <w:t>PERSPECTIVES POUR LA SUITE DE L’EXERCICE.</w:t>
      </w:r>
    </w:p>
    <w:p w14:paraId="6096F99B" w14:textId="77777777" w:rsidR="00A548CE" w:rsidRPr="00A43F85" w:rsidRDefault="00A548CE" w:rsidP="00555E6D">
      <w:pPr>
        <w:pStyle w:val="Paragraphedeliste"/>
        <w:spacing w:after="160" w:line="259" w:lineRule="auto"/>
        <w:ind w:left="0"/>
        <w:rPr>
          <w:rFonts w:cs="Calibri"/>
          <w:highlight w:val="cyan"/>
        </w:rPr>
      </w:pPr>
    </w:p>
    <w:p w14:paraId="50916611" w14:textId="279A8A9C" w:rsidR="00B246FF" w:rsidRPr="003602B1" w:rsidRDefault="006D296D" w:rsidP="0084518A">
      <w:pPr>
        <w:numPr>
          <w:ilvl w:val="0"/>
          <w:numId w:val="16"/>
        </w:numPr>
        <w:spacing w:after="80"/>
        <w:ind w:left="357" w:hanging="357"/>
        <w:jc w:val="both"/>
        <w:outlineLvl w:val="0"/>
        <w:rPr>
          <w:rFonts w:cs="Calibri"/>
          <w:b/>
          <w:sz w:val="24"/>
          <w:szCs w:val="24"/>
        </w:rPr>
      </w:pPr>
      <w:bookmarkStart w:id="0" w:name="_Hlk88562952"/>
      <w:r w:rsidRPr="00FA4476">
        <w:rPr>
          <w:rFonts w:cs="Calibri"/>
          <w:b/>
          <w:sz w:val="24"/>
          <w:szCs w:val="24"/>
        </w:rPr>
        <w:t xml:space="preserve">Chiffre </w:t>
      </w:r>
      <w:r w:rsidR="006757EF" w:rsidRPr="00FA4476">
        <w:rPr>
          <w:rFonts w:cs="Calibri"/>
          <w:b/>
          <w:sz w:val="24"/>
          <w:szCs w:val="24"/>
        </w:rPr>
        <w:t xml:space="preserve">d’affaires </w:t>
      </w:r>
      <w:r w:rsidR="00AC50D4" w:rsidRPr="00FA4476">
        <w:rPr>
          <w:rFonts w:cs="Calibri"/>
          <w:b/>
          <w:sz w:val="24"/>
          <w:szCs w:val="24"/>
        </w:rPr>
        <w:t xml:space="preserve">en </w:t>
      </w:r>
      <w:r w:rsidR="00646FA8" w:rsidRPr="00FA4476">
        <w:rPr>
          <w:rFonts w:cs="Calibri"/>
          <w:b/>
          <w:sz w:val="24"/>
          <w:szCs w:val="24"/>
        </w:rPr>
        <w:t xml:space="preserve">progression </w:t>
      </w:r>
      <w:r w:rsidR="00B246FF" w:rsidRPr="00FA4476">
        <w:rPr>
          <w:rFonts w:cs="Calibri"/>
          <w:b/>
          <w:sz w:val="24"/>
          <w:szCs w:val="24"/>
        </w:rPr>
        <w:t xml:space="preserve">de </w:t>
      </w:r>
      <w:r w:rsidR="00EA0D02">
        <w:rPr>
          <w:rFonts w:cs="Calibri"/>
          <w:b/>
          <w:sz w:val="24"/>
          <w:szCs w:val="24"/>
        </w:rPr>
        <w:t>8.9</w:t>
      </w:r>
      <w:r w:rsidR="00B246FF" w:rsidRPr="00FA4476">
        <w:rPr>
          <w:rFonts w:cs="Calibri"/>
          <w:b/>
          <w:sz w:val="24"/>
          <w:szCs w:val="24"/>
        </w:rPr>
        <w:t xml:space="preserve">% </w:t>
      </w:r>
      <w:r w:rsidR="00AC50D4" w:rsidRPr="00FA4476">
        <w:rPr>
          <w:rFonts w:cs="Calibri"/>
          <w:b/>
          <w:sz w:val="24"/>
          <w:szCs w:val="24"/>
        </w:rPr>
        <w:t xml:space="preserve">à </w:t>
      </w:r>
      <w:r w:rsidR="00EA0D02">
        <w:rPr>
          <w:rFonts w:cs="Calibri"/>
          <w:b/>
          <w:sz w:val="24"/>
          <w:szCs w:val="24"/>
        </w:rPr>
        <w:t>22</w:t>
      </w:r>
      <w:r w:rsidR="00533FA3">
        <w:rPr>
          <w:rFonts w:cs="Calibri"/>
          <w:b/>
          <w:sz w:val="24"/>
          <w:szCs w:val="24"/>
        </w:rPr>
        <w:t xml:space="preserve">,2 M€ vs </w:t>
      </w:r>
      <w:r w:rsidR="00FA4476" w:rsidRPr="003602B1">
        <w:rPr>
          <w:rFonts w:cs="Calibri"/>
          <w:b/>
          <w:sz w:val="24"/>
          <w:szCs w:val="24"/>
        </w:rPr>
        <w:t>20</w:t>
      </w:r>
      <w:r w:rsidR="00AC50D4" w:rsidRPr="003602B1">
        <w:rPr>
          <w:rFonts w:cs="Calibri"/>
          <w:b/>
          <w:sz w:val="24"/>
          <w:szCs w:val="24"/>
        </w:rPr>
        <w:t>,</w:t>
      </w:r>
      <w:r w:rsidR="00FA4476" w:rsidRPr="003602B1">
        <w:rPr>
          <w:rFonts w:cs="Calibri"/>
          <w:b/>
          <w:sz w:val="24"/>
          <w:szCs w:val="24"/>
        </w:rPr>
        <w:t>4</w:t>
      </w:r>
      <w:r w:rsidR="00560D73" w:rsidRPr="003602B1">
        <w:rPr>
          <w:rFonts w:cs="Calibri"/>
          <w:b/>
          <w:sz w:val="24"/>
          <w:szCs w:val="24"/>
        </w:rPr>
        <w:t xml:space="preserve"> </w:t>
      </w:r>
      <w:r w:rsidR="00AC50D4" w:rsidRPr="003602B1">
        <w:rPr>
          <w:rFonts w:cs="Calibri"/>
          <w:b/>
          <w:sz w:val="24"/>
          <w:szCs w:val="24"/>
        </w:rPr>
        <w:t>M€ au S1</w:t>
      </w:r>
      <w:r w:rsidRPr="003602B1">
        <w:rPr>
          <w:rFonts w:cs="Calibri"/>
          <w:b/>
          <w:sz w:val="24"/>
          <w:szCs w:val="24"/>
        </w:rPr>
        <w:t xml:space="preserve"> </w:t>
      </w:r>
      <w:r w:rsidR="00B246FF" w:rsidRPr="003602B1">
        <w:rPr>
          <w:rFonts w:cs="Calibri"/>
          <w:b/>
          <w:sz w:val="24"/>
          <w:szCs w:val="24"/>
        </w:rPr>
        <w:t xml:space="preserve">grâce </w:t>
      </w:r>
      <w:r w:rsidR="003C7EF5" w:rsidRPr="003602B1">
        <w:rPr>
          <w:rFonts w:cs="Calibri"/>
          <w:b/>
          <w:sz w:val="24"/>
          <w:szCs w:val="24"/>
        </w:rPr>
        <w:t>aux effets accélérateurs de la digitalisation du Groupe</w:t>
      </w:r>
      <w:r w:rsidR="009573D6" w:rsidRPr="003602B1">
        <w:rPr>
          <w:rFonts w:cs="Calibri"/>
          <w:b/>
          <w:sz w:val="24"/>
          <w:szCs w:val="24"/>
        </w:rPr>
        <w:t xml:space="preserve">, aux </w:t>
      </w:r>
      <w:r w:rsidR="00306EA8">
        <w:rPr>
          <w:rFonts w:cs="Calibri"/>
          <w:b/>
          <w:sz w:val="24"/>
          <w:szCs w:val="24"/>
        </w:rPr>
        <w:t xml:space="preserve">succès des nouveaux jouets </w:t>
      </w:r>
      <w:proofErr w:type="gramStart"/>
      <w:r w:rsidR="00306EA8">
        <w:rPr>
          <w:rFonts w:cs="Calibri"/>
          <w:b/>
          <w:sz w:val="24"/>
          <w:szCs w:val="24"/>
        </w:rPr>
        <w:t>intelligents</w:t>
      </w:r>
      <w:r w:rsidR="003C7EF5" w:rsidRPr="003602B1">
        <w:rPr>
          <w:rFonts w:cs="Calibri"/>
          <w:b/>
          <w:sz w:val="24"/>
          <w:szCs w:val="24"/>
        </w:rPr>
        <w:t xml:space="preserve"> </w:t>
      </w:r>
      <w:r w:rsidR="00446DDB">
        <w:rPr>
          <w:rFonts w:cs="Calibri"/>
          <w:b/>
          <w:sz w:val="24"/>
          <w:szCs w:val="24"/>
        </w:rPr>
        <w:t xml:space="preserve"> et</w:t>
      </w:r>
      <w:proofErr w:type="gramEnd"/>
      <w:r w:rsidR="00446DDB">
        <w:rPr>
          <w:rFonts w:cs="Calibri"/>
          <w:b/>
          <w:sz w:val="24"/>
          <w:szCs w:val="24"/>
        </w:rPr>
        <w:t xml:space="preserve"> des licences </w:t>
      </w:r>
      <w:r w:rsidR="003C7EF5" w:rsidRPr="003602B1">
        <w:rPr>
          <w:rFonts w:cs="Calibri"/>
          <w:b/>
          <w:sz w:val="24"/>
          <w:szCs w:val="24"/>
        </w:rPr>
        <w:t xml:space="preserve">et </w:t>
      </w:r>
      <w:r w:rsidR="00B246FF" w:rsidRPr="003602B1">
        <w:rPr>
          <w:rFonts w:cs="Calibri"/>
          <w:b/>
          <w:sz w:val="24"/>
          <w:szCs w:val="24"/>
        </w:rPr>
        <w:t xml:space="preserve">à la progression des ventes </w:t>
      </w:r>
      <w:r w:rsidR="003C7EF5" w:rsidRPr="003602B1">
        <w:rPr>
          <w:rFonts w:cs="Calibri"/>
          <w:b/>
          <w:sz w:val="24"/>
          <w:szCs w:val="24"/>
        </w:rPr>
        <w:t>en France</w:t>
      </w:r>
      <w:r w:rsidR="00B246FF" w:rsidRPr="003602B1">
        <w:rPr>
          <w:rFonts w:cs="Calibri"/>
          <w:b/>
          <w:sz w:val="24"/>
          <w:szCs w:val="24"/>
        </w:rPr>
        <w:t xml:space="preserve"> et à l’international.</w:t>
      </w:r>
    </w:p>
    <w:p w14:paraId="7B22A282" w14:textId="0A5F2BCE" w:rsidR="00576AD9" w:rsidRDefault="009573D6" w:rsidP="009E6AA5">
      <w:pPr>
        <w:numPr>
          <w:ilvl w:val="0"/>
          <w:numId w:val="16"/>
        </w:numPr>
        <w:spacing w:after="80"/>
        <w:ind w:left="357" w:hanging="357"/>
        <w:jc w:val="both"/>
        <w:outlineLvl w:val="0"/>
        <w:rPr>
          <w:rFonts w:cs="Calibri"/>
          <w:b/>
          <w:sz w:val="24"/>
          <w:szCs w:val="24"/>
        </w:rPr>
      </w:pPr>
      <w:r w:rsidRPr="003602B1">
        <w:rPr>
          <w:rFonts w:cs="Calibri"/>
          <w:b/>
          <w:sz w:val="24"/>
          <w:szCs w:val="24"/>
        </w:rPr>
        <w:t xml:space="preserve">Croissance généralisée sur </w:t>
      </w:r>
      <w:r w:rsidR="00446DDB">
        <w:rPr>
          <w:rFonts w:cs="Calibri"/>
          <w:b/>
          <w:sz w:val="24"/>
          <w:szCs w:val="24"/>
        </w:rPr>
        <w:t>la quasi-totalité d</w:t>
      </w:r>
      <w:r w:rsidRPr="003602B1">
        <w:rPr>
          <w:rFonts w:cs="Calibri"/>
          <w:b/>
          <w:sz w:val="24"/>
          <w:szCs w:val="24"/>
        </w:rPr>
        <w:t>es familles de produits les plus rentables</w:t>
      </w:r>
      <w:r w:rsidR="003602B1" w:rsidRPr="003602B1">
        <w:rPr>
          <w:rFonts w:cs="Calibri"/>
          <w:b/>
          <w:sz w:val="24"/>
          <w:szCs w:val="24"/>
        </w:rPr>
        <w:t xml:space="preserve"> et</w:t>
      </w:r>
      <w:r w:rsidR="006E44EC" w:rsidRPr="003602B1">
        <w:rPr>
          <w:rFonts w:cs="Calibri"/>
          <w:b/>
          <w:sz w:val="24"/>
          <w:szCs w:val="24"/>
        </w:rPr>
        <w:t xml:space="preserve"> des produits sous licence</w:t>
      </w:r>
      <w:r w:rsidR="009031FC">
        <w:rPr>
          <w:rFonts w:cs="Calibri"/>
          <w:b/>
          <w:sz w:val="24"/>
          <w:szCs w:val="24"/>
        </w:rPr>
        <w:t xml:space="preserve">, en particulier </w:t>
      </w:r>
      <w:r w:rsidR="009031FC" w:rsidRPr="009031FC">
        <w:rPr>
          <w:rFonts w:cs="Calibri"/>
          <w:b/>
          <w:sz w:val="24"/>
          <w:szCs w:val="24"/>
        </w:rPr>
        <w:t>les jouets électroniques et musicaux, les réveils, les produits éducatifs et les appareils photos</w:t>
      </w:r>
      <w:r w:rsidR="008B15A8">
        <w:rPr>
          <w:rFonts w:cs="Calibri"/>
          <w:b/>
          <w:sz w:val="24"/>
          <w:szCs w:val="24"/>
        </w:rPr>
        <w:t>.</w:t>
      </w:r>
    </w:p>
    <w:p w14:paraId="32FDB85F" w14:textId="43DF28F2" w:rsidR="00050AB6" w:rsidRPr="00952D49" w:rsidRDefault="00952D49" w:rsidP="00190636">
      <w:pPr>
        <w:pStyle w:val="Paragraphedeliste"/>
        <w:numPr>
          <w:ilvl w:val="0"/>
          <w:numId w:val="16"/>
        </w:numPr>
        <w:spacing w:after="80"/>
        <w:ind w:left="357" w:hanging="357"/>
        <w:jc w:val="both"/>
        <w:outlineLvl w:val="0"/>
        <w:rPr>
          <w:rFonts w:cs="Calibri"/>
          <w:b/>
          <w:sz w:val="24"/>
          <w:szCs w:val="24"/>
        </w:rPr>
      </w:pPr>
      <w:r w:rsidRPr="00952D49">
        <w:rPr>
          <w:rFonts w:cs="Calibri"/>
          <w:b/>
          <w:sz w:val="24"/>
          <w:szCs w:val="24"/>
        </w:rPr>
        <w:t>Renouvellement d’</w:t>
      </w:r>
      <w:r w:rsidRPr="00952D49">
        <w:rPr>
          <w:rFonts w:cs="Calibri"/>
          <w:b/>
          <w:sz w:val="24"/>
          <w:szCs w:val="24"/>
        </w:rPr>
        <w:t xml:space="preserve">une nouvelle campagne massive de publicité digitale en Europe </w:t>
      </w:r>
      <w:r w:rsidRPr="00952D49">
        <w:rPr>
          <w:rFonts w:cs="Calibri"/>
          <w:b/>
          <w:sz w:val="24"/>
          <w:szCs w:val="24"/>
        </w:rPr>
        <w:t xml:space="preserve">et réplication à venir de </w:t>
      </w:r>
      <w:r w:rsidRPr="00952D49">
        <w:rPr>
          <w:rFonts w:cs="Calibri"/>
          <w:b/>
          <w:sz w:val="24"/>
          <w:szCs w:val="24"/>
        </w:rPr>
        <w:t xml:space="preserve">cette campagne sur le marché américain. </w:t>
      </w:r>
    </w:p>
    <w:p w14:paraId="7AC14996" w14:textId="6E108AC7" w:rsidR="00555E6D" w:rsidRPr="00E40340" w:rsidRDefault="009E6AA5" w:rsidP="0084518A">
      <w:pPr>
        <w:numPr>
          <w:ilvl w:val="0"/>
          <w:numId w:val="16"/>
        </w:numPr>
        <w:spacing w:after="80"/>
        <w:ind w:left="357" w:hanging="357"/>
        <w:jc w:val="both"/>
        <w:outlineLvl w:val="0"/>
        <w:rPr>
          <w:rFonts w:cs="Calibri"/>
          <w:b/>
          <w:sz w:val="24"/>
          <w:szCs w:val="24"/>
        </w:rPr>
      </w:pPr>
      <w:r w:rsidRPr="00E40340">
        <w:rPr>
          <w:rFonts w:cs="Calibri"/>
          <w:b/>
          <w:sz w:val="24"/>
          <w:szCs w:val="24"/>
        </w:rPr>
        <w:t xml:space="preserve">Progression de </w:t>
      </w:r>
      <w:r w:rsidR="002931A5">
        <w:rPr>
          <w:rFonts w:cs="Calibri"/>
          <w:b/>
          <w:sz w:val="24"/>
          <w:szCs w:val="24"/>
        </w:rPr>
        <w:t>20.7</w:t>
      </w:r>
      <w:r w:rsidRPr="00E40340">
        <w:rPr>
          <w:rFonts w:cs="Calibri"/>
          <w:b/>
          <w:sz w:val="24"/>
          <w:szCs w:val="24"/>
        </w:rPr>
        <w:t xml:space="preserve">% de la marge brute à </w:t>
      </w:r>
      <w:r w:rsidR="002931A5">
        <w:rPr>
          <w:rFonts w:cs="Calibri"/>
          <w:b/>
          <w:sz w:val="24"/>
          <w:szCs w:val="24"/>
        </w:rPr>
        <w:t>12.83</w:t>
      </w:r>
      <w:r w:rsidR="000E638B">
        <w:rPr>
          <w:rFonts w:cs="Calibri"/>
          <w:b/>
          <w:sz w:val="24"/>
          <w:szCs w:val="24"/>
        </w:rPr>
        <w:t>9</w:t>
      </w:r>
      <w:r w:rsidR="0087041F">
        <w:rPr>
          <w:rFonts w:cs="Calibri"/>
          <w:b/>
          <w:sz w:val="24"/>
          <w:szCs w:val="24"/>
        </w:rPr>
        <w:t xml:space="preserve"> K€ vs </w:t>
      </w:r>
      <w:r w:rsidRPr="00E40340">
        <w:rPr>
          <w:rFonts w:cs="Calibri"/>
          <w:b/>
          <w:sz w:val="24"/>
          <w:szCs w:val="24"/>
        </w:rPr>
        <w:t>10</w:t>
      </w:r>
      <w:r w:rsidR="00012F8D">
        <w:rPr>
          <w:rFonts w:cs="Calibri"/>
          <w:b/>
          <w:sz w:val="24"/>
          <w:szCs w:val="24"/>
        </w:rPr>
        <w:t>.</w:t>
      </w:r>
      <w:r w:rsidRPr="00E40340">
        <w:rPr>
          <w:rFonts w:cs="Calibri"/>
          <w:b/>
          <w:sz w:val="24"/>
          <w:szCs w:val="24"/>
        </w:rPr>
        <w:t>640</w:t>
      </w:r>
      <w:r w:rsidR="00012F8D">
        <w:rPr>
          <w:rFonts w:cs="Calibri"/>
          <w:b/>
          <w:sz w:val="24"/>
          <w:szCs w:val="24"/>
        </w:rPr>
        <w:t xml:space="preserve"> </w:t>
      </w:r>
      <w:r w:rsidRPr="00E40340">
        <w:rPr>
          <w:rFonts w:cs="Calibri"/>
          <w:b/>
          <w:sz w:val="24"/>
          <w:szCs w:val="24"/>
        </w:rPr>
        <w:t xml:space="preserve">K€ </w:t>
      </w:r>
      <w:r w:rsidR="00050AB6" w:rsidRPr="00E40340">
        <w:rPr>
          <w:rFonts w:cs="Calibri"/>
          <w:b/>
          <w:sz w:val="24"/>
          <w:szCs w:val="24"/>
        </w:rPr>
        <w:t xml:space="preserve">un an plus tôt. </w:t>
      </w:r>
      <w:r w:rsidR="00E40340">
        <w:rPr>
          <w:rFonts w:cs="Calibri"/>
          <w:b/>
          <w:sz w:val="24"/>
          <w:szCs w:val="24"/>
        </w:rPr>
        <w:t>Progression de la m</w:t>
      </w:r>
      <w:r w:rsidR="00576AD9" w:rsidRPr="00E40340">
        <w:rPr>
          <w:rFonts w:cs="Calibri"/>
          <w:b/>
          <w:sz w:val="24"/>
          <w:szCs w:val="24"/>
        </w:rPr>
        <w:t xml:space="preserve">arge </w:t>
      </w:r>
      <w:r w:rsidR="00223A91" w:rsidRPr="00E40340">
        <w:rPr>
          <w:rFonts w:cs="Calibri"/>
          <w:b/>
          <w:sz w:val="24"/>
          <w:szCs w:val="24"/>
        </w:rPr>
        <w:t>4 nets</w:t>
      </w:r>
      <w:r w:rsidR="00576AD9" w:rsidRPr="00E40340">
        <w:rPr>
          <w:rFonts w:cs="Calibri"/>
          <w:b/>
          <w:sz w:val="24"/>
          <w:szCs w:val="24"/>
        </w:rPr>
        <w:t xml:space="preserve"> </w:t>
      </w:r>
      <w:r w:rsidR="00E40340">
        <w:rPr>
          <w:rFonts w:cs="Calibri"/>
          <w:b/>
          <w:sz w:val="24"/>
          <w:szCs w:val="24"/>
        </w:rPr>
        <w:t xml:space="preserve">à </w:t>
      </w:r>
      <w:r w:rsidR="00EA5919">
        <w:rPr>
          <w:rFonts w:cs="Calibri"/>
          <w:b/>
          <w:sz w:val="24"/>
          <w:szCs w:val="24"/>
        </w:rPr>
        <w:t>+</w:t>
      </w:r>
      <w:r w:rsidR="00E70E5E">
        <w:rPr>
          <w:rFonts w:cs="Calibri"/>
          <w:b/>
          <w:sz w:val="24"/>
          <w:szCs w:val="24"/>
        </w:rPr>
        <w:t xml:space="preserve">9.591 K€ vs </w:t>
      </w:r>
      <w:r w:rsidR="00EA5919">
        <w:rPr>
          <w:rFonts w:cs="Calibri"/>
          <w:b/>
          <w:sz w:val="24"/>
          <w:szCs w:val="24"/>
        </w:rPr>
        <w:t>+</w:t>
      </w:r>
      <w:r w:rsidR="00E40340">
        <w:rPr>
          <w:rFonts w:cs="Calibri"/>
          <w:b/>
          <w:sz w:val="24"/>
          <w:szCs w:val="24"/>
        </w:rPr>
        <w:t>6</w:t>
      </w:r>
      <w:r w:rsidR="00012F8D">
        <w:rPr>
          <w:rFonts w:cs="Calibri"/>
          <w:b/>
          <w:sz w:val="24"/>
          <w:szCs w:val="24"/>
        </w:rPr>
        <w:t>.</w:t>
      </w:r>
      <w:r w:rsidR="00E40340">
        <w:rPr>
          <w:rFonts w:cs="Calibri"/>
          <w:b/>
          <w:sz w:val="24"/>
          <w:szCs w:val="24"/>
        </w:rPr>
        <w:t xml:space="preserve">567 K€ </w:t>
      </w:r>
      <w:r w:rsidR="0031721E">
        <w:rPr>
          <w:rFonts w:cs="Calibri"/>
          <w:b/>
          <w:sz w:val="24"/>
          <w:szCs w:val="24"/>
        </w:rPr>
        <w:t>sur le S1 202</w:t>
      </w:r>
      <w:r w:rsidR="00E70E5E">
        <w:rPr>
          <w:rFonts w:cs="Calibri"/>
          <w:b/>
          <w:sz w:val="24"/>
          <w:szCs w:val="24"/>
        </w:rPr>
        <w:t>2</w:t>
      </w:r>
      <w:r w:rsidR="0031721E">
        <w:rPr>
          <w:rFonts w:cs="Calibri"/>
          <w:b/>
          <w:sz w:val="24"/>
          <w:szCs w:val="24"/>
        </w:rPr>
        <w:t>-2</w:t>
      </w:r>
      <w:r w:rsidR="00E70E5E">
        <w:rPr>
          <w:rFonts w:cs="Calibri"/>
          <w:b/>
          <w:sz w:val="24"/>
          <w:szCs w:val="24"/>
        </w:rPr>
        <w:t>3</w:t>
      </w:r>
      <w:r w:rsidR="0031721E">
        <w:rPr>
          <w:rFonts w:cs="Calibri"/>
          <w:b/>
          <w:sz w:val="24"/>
          <w:szCs w:val="24"/>
        </w:rPr>
        <w:t xml:space="preserve">, </w:t>
      </w:r>
      <w:r w:rsidR="00E70E5E">
        <w:rPr>
          <w:rFonts w:cs="Calibri"/>
          <w:b/>
          <w:sz w:val="24"/>
          <w:szCs w:val="24"/>
        </w:rPr>
        <w:t xml:space="preserve">malgré </w:t>
      </w:r>
      <w:r w:rsidR="0031721E">
        <w:rPr>
          <w:rFonts w:cs="Calibri"/>
          <w:b/>
          <w:sz w:val="24"/>
          <w:szCs w:val="24"/>
        </w:rPr>
        <w:t>les coûts accrus des dépenses publicitaires et des royautés</w:t>
      </w:r>
      <w:r w:rsidR="0023045A" w:rsidRPr="00E40340">
        <w:rPr>
          <w:rFonts w:cs="Calibri"/>
          <w:b/>
          <w:sz w:val="24"/>
          <w:szCs w:val="24"/>
        </w:rPr>
        <w:t>.</w:t>
      </w:r>
    </w:p>
    <w:p w14:paraId="64310324" w14:textId="6E0B3D1F" w:rsidR="006D296D" w:rsidRPr="0031721E" w:rsidRDefault="0084518A" w:rsidP="0084518A">
      <w:pPr>
        <w:numPr>
          <w:ilvl w:val="0"/>
          <w:numId w:val="16"/>
        </w:numPr>
        <w:spacing w:after="80"/>
        <w:ind w:left="357" w:hanging="357"/>
        <w:jc w:val="both"/>
        <w:outlineLvl w:val="0"/>
        <w:rPr>
          <w:rFonts w:cs="Calibri"/>
          <w:b/>
          <w:sz w:val="24"/>
          <w:szCs w:val="24"/>
        </w:rPr>
      </w:pPr>
      <w:r w:rsidRPr="0031721E">
        <w:rPr>
          <w:rFonts w:cs="Calibri"/>
          <w:b/>
          <w:sz w:val="24"/>
          <w:szCs w:val="24"/>
        </w:rPr>
        <w:t>Hausse du</w:t>
      </w:r>
      <w:r w:rsidR="000159ED" w:rsidRPr="0031721E">
        <w:rPr>
          <w:rFonts w:cs="Calibri"/>
          <w:b/>
          <w:sz w:val="24"/>
          <w:szCs w:val="24"/>
        </w:rPr>
        <w:t xml:space="preserve"> r</w:t>
      </w:r>
      <w:r w:rsidR="00EB1D73" w:rsidRPr="0031721E">
        <w:rPr>
          <w:rFonts w:cs="Calibri"/>
          <w:b/>
          <w:sz w:val="24"/>
          <w:szCs w:val="24"/>
        </w:rPr>
        <w:t xml:space="preserve">ésultat d’exploitation </w:t>
      </w:r>
      <w:r w:rsidR="000159ED" w:rsidRPr="0031721E">
        <w:rPr>
          <w:rFonts w:cs="Calibri"/>
          <w:b/>
          <w:sz w:val="24"/>
          <w:szCs w:val="24"/>
        </w:rPr>
        <w:t xml:space="preserve">à </w:t>
      </w:r>
      <w:r w:rsidR="00FD6F4C">
        <w:rPr>
          <w:rFonts w:cs="Calibri"/>
          <w:b/>
          <w:sz w:val="24"/>
          <w:szCs w:val="24"/>
        </w:rPr>
        <w:t>+3.538</w:t>
      </w:r>
      <w:r w:rsidR="0031721E" w:rsidRPr="0031721E">
        <w:rPr>
          <w:rFonts w:cs="Calibri"/>
          <w:b/>
          <w:sz w:val="24"/>
          <w:szCs w:val="24"/>
        </w:rPr>
        <w:t xml:space="preserve"> </w:t>
      </w:r>
      <w:r w:rsidR="00EB1D73" w:rsidRPr="0031721E">
        <w:rPr>
          <w:rFonts w:cs="Calibri"/>
          <w:b/>
          <w:sz w:val="24"/>
          <w:szCs w:val="24"/>
        </w:rPr>
        <w:t xml:space="preserve">K€ contre </w:t>
      </w:r>
      <w:r w:rsidR="00C00E18" w:rsidRPr="0031721E">
        <w:rPr>
          <w:rFonts w:cs="Calibri"/>
          <w:b/>
          <w:sz w:val="24"/>
          <w:szCs w:val="24"/>
        </w:rPr>
        <w:t>+</w:t>
      </w:r>
      <w:r w:rsidR="0031721E" w:rsidRPr="0031721E">
        <w:rPr>
          <w:rFonts w:cs="Calibri"/>
          <w:b/>
          <w:sz w:val="24"/>
          <w:szCs w:val="24"/>
        </w:rPr>
        <w:t>2</w:t>
      </w:r>
      <w:r w:rsidR="00FD6F4C">
        <w:rPr>
          <w:rFonts w:cs="Calibri"/>
          <w:b/>
          <w:sz w:val="24"/>
          <w:szCs w:val="24"/>
        </w:rPr>
        <w:t xml:space="preserve">.402 </w:t>
      </w:r>
      <w:r w:rsidR="00646FA8" w:rsidRPr="0031721E">
        <w:rPr>
          <w:rFonts w:cs="Calibri"/>
          <w:b/>
          <w:sz w:val="24"/>
          <w:szCs w:val="24"/>
        </w:rPr>
        <w:t>K€</w:t>
      </w:r>
      <w:r w:rsidR="00EB1D73" w:rsidRPr="0031721E">
        <w:rPr>
          <w:rFonts w:cs="Calibri"/>
          <w:b/>
          <w:sz w:val="24"/>
          <w:szCs w:val="24"/>
        </w:rPr>
        <w:t xml:space="preserve"> </w:t>
      </w:r>
      <w:r w:rsidR="006E44EC" w:rsidRPr="0031721E">
        <w:rPr>
          <w:rFonts w:cs="Calibri"/>
          <w:b/>
          <w:sz w:val="24"/>
          <w:szCs w:val="24"/>
        </w:rPr>
        <w:t>(+</w:t>
      </w:r>
      <w:r w:rsidR="00FD6F4C">
        <w:rPr>
          <w:rFonts w:cs="Calibri"/>
          <w:b/>
          <w:sz w:val="24"/>
          <w:szCs w:val="24"/>
        </w:rPr>
        <w:t>47.3</w:t>
      </w:r>
      <w:r w:rsidR="006E44EC" w:rsidRPr="0031721E">
        <w:rPr>
          <w:rFonts w:cs="Calibri"/>
          <w:b/>
          <w:sz w:val="24"/>
          <w:szCs w:val="24"/>
        </w:rPr>
        <w:t xml:space="preserve">%) </w:t>
      </w:r>
      <w:r w:rsidR="00EB1D73" w:rsidRPr="0031721E">
        <w:rPr>
          <w:rFonts w:cs="Calibri"/>
          <w:b/>
          <w:sz w:val="24"/>
          <w:szCs w:val="24"/>
        </w:rPr>
        <w:t>en 20</w:t>
      </w:r>
      <w:r w:rsidR="0031721E" w:rsidRPr="0031721E">
        <w:rPr>
          <w:rFonts w:cs="Calibri"/>
          <w:b/>
          <w:sz w:val="24"/>
          <w:szCs w:val="24"/>
        </w:rPr>
        <w:t>2</w:t>
      </w:r>
      <w:r w:rsidR="00FD6F4C">
        <w:rPr>
          <w:rFonts w:cs="Calibri"/>
          <w:b/>
          <w:sz w:val="24"/>
          <w:szCs w:val="24"/>
        </w:rPr>
        <w:t>2</w:t>
      </w:r>
      <w:r w:rsidR="00EB1D73" w:rsidRPr="0031721E">
        <w:rPr>
          <w:rFonts w:cs="Calibri"/>
          <w:b/>
          <w:sz w:val="24"/>
          <w:szCs w:val="24"/>
        </w:rPr>
        <w:t>/20</w:t>
      </w:r>
      <w:r w:rsidR="001D166B" w:rsidRPr="0031721E">
        <w:rPr>
          <w:rFonts w:cs="Calibri"/>
          <w:b/>
          <w:sz w:val="24"/>
          <w:szCs w:val="24"/>
        </w:rPr>
        <w:t>2</w:t>
      </w:r>
      <w:r w:rsidR="00FD6F4C">
        <w:rPr>
          <w:rFonts w:cs="Calibri"/>
          <w:b/>
          <w:sz w:val="24"/>
          <w:szCs w:val="24"/>
        </w:rPr>
        <w:t>3</w:t>
      </w:r>
      <w:r w:rsidR="006D296D" w:rsidRPr="0031721E">
        <w:rPr>
          <w:rFonts w:cs="Calibri"/>
          <w:b/>
          <w:sz w:val="24"/>
          <w:szCs w:val="24"/>
        </w:rPr>
        <w:t xml:space="preserve"> </w:t>
      </w:r>
      <w:r w:rsidR="00646FA8" w:rsidRPr="0031721E">
        <w:rPr>
          <w:rFonts w:cs="Calibri"/>
          <w:b/>
          <w:sz w:val="24"/>
          <w:szCs w:val="24"/>
        </w:rPr>
        <w:t xml:space="preserve">grâce </w:t>
      </w:r>
      <w:r w:rsidR="006E44EC" w:rsidRPr="0031721E">
        <w:rPr>
          <w:rFonts w:cs="Calibri"/>
          <w:b/>
          <w:sz w:val="24"/>
          <w:szCs w:val="24"/>
        </w:rPr>
        <w:t>à la progression du</w:t>
      </w:r>
      <w:r w:rsidR="001D2A20" w:rsidRPr="0031721E">
        <w:rPr>
          <w:rFonts w:cs="Calibri"/>
          <w:b/>
          <w:sz w:val="24"/>
          <w:szCs w:val="24"/>
        </w:rPr>
        <w:t xml:space="preserve"> volume d’activité</w:t>
      </w:r>
      <w:r w:rsidR="003636DC" w:rsidRPr="0031721E">
        <w:rPr>
          <w:rFonts w:cs="Calibri"/>
          <w:b/>
          <w:sz w:val="24"/>
          <w:szCs w:val="24"/>
        </w:rPr>
        <w:t xml:space="preserve">, </w:t>
      </w:r>
      <w:r w:rsidR="0031721E" w:rsidRPr="0031721E">
        <w:rPr>
          <w:rFonts w:cs="Calibri"/>
          <w:b/>
          <w:sz w:val="24"/>
          <w:szCs w:val="24"/>
        </w:rPr>
        <w:t>au maintien de</w:t>
      </w:r>
      <w:r w:rsidR="0031721E">
        <w:rPr>
          <w:rFonts w:cs="Calibri"/>
          <w:b/>
          <w:sz w:val="24"/>
          <w:szCs w:val="24"/>
        </w:rPr>
        <w:t xml:space="preserve"> la</w:t>
      </w:r>
      <w:r w:rsidR="0031721E" w:rsidRPr="0031721E">
        <w:rPr>
          <w:rFonts w:cs="Calibri"/>
          <w:b/>
          <w:sz w:val="24"/>
          <w:szCs w:val="24"/>
        </w:rPr>
        <w:t xml:space="preserve"> marge à un</w:t>
      </w:r>
      <w:r w:rsidR="003636DC" w:rsidRPr="0031721E">
        <w:rPr>
          <w:rFonts w:cs="Calibri"/>
          <w:b/>
          <w:sz w:val="24"/>
          <w:szCs w:val="24"/>
        </w:rPr>
        <w:t xml:space="preserve"> niveau </w:t>
      </w:r>
      <w:r w:rsidR="0031721E" w:rsidRPr="0031721E">
        <w:rPr>
          <w:rFonts w:cs="Calibri"/>
          <w:b/>
          <w:sz w:val="24"/>
          <w:szCs w:val="24"/>
        </w:rPr>
        <w:t xml:space="preserve">élevé </w:t>
      </w:r>
      <w:r w:rsidR="003636DC" w:rsidRPr="0031721E">
        <w:rPr>
          <w:rFonts w:cs="Calibri"/>
          <w:b/>
          <w:sz w:val="24"/>
          <w:szCs w:val="24"/>
        </w:rPr>
        <w:t xml:space="preserve">et au </w:t>
      </w:r>
      <w:r w:rsidR="00DF006B">
        <w:rPr>
          <w:rFonts w:cs="Calibri"/>
          <w:b/>
          <w:sz w:val="24"/>
          <w:szCs w:val="24"/>
        </w:rPr>
        <w:t>contrôle</w:t>
      </w:r>
      <w:r w:rsidR="003636DC" w:rsidRPr="0031721E">
        <w:rPr>
          <w:rFonts w:cs="Calibri"/>
          <w:b/>
          <w:sz w:val="24"/>
          <w:szCs w:val="24"/>
        </w:rPr>
        <w:t xml:space="preserve"> des charges</w:t>
      </w:r>
      <w:r w:rsidR="000159ED" w:rsidRPr="0031721E">
        <w:rPr>
          <w:rFonts w:cs="Calibri"/>
          <w:b/>
          <w:sz w:val="24"/>
          <w:szCs w:val="24"/>
        </w:rPr>
        <w:t xml:space="preserve"> fixes</w:t>
      </w:r>
      <w:r w:rsidR="007C6B5E" w:rsidRPr="0031721E">
        <w:rPr>
          <w:rFonts w:cs="Calibri"/>
          <w:b/>
          <w:sz w:val="24"/>
          <w:szCs w:val="24"/>
        </w:rPr>
        <w:t>.</w:t>
      </w:r>
    </w:p>
    <w:p w14:paraId="47525B76" w14:textId="138673A2" w:rsidR="004A04B7" w:rsidRPr="0031721E" w:rsidRDefault="009720AB" w:rsidP="0084518A">
      <w:pPr>
        <w:numPr>
          <w:ilvl w:val="0"/>
          <w:numId w:val="16"/>
        </w:numPr>
        <w:spacing w:after="80"/>
        <w:ind w:left="357" w:hanging="357"/>
        <w:jc w:val="both"/>
        <w:outlineLvl w:val="0"/>
        <w:rPr>
          <w:rFonts w:cs="Calibri"/>
          <w:b/>
          <w:sz w:val="24"/>
          <w:szCs w:val="24"/>
        </w:rPr>
      </w:pPr>
      <w:r w:rsidRPr="0031721E">
        <w:rPr>
          <w:rFonts w:cs="Calibri"/>
          <w:b/>
          <w:sz w:val="24"/>
          <w:szCs w:val="24"/>
        </w:rPr>
        <w:t>R</w:t>
      </w:r>
      <w:r w:rsidR="002C650C" w:rsidRPr="0031721E">
        <w:rPr>
          <w:rFonts w:cs="Calibri"/>
          <w:b/>
          <w:sz w:val="24"/>
          <w:szCs w:val="24"/>
        </w:rPr>
        <w:t>ésultat net</w:t>
      </w:r>
      <w:r w:rsidR="00795A10" w:rsidRPr="0031721E">
        <w:rPr>
          <w:rFonts w:cs="Calibri"/>
          <w:b/>
          <w:sz w:val="24"/>
          <w:szCs w:val="24"/>
        </w:rPr>
        <w:t> </w:t>
      </w:r>
      <w:r w:rsidR="004525DD">
        <w:rPr>
          <w:rFonts w:cs="Calibri"/>
          <w:b/>
          <w:sz w:val="24"/>
          <w:szCs w:val="24"/>
        </w:rPr>
        <w:t>en progression de 14</w:t>
      </w:r>
      <w:r w:rsidR="008F7A90">
        <w:rPr>
          <w:rFonts w:cs="Calibri"/>
          <w:b/>
          <w:sz w:val="24"/>
          <w:szCs w:val="24"/>
        </w:rPr>
        <w:t xml:space="preserve">8.2 </w:t>
      </w:r>
      <w:r w:rsidR="004525DD">
        <w:rPr>
          <w:rFonts w:cs="Calibri"/>
          <w:b/>
          <w:sz w:val="24"/>
          <w:szCs w:val="24"/>
        </w:rPr>
        <w:t xml:space="preserve">% </w:t>
      </w:r>
      <w:r w:rsidR="00795A10" w:rsidRPr="0031721E">
        <w:rPr>
          <w:rFonts w:cs="Calibri"/>
          <w:b/>
          <w:sz w:val="24"/>
          <w:szCs w:val="24"/>
        </w:rPr>
        <w:t xml:space="preserve">à </w:t>
      </w:r>
      <w:r w:rsidR="004525DD">
        <w:rPr>
          <w:rFonts w:cs="Calibri"/>
          <w:b/>
          <w:sz w:val="24"/>
          <w:szCs w:val="24"/>
        </w:rPr>
        <w:t xml:space="preserve">+3.095 M€ contre </w:t>
      </w:r>
      <w:r w:rsidR="00795A10" w:rsidRPr="0031721E">
        <w:rPr>
          <w:rFonts w:cs="Calibri"/>
          <w:b/>
          <w:sz w:val="24"/>
          <w:szCs w:val="24"/>
        </w:rPr>
        <w:t>+</w:t>
      </w:r>
      <w:r w:rsidR="001D166B" w:rsidRPr="0031721E">
        <w:rPr>
          <w:rFonts w:cs="Calibri"/>
          <w:b/>
          <w:sz w:val="24"/>
          <w:szCs w:val="24"/>
        </w:rPr>
        <w:t>1 </w:t>
      </w:r>
      <w:r w:rsidR="0031721E" w:rsidRPr="0031721E">
        <w:rPr>
          <w:rFonts w:cs="Calibri"/>
          <w:b/>
          <w:sz w:val="24"/>
          <w:szCs w:val="24"/>
        </w:rPr>
        <w:t>247</w:t>
      </w:r>
      <w:r w:rsidR="001D2A20" w:rsidRPr="0031721E">
        <w:rPr>
          <w:rFonts w:cs="Calibri"/>
          <w:b/>
          <w:sz w:val="24"/>
          <w:szCs w:val="24"/>
        </w:rPr>
        <w:t xml:space="preserve"> K€ au S1 20</w:t>
      </w:r>
      <w:r w:rsidR="0031721E" w:rsidRPr="0031721E">
        <w:rPr>
          <w:rFonts w:cs="Calibri"/>
          <w:b/>
          <w:sz w:val="24"/>
          <w:szCs w:val="24"/>
        </w:rPr>
        <w:t>2</w:t>
      </w:r>
      <w:r w:rsidR="004525DD">
        <w:rPr>
          <w:rFonts w:cs="Calibri"/>
          <w:b/>
          <w:sz w:val="24"/>
          <w:szCs w:val="24"/>
        </w:rPr>
        <w:t>2</w:t>
      </w:r>
      <w:r w:rsidR="001D2A20" w:rsidRPr="0031721E">
        <w:rPr>
          <w:rFonts w:cs="Calibri"/>
          <w:b/>
          <w:sz w:val="24"/>
          <w:szCs w:val="24"/>
        </w:rPr>
        <w:t>/20</w:t>
      </w:r>
      <w:r w:rsidR="00C00E18" w:rsidRPr="0031721E">
        <w:rPr>
          <w:rFonts w:cs="Calibri"/>
          <w:b/>
          <w:sz w:val="24"/>
          <w:szCs w:val="24"/>
        </w:rPr>
        <w:t>2</w:t>
      </w:r>
      <w:r w:rsidR="004525DD">
        <w:rPr>
          <w:rFonts w:cs="Calibri"/>
          <w:b/>
          <w:sz w:val="24"/>
          <w:szCs w:val="24"/>
        </w:rPr>
        <w:t>3</w:t>
      </w:r>
      <w:r w:rsidR="00560D73" w:rsidRPr="0031721E">
        <w:rPr>
          <w:rFonts w:cs="Calibri"/>
          <w:b/>
          <w:sz w:val="24"/>
          <w:szCs w:val="24"/>
        </w:rPr>
        <w:t>.</w:t>
      </w:r>
      <w:r w:rsidR="00560D73" w:rsidRPr="0031721E" w:rsidDel="00560D73">
        <w:rPr>
          <w:rFonts w:cs="Calibri"/>
          <w:b/>
          <w:sz w:val="24"/>
          <w:szCs w:val="24"/>
        </w:rPr>
        <w:t xml:space="preserve"> </w:t>
      </w:r>
    </w:p>
    <w:p w14:paraId="7CCDB143" w14:textId="1F78920B" w:rsidR="00D649D0" w:rsidRDefault="004525DD" w:rsidP="00AB08FB">
      <w:pPr>
        <w:numPr>
          <w:ilvl w:val="0"/>
          <w:numId w:val="16"/>
        </w:numPr>
        <w:spacing w:after="80"/>
        <w:ind w:left="357" w:hanging="357"/>
        <w:jc w:val="both"/>
        <w:outlineLvl w:val="0"/>
        <w:rPr>
          <w:rFonts w:cs="Calibri"/>
          <w:b/>
          <w:sz w:val="24"/>
          <w:szCs w:val="24"/>
        </w:rPr>
      </w:pPr>
      <w:r>
        <w:rPr>
          <w:rFonts w:cs="Calibri"/>
          <w:b/>
          <w:sz w:val="24"/>
          <w:szCs w:val="24"/>
        </w:rPr>
        <w:t>Belles p</w:t>
      </w:r>
      <w:r w:rsidR="0031721E" w:rsidRPr="0031721E">
        <w:rPr>
          <w:rFonts w:cs="Calibri"/>
          <w:b/>
          <w:sz w:val="24"/>
          <w:szCs w:val="24"/>
        </w:rPr>
        <w:t>erspectives pour la suite de l’exercic</w:t>
      </w:r>
      <w:bookmarkEnd w:id="0"/>
      <w:r w:rsidR="00213444">
        <w:rPr>
          <w:rFonts w:cs="Calibri"/>
          <w:b/>
          <w:sz w:val="24"/>
          <w:szCs w:val="24"/>
        </w:rPr>
        <w:t>e.</w:t>
      </w:r>
    </w:p>
    <w:p w14:paraId="1043877E" w14:textId="77777777" w:rsidR="00213444" w:rsidRPr="00AB08FB" w:rsidRDefault="00213444" w:rsidP="00213444">
      <w:pPr>
        <w:spacing w:after="80"/>
        <w:ind w:left="357"/>
        <w:jc w:val="both"/>
        <w:outlineLvl w:val="0"/>
        <w:rPr>
          <w:rFonts w:cs="Calibri"/>
          <w:b/>
          <w:sz w:val="24"/>
          <w:szCs w:val="24"/>
        </w:rPr>
      </w:pPr>
    </w:p>
    <w:p w14:paraId="30981D4C" w14:textId="44436404" w:rsidR="00D12722" w:rsidRPr="005A7FF9" w:rsidRDefault="007F4864" w:rsidP="004A4AF5">
      <w:pPr>
        <w:pStyle w:val="Titre2"/>
        <w:spacing w:before="360" w:beforeAutospacing="0" w:after="0" w:afterAutospacing="0"/>
        <w:rPr>
          <w:rFonts w:cs="Calibri"/>
          <w:sz w:val="10"/>
          <w:szCs w:val="10"/>
        </w:rPr>
      </w:pPr>
      <w:r w:rsidRPr="005A7FF9">
        <w:rPr>
          <w:rFonts w:ascii="Calibri" w:hAnsi="Calibri" w:cs="Calibri"/>
          <w:b w:val="0"/>
          <w:sz w:val="22"/>
        </w:rPr>
        <w:t xml:space="preserve">Lexibook (ISIN </w:t>
      </w:r>
      <w:r w:rsidR="00D12722" w:rsidRPr="005A7FF9">
        <w:rPr>
          <w:rFonts w:ascii="Calibri" w:hAnsi="Calibri" w:cs="Calibri"/>
          <w:b w:val="0"/>
          <w:sz w:val="22"/>
        </w:rPr>
        <w:t>FR0000033599</w:t>
      </w:r>
      <w:r w:rsidRPr="005A7FF9">
        <w:rPr>
          <w:rFonts w:ascii="Calibri" w:hAnsi="Calibri" w:cs="Calibri"/>
          <w:b w:val="0"/>
          <w:sz w:val="22"/>
        </w:rPr>
        <w:t xml:space="preserve">) annonce aujourd’hui ses états financiers </w:t>
      </w:r>
      <w:r w:rsidR="00981E8A" w:rsidRPr="005A7FF9">
        <w:rPr>
          <w:rFonts w:ascii="Calibri" w:hAnsi="Calibri" w:cs="Calibri"/>
          <w:b w:val="0"/>
          <w:sz w:val="22"/>
        </w:rPr>
        <w:t>semestriels non-</w:t>
      </w:r>
      <w:r w:rsidRPr="005A7FF9">
        <w:rPr>
          <w:rFonts w:ascii="Calibri" w:hAnsi="Calibri" w:cs="Calibri"/>
          <w:b w:val="0"/>
          <w:sz w:val="22"/>
        </w:rPr>
        <w:t>audit</w:t>
      </w:r>
      <w:r w:rsidR="00E768F0" w:rsidRPr="005A7FF9">
        <w:rPr>
          <w:rFonts w:ascii="Calibri" w:hAnsi="Calibri" w:cs="Calibri"/>
          <w:b w:val="0"/>
          <w:sz w:val="22"/>
        </w:rPr>
        <w:t xml:space="preserve">és </w:t>
      </w:r>
      <w:r w:rsidRPr="005A7FF9">
        <w:rPr>
          <w:rFonts w:ascii="Calibri" w:hAnsi="Calibri" w:cs="Calibri"/>
          <w:b w:val="0"/>
          <w:sz w:val="22"/>
        </w:rPr>
        <w:t xml:space="preserve">pour </w:t>
      </w:r>
      <w:r w:rsidR="00981E8A" w:rsidRPr="005A7FF9">
        <w:rPr>
          <w:rFonts w:ascii="Calibri" w:hAnsi="Calibri" w:cs="Calibri"/>
          <w:b w:val="0"/>
          <w:sz w:val="22"/>
        </w:rPr>
        <w:t>le semestre clos au 30 Septembre</w:t>
      </w:r>
      <w:r w:rsidRPr="005A7FF9">
        <w:rPr>
          <w:rFonts w:ascii="Calibri" w:hAnsi="Calibri" w:cs="Calibri"/>
          <w:b w:val="0"/>
          <w:sz w:val="22"/>
        </w:rPr>
        <w:t xml:space="preserve"> 20</w:t>
      </w:r>
      <w:r w:rsidR="00C00E18" w:rsidRPr="005A7FF9">
        <w:rPr>
          <w:rFonts w:ascii="Calibri" w:hAnsi="Calibri" w:cs="Calibri"/>
          <w:b w:val="0"/>
          <w:sz w:val="22"/>
        </w:rPr>
        <w:t>2</w:t>
      </w:r>
      <w:r w:rsidR="00DF006B">
        <w:rPr>
          <w:rFonts w:ascii="Calibri" w:hAnsi="Calibri" w:cs="Calibri"/>
          <w:b w:val="0"/>
          <w:sz w:val="22"/>
        </w:rPr>
        <w:t>3</w:t>
      </w:r>
      <w:r w:rsidR="009019CA" w:rsidRPr="005A7FF9">
        <w:rPr>
          <w:rFonts w:ascii="Calibri" w:hAnsi="Calibri" w:cs="Calibri"/>
          <w:b w:val="0"/>
          <w:sz w:val="22"/>
        </w:rPr>
        <w:t>.</w:t>
      </w:r>
    </w:p>
    <w:tbl>
      <w:tblPr>
        <w:tblW w:w="9794" w:type="dxa"/>
        <w:tblCellMar>
          <w:left w:w="70" w:type="dxa"/>
          <w:right w:w="70" w:type="dxa"/>
        </w:tblCellMar>
        <w:tblLook w:val="04A0" w:firstRow="1" w:lastRow="0" w:firstColumn="1" w:lastColumn="0" w:noHBand="0" w:noVBand="1"/>
      </w:tblPr>
      <w:tblGrid>
        <w:gridCol w:w="5264"/>
        <w:gridCol w:w="1697"/>
        <w:gridCol w:w="259"/>
        <w:gridCol w:w="1379"/>
        <w:gridCol w:w="259"/>
        <w:gridCol w:w="936"/>
      </w:tblGrid>
      <w:tr w:rsidR="0062141A" w:rsidRPr="0062141A" w14:paraId="7FA34D17" w14:textId="77777777" w:rsidTr="00952D49">
        <w:trPr>
          <w:trHeight w:val="1095"/>
        </w:trPr>
        <w:tc>
          <w:tcPr>
            <w:tcW w:w="5264" w:type="dxa"/>
            <w:tcBorders>
              <w:top w:val="nil"/>
              <w:left w:val="nil"/>
              <w:bottom w:val="nil"/>
              <w:right w:val="nil"/>
            </w:tcBorders>
            <w:shd w:val="clear" w:color="auto" w:fill="auto"/>
            <w:noWrap/>
            <w:vAlign w:val="bottom"/>
            <w:hideMark/>
          </w:tcPr>
          <w:p w14:paraId="03E2D87A" w14:textId="379BCE0C" w:rsidR="0062141A" w:rsidRPr="0062141A" w:rsidRDefault="0062141A" w:rsidP="0062141A">
            <w:pPr>
              <w:spacing w:after="0" w:line="240" w:lineRule="auto"/>
              <w:rPr>
                <w:rFonts w:ascii="Arial" w:eastAsia="Times New Roman" w:hAnsi="Arial" w:cs="Arial"/>
                <w:sz w:val="20"/>
                <w:szCs w:val="20"/>
                <w:lang w:eastAsia="fr-FR"/>
              </w:rPr>
            </w:pPr>
            <w:r w:rsidRPr="0062141A">
              <w:rPr>
                <w:rFonts w:ascii="Arial" w:eastAsia="Times New Roman" w:hAnsi="Arial" w:cs="Arial"/>
                <w:sz w:val="20"/>
                <w:szCs w:val="20"/>
                <w:lang w:eastAsia="fr-FR"/>
              </w:rPr>
              <w:t>En Euros</w:t>
            </w:r>
            <w:r>
              <w:rPr>
                <w:rFonts w:ascii="Arial" w:eastAsia="Times New Roman" w:hAnsi="Arial" w:cs="Arial"/>
                <w:sz w:val="20"/>
                <w:szCs w:val="20"/>
                <w:lang w:eastAsia="fr-FR"/>
              </w:rPr>
              <w:t xml:space="preserve"> – Données non auditées</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7779E" w14:textId="77777777" w:rsidR="0062141A" w:rsidRPr="0062141A" w:rsidRDefault="0062141A" w:rsidP="0062141A">
            <w:pPr>
              <w:spacing w:after="0" w:line="240" w:lineRule="auto"/>
              <w:jc w:val="center"/>
              <w:rPr>
                <w:rFonts w:ascii="Arial" w:eastAsia="Times New Roman" w:hAnsi="Arial" w:cs="Arial"/>
                <w:b/>
                <w:bCs/>
                <w:sz w:val="16"/>
                <w:szCs w:val="16"/>
                <w:lang w:eastAsia="fr-FR"/>
              </w:rPr>
            </w:pPr>
            <w:r w:rsidRPr="0062141A">
              <w:rPr>
                <w:rFonts w:ascii="Arial" w:eastAsia="Times New Roman" w:hAnsi="Arial" w:cs="Arial"/>
                <w:b/>
                <w:bCs/>
                <w:sz w:val="16"/>
                <w:szCs w:val="16"/>
                <w:lang w:eastAsia="fr-FR"/>
              </w:rPr>
              <w:t>30 SEPTEMBRE 2023</w:t>
            </w:r>
          </w:p>
        </w:tc>
        <w:tc>
          <w:tcPr>
            <w:tcW w:w="259" w:type="dxa"/>
            <w:tcBorders>
              <w:top w:val="nil"/>
              <w:left w:val="nil"/>
              <w:bottom w:val="nil"/>
              <w:right w:val="nil"/>
            </w:tcBorders>
            <w:shd w:val="clear" w:color="auto" w:fill="auto"/>
            <w:vAlign w:val="center"/>
            <w:hideMark/>
          </w:tcPr>
          <w:p w14:paraId="3DD4C430" w14:textId="77777777" w:rsidR="0062141A" w:rsidRPr="0062141A" w:rsidRDefault="0062141A" w:rsidP="0062141A">
            <w:pPr>
              <w:spacing w:after="0" w:line="240" w:lineRule="auto"/>
              <w:jc w:val="center"/>
              <w:rPr>
                <w:rFonts w:ascii="Arial" w:eastAsia="Times New Roman" w:hAnsi="Arial" w:cs="Arial"/>
                <w:b/>
                <w:bCs/>
                <w:sz w:val="16"/>
                <w:szCs w:val="16"/>
                <w:lang w:eastAsia="fr-FR"/>
              </w:rPr>
            </w:pP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72C79" w14:textId="77777777" w:rsidR="0062141A" w:rsidRPr="0062141A" w:rsidRDefault="0062141A" w:rsidP="0062141A">
            <w:pPr>
              <w:spacing w:after="0" w:line="240" w:lineRule="auto"/>
              <w:jc w:val="center"/>
              <w:rPr>
                <w:rFonts w:ascii="Arial" w:eastAsia="Times New Roman" w:hAnsi="Arial" w:cs="Arial"/>
                <w:b/>
                <w:bCs/>
                <w:sz w:val="16"/>
                <w:szCs w:val="16"/>
                <w:lang w:eastAsia="fr-FR"/>
              </w:rPr>
            </w:pPr>
            <w:r w:rsidRPr="0062141A">
              <w:rPr>
                <w:rFonts w:ascii="Arial" w:eastAsia="Times New Roman" w:hAnsi="Arial" w:cs="Arial"/>
                <w:b/>
                <w:bCs/>
                <w:sz w:val="16"/>
                <w:szCs w:val="16"/>
                <w:lang w:eastAsia="fr-FR"/>
              </w:rPr>
              <w:t>30 SEPTEMBRE 2022</w:t>
            </w:r>
          </w:p>
        </w:tc>
        <w:tc>
          <w:tcPr>
            <w:tcW w:w="259" w:type="dxa"/>
            <w:tcBorders>
              <w:top w:val="nil"/>
              <w:left w:val="nil"/>
              <w:bottom w:val="nil"/>
              <w:right w:val="nil"/>
            </w:tcBorders>
            <w:shd w:val="clear" w:color="auto" w:fill="auto"/>
            <w:vAlign w:val="center"/>
            <w:hideMark/>
          </w:tcPr>
          <w:p w14:paraId="44F1D8ED" w14:textId="77777777" w:rsidR="0062141A" w:rsidRPr="0062141A" w:rsidRDefault="0062141A" w:rsidP="0062141A">
            <w:pPr>
              <w:spacing w:after="0" w:line="240" w:lineRule="auto"/>
              <w:jc w:val="center"/>
              <w:rPr>
                <w:rFonts w:ascii="Arial" w:eastAsia="Times New Roman" w:hAnsi="Arial" w:cs="Arial"/>
                <w:b/>
                <w:bCs/>
                <w:sz w:val="16"/>
                <w:szCs w:val="16"/>
                <w:lang w:eastAsia="fr-FR"/>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BD411" w14:textId="77777777" w:rsidR="0062141A" w:rsidRPr="0062141A" w:rsidRDefault="0062141A" w:rsidP="0062141A">
            <w:pPr>
              <w:spacing w:after="0" w:line="240" w:lineRule="auto"/>
              <w:jc w:val="center"/>
              <w:rPr>
                <w:rFonts w:ascii="Arial" w:eastAsia="Times New Roman" w:hAnsi="Arial" w:cs="Arial"/>
                <w:b/>
                <w:bCs/>
                <w:sz w:val="16"/>
                <w:szCs w:val="16"/>
                <w:lang w:eastAsia="fr-FR"/>
              </w:rPr>
            </w:pPr>
            <w:r w:rsidRPr="0062141A">
              <w:rPr>
                <w:rFonts w:ascii="Arial" w:eastAsia="Times New Roman" w:hAnsi="Arial" w:cs="Arial"/>
                <w:b/>
                <w:bCs/>
                <w:sz w:val="16"/>
                <w:szCs w:val="16"/>
                <w:lang w:eastAsia="fr-FR"/>
              </w:rPr>
              <w:t>Variation</w:t>
            </w:r>
          </w:p>
        </w:tc>
      </w:tr>
      <w:tr w:rsidR="0062141A" w:rsidRPr="0062141A" w14:paraId="386C5F7E" w14:textId="77777777" w:rsidTr="00952D49">
        <w:trPr>
          <w:trHeight w:val="255"/>
        </w:trPr>
        <w:tc>
          <w:tcPr>
            <w:tcW w:w="5264" w:type="dxa"/>
            <w:tcBorders>
              <w:top w:val="nil"/>
              <w:left w:val="nil"/>
              <w:bottom w:val="single" w:sz="4" w:space="0" w:color="auto"/>
              <w:right w:val="nil"/>
            </w:tcBorders>
            <w:shd w:val="clear" w:color="auto" w:fill="auto"/>
            <w:noWrap/>
            <w:vAlign w:val="bottom"/>
            <w:hideMark/>
          </w:tcPr>
          <w:p w14:paraId="36D15F0C" w14:textId="77777777" w:rsidR="0062141A" w:rsidRPr="0062141A" w:rsidRDefault="0062141A" w:rsidP="0062141A">
            <w:pPr>
              <w:spacing w:after="0" w:line="240" w:lineRule="auto"/>
              <w:jc w:val="center"/>
              <w:rPr>
                <w:rFonts w:ascii="Arial" w:eastAsia="Times New Roman" w:hAnsi="Arial" w:cs="Arial"/>
                <w:b/>
                <w:bCs/>
                <w:sz w:val="16"/>
                <w:szCs w:val="16"/>
                <w:lang w:eastAsia="fr-FR"/>
              </w:rPr>
            </w:pPr>
          </w:p>
        </w:tc>
        <w:tc>
          <w:tcPr>
            <w:tcW w:w="1697" w:type="dxa"/>
            <w:tcBorders>
              <w:top w:val="nil"/>
              <w:left w:val="nil"/>
              <w:bottom w:val="single" w:sz="4" w:space="0" w:color="auto"/>
              <w:right w:val="nil"/>
            </w:tcBorders>
            <w:shd w:val="clear" w:color="auto" w:fill="auto"/>
            <w:noWrap/>
            <w:vAlign w:val="bottom"/>
            <w:hideMark/>
          </w:tcPr>
          <w:p w14:paraId="19381439" w14:textId="77777777" w:rsidR="0062141A" w:rsidRPr="0062141A" w:rsidRDefault="0062141A" w:rsidP="0062141A">
            <w:pPr>
              <w:spacing w:after="0" w:line="240" w:lineRule="auto"/>
              <w:rPr>
                <w:rFonts w:ascii="Times New Roman" w:eastAsia="Times New Roman" w:hAnsi="Times New Roman"/>
                <w:sz w:val="20"/>
                <w:szCs w:val="20"/>
                <w:lang w:eastAsia="fr-FR"/>
              </w:rPr>
            </w:pPr>
          </w:p>
        </w:tc>
        <w:tc>
          <w:tcPr>
            <w:tcW w:w="259" w:type="dxa"/>
            <w:tcBorders>
              <w:top w:val="nil"/>
              <w:left w:val="nil"/>
              <w:bottom w:val="single" w:sz="4" w:space="0" w:color="auto"/>
              <w:right w:val="nil"/>
            </w:tcBorders>
            <w:shd w:val="clear" w:color="auto" w:fill="auto"/>
            <w:noWrap/>
            <w:vAlign w:val="bottom"/>
            <w:hideMark/>
          </w:tcPr>
          <w:p w14:paraId="176C7F6A" w14:textId="77777777" w:rsidR="0062141A" w:rsidRPr="0062141A" w:rsidRDefault="0062141A" w:rsidP="0062141A">
            <w:pPr>
              <w:spacing w:after="0" w:line="240" w:lineRule="auto"/>
              <w:rPr>
                <w:rFonts w:ascii="Times New Roman" w:eastAsia="Times New Roman" w:hAnsi="Times New Roman"/>
                <w:sz w:val="20"/>
                <w:szCs w:val="20"/>
                <w:lang w:eastAsia="fr-FR"/>
              </w:rPr>
            </w:pPr>
          </w:p>
        </w:tc>
        <w:tc>
          <w:tcPr>
            <w:tcW w:w="1379" w:type="dxa"/>
            <w:tcBorders>
              <w:top w:val="nil"/>
              <w:left w:val="nil"/>
              <w:bottom w:val="single" w:sz="4" w:space="0" w:color="auto"/>
              <w:right w:val="nil"/>
            </w:tcBorders>
            <w:shd w:val="clear" w:color="auto" w:fill="auto"/>
            <w:noWrap/>
            <w:vAlign w:val="bottom"/>
            <w:hideMark/>
          </w:tcPr>
          <w:p w14:paraId="3860BB88" w14:textId="77777777" w:rsidR="0062141A" w:rsidRPr="0062141A" w:rsidRDefault="0062141A" w:rsidP="0062141A">
            <w:pPr>
              <w:spacing w:after="0" w:line="240" w:lineRule="auto"/>
              <w:rPr>
                <w:rFonts w:ascii="Times New Roman" w:eastAsia="Times New Roman" w:hAnsi="Times New Roman"/>
                <w:sz w:val="20"/>
                <w:szCs w:val="20"/>
                <w:lang w:eastAsia="fr-FR"/>
              </w:rPr>
            </w:pPr>
          </w:p>
        </w:tc>
        <w:tc>
          <w:tcPr>
            <w:tcW w:w="259" w:type="dxa"/>
            <w:tcBorders>
              <w:top w:val="nil"/>
              <w:left w:val="nil"/>
              <w:bottom w:val="single" w:sz="4" w:space="0" w:color="auto"/>
              <w:right w:val="nil"/>
            </w:tcBorders>
            <w:shd w:val="clear" w:color="auto" w:fill="auto"/>
            <w:noWrap/>
            <w:vAlign w:val="bottom"/>
            <w:hideMark/>
          </w:tcPr>
          <w:p w14:paraId="720728D2" w14:textId="77777777" w:rsidR="0062141A" w:rsidRPr="0062141A" w:rsidRDefault="0062141A" w:rsidP="0062141A">
            <w:pPr>
              <w:spacing w:after="0" w:line="240" w:lineRule="auto"/>
              <w:rPr>
                <w:rFonts w:ascii="Times New Roman" w:eastAsia="Times New Roman" w:hAnsi="Times New Roman"/>
                <w:sz w:val="20"/>
                <w:szCs w:val="20"/>
                <w:lang w:eastAsia="fr-FR"/>
              </w:rPr>
            </w:pPr>
          </w:p>
        </w:tc>
        <w:tc>
          <w:tcPr>
            <w:tcW w:w="936" w:type="dxa"/>
            <w:tcBorders>
              <w:top w:val="nil"/>
              <w:left w:val="nil"/>
              <w:bottom w:val="single" w:sz="4" w:space="0" w:color="auto"/>
              <w:right w:val="nil"/>
            </w:tcBorders>
            <w:shd w:val="clear" w:color="auto" w:fill="auto"/>
            <w:noWrap/>
            <w:vAlign w:val="bottom"/>
            <w:hideMark/>
          </w:tcPr>
          <w:p w14:paraId="17B5E705" w14:textId="77777777" w:rsidR="0062141A" w:rsidRPr="0062141A" w:rsidRDefault="0062141A" w:rsidP="0062141A">
            <w:pPr>
              <w:spacing w:after="0" w:line="240" w:lineRule="auto"/>
              <w:rPr>
                <w:rFonts w:ascii="Times New Roman" w:eastAsia="Times New Roman" w:hAnsi="Times New Roman"/>
                <w:sz w:val="20"/>
                <w:szCs w:val="20"/>
                <w:lang w:eastAsia="fr-FR"/>
              </w:rPr>
            </w:pPr>
          </w:p>
        </w:tc>
      </w:tr>
      <w:tr w:rsidR="00EC3A38" w:rsidRPr="0062141A" w14:paraId="4567DD54" w14:textId="77777777" w:rsidTr="00952D49">
        <w:trPr>
          <w:trHeight w:val="255"/>
        </w:trPr>
        <w:tc>
          <w:tcPr>
            <w:tcW w:w="5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32DA" w14:textId="4067B028" w:rsidR="00EC3A38" w:rsidRPr="0062141A" w:rsidRDefault="00EC3A38" w:rsidP="0062141A">
            <w:pPr>
              <w:spacing w:after="0" w:line="240" w:lineRule="auto"/>
              <w:rPr>
                <w:rFonts w:ascii="Arial" w:eastAsia="Times New Roman" w:hAnsi="Arial" w:cs="Arial"/>
                <w:sz w:val="20"/>
                <w:szCs w:val="20"/>
                <w:lang w:eastAsia="fr-FR"/>
              </w:rPr>
            </w:pPr>
            <w:r w:rsidRPr="0062141A">
              <w:rPr>
                <w:rFonts w:ascii="Arial" w:eastAsia="Times New Roman" w:hAnsi="Arial" w:cs="Arial"/>
                <w:b/>
                <w:bCs/>
                <w:sz w:val="20"/>
                <w:szCs w:val="20"/>
                <w:lang w:eastAsia="fr-FR"/>
              </w:rPr>
              <w:t>Chiffre d'affaires net</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39303" w14:textId="5CD71A65" w:rsidR="00EC3A38" w:rsidRPr="0062141A" w:rsidRDefault="00EC3A38" w:rsidP="00EC3A38">
            <w:pPr>
              <w:spacing w:after="0" w:line="240" w:lineRule="auto"/>
              <w:jc w:val="center"/>
              <w:rPr>
                <w:rFonts w:ascii="Arial" w:eastAsia="Times New Roman" w:hAnsi="Arial" w:cs="Arial"/>
                <w:sz w:val="20"/>
                <w:szCs w:val="20"/>
                <w:lang w:eastAsia="fr-FR"/>
              </w:rPr>
            </w:pPr>
            <w:r w:rsidRPr="0062141A">
              <w:rPr>
                <w:rFonts w:ascii="Arial" w:eastAsia="Times New Roman" w:hAnsi="Arial" w:cs="Arial"/>
                <w:b/>
                <w:bCs/>
                <w:sz w:val="20"/>
                <w:szCs w:val="20"/>
                <w:lang w:eastAsia="fr-FR"/>
              </w:rPr>
              <w:t>22 188</w:t>
            </w:r>
          </w:p>
        </w:tc>
        <w:tc>
          <w:tcPr>
            <w:tcW w:w="259" w:type="dxa"/>
            <w:tcBorders>
              <w:top w:val="single" w:sz="4" w:space="0" w:color="auto"/>
              <w:left w:val="nil"/>
              <w:bottom w:val="single" w:sz="4" w:space="0" w:color="auto"/>
              <w:right w:val="nil"/>
            </w:tcBorders>
            <w:shd w:val="clear" w:color="auto" w:fill="auto"/>
            <w:noWrap/>
            <w:vAlign w:val="bottom"/>
            <w:hideMark/>
          </w:tcPr>
          <w:p w14:paraId="0A8BAE50" w14:textId="77777777" w:rsidR="00EC3A38" w:rsidRPr="0062141A" w:rsidRDefault="00EC3A38" w:rsidP="00EC3A38">
            <w:pPr>
              <w:spacing w:after="0" w:line="240" w:lineRule="auto"/>
              <w:jc w:val="center"/>
              <w:rPr>
                <w:rFonts w:ascii="Arial" w:eastAsia="Times New Roman" w:hAnsi="Arial" w:cs="Arial"/>
                <w:sz w:val="20"/>
                <w:szCs w:val="20"/>
                <w:lang w:eastAsia="fr-FR"/>
              </w:rPr>
            </w:pP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AECD5" w14:textId="36AEF339" w:rsidR="00EC3A38" w:rsidRPr="0062141A" w:rsidRDefault="00EC3A38" w:rsidP="00EC3A38">
            <w:pPr>
              <w:spacing w:after="0" w:line="240" w:lineRule="auto"/>
              <w:jc w:val="center"/>
              <w:rPr>
                <w:rFonts w:ascii="Arial" w:eastAsia="Times New Roman" w:hAnsi="Arial" w:cs="Arial"/>
                <w:sz w:val="20"/>
                <w:szCs w:val="20"/>
                <w:lang w:eastAsia="fr-FR"/>
              </w:rPr>
            </w:pPr>
            <w:r w:rsidRPr="0062141A">
              <w:rPr>
                <w:rFonts w:ascii="Arial" w:eastAsia="Times New Roman" w:hAnsi="Arial" w:cs="Arial"/>
                <w:b/>
                <w:bCs/>
                <w:sz w:val="20"/>
                <w:szCs w:val="20"/>
                <w:lang w:eastAsia="fr-FR"/>
              </w:rPr>
              <w:t>20 382</w:t>
            </w:r>
          </w:p>
        </w:tc>
        <w:tc>
          <w:tcPr>
            <w:tcW w:w="259" w:type="dxa"/>
            <w:tcBorders>
              <w:top w:val="single" w:sz="4" w:space="0" w:color="auto"/>
              <w:left w:val="nil"/>
              <w:bottom w:val="single" w:sz="4" w:space="0" w:color="auto"/>
              <w:right w:val="nil"/>
            </w:tcBorders>
            <w:shd w:val="clear" w:color="auto" w:fill="auto"/>
            <w:noWrap/>
            <w:vAlign w:val="bottom"/>
            <w:hideMark/>
          </w:tcPr>
          <w:p w14:paraId="574C82F1" w14:textId="77777777" w:rsidR="00EC3A38" w:rsidRPr="0062141A" w:rsidRDefault="00EC3A38" w:rsidP="00EC3A38">
            <w:pPr>
              <w:spacing w:after="0" w:line="240" w:lineRule="auto"/>
              <w:jc w:val="center"/>
              <w:rPr>
                <w:rFonts w:ascii="Arial" w:eastAsia="Times New Roman" w:hAnsi="Arial" w:cs="Arial"/>
                <w:sz w:val="20"/>
                <w:szCs w:val="20"/>
                <w:lang w:eastAsia="fr-FR"/>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8300B" w14:textId="1D6231B6" w:rsidR="00EC3A38" w:rsidRPr="0062141A" w:rsidRDefault="00EC3A38" w:rsidP="00EC3A38">
            <w:pPr>
              <w:spacing w:after="0" w:line="240" w:lineRule="auto"/>
              <w:jc w:val="center"/>
              <w:rPr>
                <w:rFonts w:ascii="Arial" w:eastAsia="Times New Roman" w:hAnsi="Arial" w:cs="Arial"/>
                <w:sz w:val="20"/>
                <w:szCs w:val="20"/>
                <w:lang w:eastAsia="fr-FR"/>
              </w:rPr>
            </w:pPr>
            <w:r>
              <w:rPr>
                <w:rFonts w:ascii="Arial" w:eastAsia="Times New Roman" w:hAnsi="Arial" w:cs="Arial"/>
                <w:b/>
                <w:bCs/>
                <w:sz w:val="20"/>
                <w:szCs w:val="20"/>
                <w:lang w:eastAsia="fr-FR"/>
              </w:rPr>
              <w:t>+</w:t>
            </w:r>
            <w:r w:rsidRPr="0062141A">
              <w:rPr>
                <w:rFonts w:ascii="Arial" w:eastAsia="Times New Roman" w:hAnsi="Arial" w:cs="Arial"/>
                <w:b/>
                <w:bCs/>
                <w:sz w:val="20"/>
                <w:szCs w:val="20"/>
                <w:lang w:eastAsia="fr-FR"/>
              </w:rPr>
              <w:t>8,9%</w:t>
            </w:r>
          </w:p>
        </w:tc>
      </w:tr>
      <w:tr w:rsidR="00EC3A38" w:rsidRPr="0062141A" w14:paraId="635A0C1A" w14:textId="77777777" w:rsidTr="00952D49">
        <w:trPr>
          <w:trHeight w:val="255"/>
        </w:trPr>
        <w:tc>
          <w:tcPr>
            <w:tcW w:w="5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2B65C" w14:textId="2BA772D3" w:rsidR="00EC3A38" w:rsidRPr="0062141A" w:rsidRDefault="00EC3A38" w:rsidP="0062141A">
            <w:pPr>
              <w:spacing w:after="0" w:line="240" w:lineRule="auto"/>
              <w:rPr>
                <w:rFonts w:ascii="Arial" w:eastAsia="Times New Roman" w:hAnsi="Arial" w:cs="Arial"/>
                <w:b/>
                <w:bCs/>
                <w:sz w:val="20"/>
                <w:szCs w:val="20"/>
                <w:lang w:eastAsia="fr-FR"/>
              </w:rPr>
            </w:pPr>
            <w:r w:rsidRPr="0062141A">
              <w:rPr>
                <w:rFonts w:ascii="Arial" w:eastAsia="Times New Roman" w:hAnsi="Arial" w:cs="Arial"/>
                <w:b/>
                <w:bCs/>
                <w:sz w:val="20"/>
                <w:szCs w:val="20"/>
                <w:lang w:eastAsia="fr-FR"/>
              </w:rPr>
              <w:t>Résultat d'exploitation</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AAEE7" w14:textId="53CF33F8" w:rsidR="00EC3A38" w:rsidRPr="0062141A" w:rsidRDefault="00EC3A38" w:rsidP="00EC3A38">
            <w:pPr>
              <w:spacing w:after="0" w:line="240" w:lineRule="auto"/>
              <w:jc w:val="center"/>
              <w:rPr>
                <w:rFonts w:ascii="Arial" w:eastAsia="Times New Roman" w:hAnsi="Arial" w:cs="Arial"/>
                <w:b/>
                <w:bCs/>
                <w:sz w:val="20"/>
                <w:szCs w:val="20"/>
                <w:lang w:eastAsia="fr-FR"/>
              </w:rPr>
            </w:pPr>
            <w:r w:rsidRPr="0062141A">
              <w:rPr>
                <w:rFonts w:ascii="Arial" w:eastAsia="Times New Roman" w:hAnsi="Arial" w:cs="Arial"/>
                <w:b/>
                <w:bCs/>
                <w:sz w:val="20"/>
                <w:szCs w:val="20"/>
                <w:lang w:eastAsia="fr-FR"/>
              </w:rPr>
              <w:t>3 538</w:t>
            </w:r>
          </w:p>
        </w:tc>
        <w:tc>
          <w:tcPr>
            <w:tcW w:w="259" w:type="dxa"/>
            <w:tcBorders>
              <w:top w:val="single" w:sz="4" w:space="0" w:color="auto"/>
              <w:left w:val="nil"/>
              <w:bottom w:val="single" w:sz="4" w:space="0" w:color="auto"/>
              <w:right w:val="nil"/>
            </w:tcBorders>
            <w:shd w:val="clear" w:color="auto" w:fill="auto"/>
            <w:noWrap/>
            <w:vAlign w:val="bottom"/>
            <w:hideMark/>
          </w:tcPr>
          <w:p w14:paraId="6B54B8B2" w14:textId="77777777" w:rsidR="00EC3A38" w:rsidRPr="0062141A" w:rsidRDefault="00EC3A38" w:rsidP="00EC3A38">
            <w:pPr>
              <w:spacing w:after="0" w:line="240" w:lineRule="auto"/>
              <w:jc w:val="center"/>
              <w:rPr>
                <w:rFonts w:ascii="Arial" w:eastAsia="Times New Roman" w:hAnsi="Arial" w:cs="Arial"/>
                <w:b/>
                <w:bCs/>
                <w:sz w:val="20"/>
                <w:szCs w:val="20"/>
                <w:lang w:eastAsia="fr-FR"/>
              </w:rPr>
            </w:pP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6A45" w14:textId="3E06AEC5" w:rsidR="00EC3A38" w:rsidRPr="0062141A" w:rsidRDefault="00EC3A38" w:rsidP="00EC3A38">
            <w:pPr>
              <w:spacing w:after="0" w:line="240" w:lineRule="auto"/>
              <w:jc w:val="center"/>
              <w:rPr>
                <w:rFonts w:ascii="Arial" w:eastAsia="Times New Roman" w:hAnsi="Arial" w:cs="Arial"/>
                <w:b/>
                <w:bCs/>
                <w:sz w:val="20"/>
                <w:szCs w:val="20"/>
                <w:lang w:eastAsia="fr-FR"/>
              </w:rPr>
            </w:pPr>
            <w:r w:rsidRPr="0062141A">
              <w:rPr>
                <w:rFonts w:ascii="Arial" w:eastAsia="Times New Roman" w:hAnsi="Arial" w:cs="Arial"/>
                <w:b/>
                <w:bCs/>
                <w:sz w:val="20"/>
                <w:szCs w:val="20"/>
                <w:lang w:eastAsia="fr-FR"/>
              </w:rPr>
              <w:t>2 402</w:t>
            </w:r>
          </w:p>
        </w:tc>
        <w:tc>
          <w:tcPr>
            <w:tcW w:w="259" w:type="dxa"/>
            <w:tcBorders>
              <w:top w:val="single" w:sz="4" w:space="0" w:color="auto"/>
              <w:left w:val="nil"/>
              <w:bottom w:val="single" w:sz="4" w:space="0" w:color="auto"/>
              <w:right w:val="nil"/>
            </w:tcBorders>
            <w:shd w:val="clear" w:color="auto" w:fill="auto"/>
            <w:noWrap/>
            <w:vAlign w:val="bottom"/>
            <w:hideMark/>
          </w:tcPr>
          <w:p w14:paraId="717F983A" w14:textId="77777777" w:rsidR="00EC3A38" w:rsidRPr="0062141A" w:rsidRDefault="00EC3A38" w:rsidP="00EC3A38">
            <w:pPr>
              <w:spacing w:after="0" w:line="240" w:lineRule="auto"/>
              <w:jc w:val="center"/>
              <w:rPr>
                <w:rFonts w:ascii="Arial" w:eastAsia="Times New Roman" w:hAnsi="Arial" w:cs="Arial"/>
                <w:b/>
                <w:bCs/>
                <w:sz w:val="20"/>
                <w:szCs w:val="20"/>
                <w:lang w:eastAsia="fr-FR"/>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FEDFE" w14:textId="5B19E144" w:rsidR="00EC3A38" w:rsidRPr="0062141A" w:rsidRDefault="00EC3A38" w:rsidP="00EC3A38">
            <w:pPr>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w:t>
            </w:r>
            <w:r w:rsidRPr="0062141A">
              <w:rPr>
                <w:rFonts w:ascii="Arial" w:eastAsia="Times New Roman" w:hAnsi="Arial" w:cs="Arial"/>
                <w:b/>
                <w:bCs/>
                <w:sz w:val="20"/>
                <w:szCs w:val="20"/>
                <w:lang w:eastAsia="fr-FR"/>
              </w:rPr>
              <w:t>47,3%</w:t>
            </w:r>
          </w:p>
        </w:tc>
      </w:tr>
      <w:tr w:rsidR="00EC3A38" w:rsidRPr="0062141A" w14:paraId="2A21708F" w14:textId="77777777" w:rsidTr="00952D49">
        <w:trPr>
          <w:trHeight w:val="255"/>
        </w:trPr>
        <w:tc>
          <w:tcPr>
            <w:tcW w:w="5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F31B1" w14:textId="031982BB" w:rsidR="00EC3A38" w:rsidRPr="0062141A" w:rsidRDefault="00EC3A38" w:rsidP="0062141A">
            <w:pPr>
              <w:spacing w:after="0" w:line="240" w:lineRule="auto"/>
              <w:rPr>
                <w:rFonts w:ascii="Arial" w:eastAsia="Times New Roman" w:hAnsi="Arial" w:cs="Arial"/>
                <w:b/>
                <w:bCs/>
                <w:sz w:val="20"/>
                <w:szCs w:val="20"/>
                <w:lang w:eastAsia="fr-FR"/>
              </w:rPr>
            </w:pPr>
            <w:r w:rsidRPr="0062141A">
              <w:rPr>
                <w:rFonts w:ascii="Arial" w:eastAsia="Times New Roman" w:hAnsi="Arial" w:cs="Arial"/>
                <w:b/>
                <w:bCs/>
                <w:sz w:val="20"/>
                <w:szCs w:val="20"/>
                <w:lang w:eastAsia="fr-FR"/>
              </w:rPr>
              <w:t>Résultat net</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20A85" w14:textId="2BC7008D" w:rsidR="00EC3A38" w:rsidRPr="0062141A" w:rsidRDefault="00EC3A38" w:rsidP="00EC3A38">
            <w:pPr>
              <w:spacing w:after="0" w:line="240" w:lineRule="auto"/>
              <w:jc w:val="center"/>
              <w:rPr>
                <w:rFonts w:ascii="Arial" w:eastAsia="Times New Roman" w:hAnsi="Arial" w:cs="Arial"/>
                <w:b/>
                <w:bCs/>
                <w:sz w:val="20"/>
                <w:szCs w:val="20"/>
                <w:lang w:eastAsia="fr-FR"/>
              </w:rPr>
            </w:pPr>
            <w:r w:rsidRPr="0062141A">
              <w:rPr>
                <w:rFonts w:ascii="Arial" w:eastAsia="Times New Roman" w:hAnsi="Arial" w:cs="Arial"/>
                <w:b/>
                <w:bCs/>
                <w:sz w:val="20"/>
                <w:szCs w:val="20"/>
                <w:lang w:eastAsia="fr-FR"/>
              </w:rPr>
              <w:t>3 095</w:t>
            </w:r>
          </w:p>
        </w:tc>
        <w:tc>
          <w:tcPr>
            <w:tcW w:w="259" w:type="dxa"/>
            <w:tcBorders>
              <w:top w:val="single" w:sz="4" w:space="0" w:color="auto"/>
              <w:left w:val="nil"/>
              <w:bottom w:val="single" w:sz="4" w:space="0" w:color="auto"/>
              <w:right w:val="nil"/>
            </w:tcBorders>
            <w:shd w:val="clear" w:color="auto" w:fill="auto"/>
            <w:noWrap/>
            <w:vAlign w:val="bottom"/>
            <w:hideMark/>
          </w:tcPr>
          <w:p w14:paraId="120A8B80" w14:textId="77777777" w:rsidR="00EC3A38" w:rsidRPr="0062141A" w:rsidRDefault="00EC3A38" w:rsidP="00EC3A38">
            <w:pPr>
              <w:spacing w:after="0" w:line="240" w:lineRule="auto"/>
              <w:jc w:val="center"/>
              <w:rPr>
                <w:rFonts w:ascii="Arial" w:eastAsia="Times New Roman" w:hAnsi="Arial" w:cs="Arial"/>
                <w:b/>
                <w:bCs/>
                <w:sz w:val="20"/>
                <w:szCs w:val="20"/>
                <w:lang w:eastAsia="fr-FR"/>
              </w:rPr>
            </w:pP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78A7" w14:textId="55D77DB6" w:rsidR="00EC3A38" w:rsidRPr="0062141A" w:rsidRDefault="00EC3A38" w:rsidP="00EC3A38">
            <w:pPr>
              <w:spacing w:after="0" w:line="240" w:lineRule="auto"/>
              <w:jc w:val="center"/>
              <w:rPr>
                <w:rFonts w:ascii="Arial" w:eastAsia="Times New Roman" w:hAnsi="Arial" w:cs="Arial"/>
                <w:b/>
                <w:bCs/>
                <w:sz w:val="20"/>
                <w:szCs w:val="20"/>
                <w:lang w:eastAsia="fr-FR"/>
              </w:rPr>
            </w:pPr>
            <w:r w:rsidRPr="0062141A">
              <w:rPr>
                <w:rFonts w:ascii="Arial" w:eastAsia="Times New Roman" w:hAnsi="Arial" w:cs="Arial"/>
                <w:b/>
                <w:bCs/>
                <w:sz w:val="20"/>
                <w:szCs w:val="20"/>
                <w:lang w:eastAsia="fr-FR"/>
              </w:rPr>
              <w:t>1 2</w:t>
            </w:r>
            <w:r w:rsidR="00EB27B5">
              <w:rPr>
                <w:rFonts w:ascii="Arial" w:eastAsia="Times New Roman" w:hAnsi="Arial" w:cs="Arial"/>
                <w:b/>
                <w:bCs/>
                <w:sz w:val="20"/>
                <w:szCs w:val="20"/>
                <w:lang w:eastAsia="fr-FR"/>
              </w:rPr>
              <w:t>47</w:t>
            </w:r>
          </w:p>
        </w:tc>
        <w:tc>
          <w:tcPr>
            <w:tcW w:w="259" w:type="dxa"/>
            <w:tcBorders>
              <w:top w:val="single" w:sz="4" w:space="0" w:color="auto"/>
              <w:left w:val="nil"/>
              <w:bottom w:val="single" w:sz="4" w:space="0" w:color="auto"/>
              <w:right w:val="nil"/>
            </w:tcBorders>
            <w:shd w:val="clear" w:color="auto" w:fill="auto"/>
            <w:noWrap/>
            <w:vAlign w:val="bottom"/>
            <w:hideMark/>
          </w:tcPr>
          <w:p w14:paraId="5C9F7FA0" w14:textId="77777777" w:rsidR="00EC3A38" w:rsidRPr="0062141A" w:rsidRDefault="00EC3A38" w:rsidP="00EC3A38">
            <w:pPr>
              <w:spacing w:after="0" w:line="240" w:lineRule="auto"/>
              <w:jc w:val="center"/>
              <w:rPr>
                <w:rFonts w:ascii="Arial" w:eastAsia="Times New Roman" w:hAnsi="Arial" w:cs="Arial"/>
                <w:b/>
                <w:bCs/>
                <w:sz w:val="20"/>
                <w:szCs w:val="20"/>
                <w:lang w:eastAsia="fr-FR"/>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FF89C" w14:textId="124401D8" w:rsidR="00EC3A38" w:rsidRPr="0062141A" w:rsidRDefault="00EC3A38" w:rsidP="00EC3A38">
            <w:pPr>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w:t>
            </w:r>
            <w:r w:rsidRPr="0062141A">
              <w:rPr>
                <w:rFonts w:ascii="Arial" w:eastAsia="Times New Roman" w:hAnsi="Arial" w:cs="Arial"/>
                <w:b/>
                <w:bCs/>
                <w:sz w:val="20"/>
                <w:szCs w:val="20"/>
                <w:lang w:eastAsia="fr-FR"/>
              </w:rPr>
              <w:t>14</w:t>
            </w:r>
            <w:r w:rsidR="00EB27B5">
              <w:rPr>
                <w:rFonts w:ascii="Arial" w:eastAsia="Times New Roman" w:hAnsi="Arial" w:cs="Arial"/>
                <w:b/>
                <w:bCs/>
                <w:sz w:val="20"/>
                <w:szCs w:val="20"/>
                <w:lang w:eastAsia="fr-FR"/>
              </w:rPr>
              <w:t>8</w:t>
            </w:r>
            <w:r w:rsidRPr="0062141A">
              <w:rPr>
                <w:rFonts w:ascii="Arial" w:eastAsia="Times New Roman" w:hAnsi="Arial" w:cs="Arial"/>
                <w:b/>
                <w:bCs/>
                <w:sz w:val="20"/>
                <w:szCs w:val="20"/>
                <w:lang w:eastAsia="fr-FR"/>
              </w:rPr>
              <w:t>,</w:t>
            </w:r>
            <w:r w:rsidR="00EB27B5">
              <w:rPr>
                <w:rFonts w:ascii="Arial" w:eastAsia="Times New Roman" w:hAnsi="Arial" w:cs="Arial"/>
                <w:b/>
                <w:bCs/>
                <w:sz w:val="20"/>
                <w:szCs w:val="20"/>
                <w:lang w:eastAsia="fr-FR"/>
              </w:rPr>
              <w:t>2</w:t>
            </w:r>
            <w:r w:rsidRPr="0062141A">
              <w:rPr>
                <w:rFonts w:ascii="Arial" w:eastAsia="Times New Roman" w:hAnsi="Arial" w:cs="Arial"/>
                <w:b/>
                <w:bCs/>
                <w:sz w:val="20"/>
                <w:szCs w:val="20"/>
                <w:lang w:eastAsia="fr-FR"/>
              </w:rPr>
              <w:t>%</w:t>
            </w:r>
          </w:p>
        </w:tc>
      </w:tr>
    </w:tbl>
    <w:p w14:paraId="18846FB1" w14:textId="4DEEF0AF" w:rsidR="005A7FF9" w:rsidRDefault="005A7FF9" w:rsidP="00802A7D">
      <w:pPr>
        <w:spacing w:after="120"/>
        <w:jc w:val="center"/>
        <w:outlineLvl w:val="0"/>
        <w:rPr>
          <w:rFonts w:cs="Calibri"/>
          <w:highlight w:val="yellow"/>
        </w:rPr>
      </w:pPr>
    </w:p>
    <w:p w14:paraId="2A9EBD80" w14:textId="77777777" w:rsidR="00A548CE" w:rsidRPr="005F59C9" w:rsidRDefault="00A548CE" w:rsidP="00010985">
      <w:pPr>
        <w:spacing w:after="120"/>
        <w:jc w:val="both"/>
        <w:outlineLvl w:val="0"/>
        <w:rPr>
          <w:rFonts w:cs="Calibri"/>
          <w:highlight w:val="yellow"/>
        </w:rPr>
      </w:pPr>
    </w:p>
    <w:p w14:paraId="460FDD83" w14:textId="77777777" w:rsidR="00952D49" w:rsidRDefault="00952D49" w:rsidP="004A4AF5">
      <w:pPr>
        <w:spacing w:after="120"/>
        <w:jc w:val="both"/>
        <w:outlineLvl w:val="0"/>
        <w:rPr>
          <w:rFonts w:cs="Calibri"/>
        </w:rPr>
      </w:pPr>
    </w:p>
    <w:p w14:paraId="59F76AA3" w14:textId="24B62106" w:rsidR="00782B28" w:rsidRPr="005B74F5" w:rsidRDefault="001C3C93" w:rsidP="004A4AF5">
      <w:pPr>
        <w:spacing w:after="120"/>
        <w:jc w:val="both"/>
        <w:outlineLvl w:val="0"/>
        <w:rPr>
          <w:rFonts w:cs="Calibri"/>
          <w:lang w:eastAsia="fr-FR"/>
        </w:rPr>
      </w:pPr>
      <w:r w:rsidRPr="00565045">
        <w:rPr>
          <w:rFonts w:cs="Calibri"/>
        </w:rPr>
        <w:t>Aymeric Le Cottier, Président d</w:t>
      </w:r>
      <w:r w:rsidR="00D12722" w:rsidRPr="00565045">
        <w:rPr>
          <w:rFonts w:cs="Calibri"/>
        </w:rPr>
        <w:t>u Directoire de Lexibook a commenté : « </w:t>
      </w:r>
      <w:r w:rsidR="000718FB" w:rsidRPr="00565045">
        <w:rPr>
          <w:rFonts w:cs="Calibri"/>
        </w:rPr>
        <w:t xml:space="preserve">Nous sommes très satisfaits de la performance de Lexibook sur </w:t>
      </w:r>
      <w:r w:rsidR="000D4D74" w:rsidRPr="00565045">
        <w:rPr>
          <w:rFonts w:cs="Calibri"/>
        </w:rPr>
        <w:t>son</w:t>
      </w:r>
      <w:r w:rsidR="000718FB" w:rsidRPr="00565045">
        <w:rPr>
          <w:rFonts w:cs="Calibri"/>
        </w:rPr>
        <w:t xml:space="preserve"> premier semestre</w:t>
      </w:r>
      <w:r w:rsidR="000D4D74" w:rsidRPr="00565045">
        <w:rPr>
          <w:rFonts w:cs="Calibri"/>
        </w:rPr>
        <w:t xml:space="preserve"> fiscal</w:t>
      </w:r>
      <w:r w:rsidR="00795A10" w:rsidRPr="00565045">
        <w:rPr>
          <w:rFonts w:cs="Calibri"/>
        </w:rPr>
        <w:t>.</w:t>
      </w:r>
      <w:r w:rsidR="000718FB" w:rsidRPr="00565045">
        <w:rPr>
          <w:rFonts w:cs="Calibri"/>
        </w:rPr>
        <w:t xml:space="preserve"> </w:t>
      </w:r>
      <w:r w:rsidR="00574C10">
        <w:rPr>
          <w:rFonts w:cs="Calibri"/>
        </w:rPr>
        <w:t xml:space="preserve">La dynamique </w:t>
      </w:r>
      <w:r w:rsidR="00B55901">
        <w:rPr>
          <w:rFonts w:cs="Calibri"/>
        </w:rPr>
        <w:t xml:space="preserve">de croissance </w:t>
      </w:r>
      <w:r w:rsidR="00D57E89">
        <w:rPr>
          <w:rFonts w:cs="Calibri"/>
        </w:rPr>
        <w:t>du Groupe reste en place et le courant porteur ne faiblit pas</w:t>
      </w:r>
      <w:r w:rsidR="000D4D74" w:rsidRPr="00565045">
        <w:rPr>
          <w:rFonts w:cs="Calibri"/>
        </w:rPr>
        <w:t xml:space="preserve">. </w:t>
      </w:r>
      <w:r w:rsidR="00D57E89">
        <w:rPr>
          <w:rFonts w:cs="Calibri"/>
        </w:rPr>
        <w:t>La digitalisation</w:t>
      </w:r>
      <w:r w:rsidR="000D4D74" w:rsidRPr="00565045">
        <w:rPr>
          <w:rFonts w:cs="Calibri"/>
        </w:rPr>
        <w:t xml:space="preserve"> nous permet de développer le CA </w:t>
      </w:r>
      <w:r w:rsidR="00F7247F">
        <w:rPr>
          <w:rFonts w:cs="Calibri"/>
        </w:rPr>
        <w:t>sur les produits les plus rentables</w:t>
      </w:r>
      <w:r w:rsidR="00B116DC">
        <w:rPr>
          <w:rFonts w:cs="Calibri"/>
        </w:rPr>
        <w:t xml:space="preserve"> en maintenant </w:t>
      </w:r>
      <w:r w:rsidR="00B57281">
        <w:rPr>
          <w:rFonts w:cs="Calibri"/>
        </w:rPr>
        <w:t>les</w:t>
      </w:r>
      <w:r w:rsidR="00B116DC">
        <w:rPr>
          <w:rFonts w:cs="Calibri"/>
        </w:rPr>
        <w:t xml:space="preserve"> charges fixes </w:t>
      </w:r>
      <w:r w:rsidR="00B57281">
        <w:rPr>
          <w:rFonts w:cs="Calibri"/>
        </w:rPr>
        <w:t>à</w:t>
      </w:r>
      <w:r w:rsidR="000D4D74" w:rsidRPr="00565045">
        <w:rPr>
          <w:rFonts w:cs="Calibri"/>
        </w:rPr>
        <w:t xml:space="preserve"> un niveau </w:t>
      </w:r>
      <w:r w:rsidR="002B70FA">
        <w:rPr>
          <w:rFonts w:cs="Calibri"/>
        </w:rPr>
        <w:t>réduit. Ceci se retrouve logiquement sur l</w:t>
      </w:r>
      <w:r w:rsidR="000718FB" w:rsidRPr="00565045">
        <w:rPr>
          <w:rFonts w:cs="Calibri"/>
        </w:rPr>
        <w:t xml:space="preserve">e résultat d’exploitation </w:t>
      </w:r>
      <w:r w:rsidR="00AB1E42">
        <w:rPr>
          <w:rFonts w:cs="Calibri"/>
        </w:rPr>
        <w:t>et le résultat net</w:t>
      </w:r>
      <w:r w:rsidR="00FB7C24">
        <w:rPr>
          <w:rFonts w:cs="Calibri"/>
        </w:rPr>
        <w:t xml:space="preserve"> qui progre</w:t>
      </w:r>
      <w:r w:rsidR="003C5D46">
        <w:rPr>
          <w:rFonts w:cs="Calibri"/>
        </w:rPr>
        <w:t>ssent de concert</w:t>
      </w:r>
      <w:r w:rsidR="000D4D74" w:rsidRPr="00565045">
        <w:rPr>
          <w:rFonts w:cs="Calibri"/>
        </w:rPr>
        <w:t xml:space="preserve">. </w:t>
      </w:r>
      <w:r w:rsidR="005B74F5" w:rsidRPr="00565045">
        <w:rPr>
          <w:rFonts w:cs="Calibri"/>
        </w:rPr>
        <w:t>Je suis</w:t>
      </w:r>
      <w:r w:rsidR="00795A10" w:rsidRPr="00565045">
        <w:rPr>
          <w:rFonts w:cs="Calibri"/>
        </w:rPr>
        <w:t xml:space="preserve"> </w:t>
      </w:r>
      <w:r w:rsidR="005B74F5" w:rsidRPr="00565045">
        <w:rPr>
          <w:rFonts w:cs="Calibri"/>
        </w:rPr>
        <w:t xml:space="preserve">donc </w:t>
      </w:r>
      <w:r w:rsidR="00795A10" w:rsidRPr="00565045">
        <w:rPr>
          <w:rFonts w:cs="Calibri"/>
        </w:rPr>
        <w:t xml:space="preserve">très confiant </w:t>
      </w:r>
      <w:r w:rsidR="003C5D46">
        <w:rPr>
          <w:rFonts w:cs="Calibri"/>
        </w:rPr>
        <w:t xml:space="preserve">tant </w:t>
      </w:r>
      <w:r w:rsidR="00C44F0B">
        <w:rPr>
          <w:rFonts w:cs="Calibri"/>
        </w:rPr>
        <w:t>sur le niveau d</w:t>
      </w:r>
      <w:r w:rsidR="00565045">
        <w:rPr>
          <w:rFonts w:cs="Calibri"/>
        </w:rPr>
        <w:t xml:space="preserve">’activité </w:t>
      </w:r>
      <w:r w:rsidR="003C5D46">
        <w:rPr>
          <w:rFonts w:cs="Calibri"/>
        </w:rPr>
        <w:t>que</w:t>
      </w:r>
      <w:r w:rsidR="00B55901">
        <w:rPr>
          <w:rFonts w:cs="Calibri"/>
        </w:rPr>
        <w:t xml:space="preserve"> sur la croissance de la rentabilité sur l’exercice</w:t>
      </w:r>
      <w:r w:rsidR="00565045">
        <w:rPr>
          <w:rFonts w:cs="Calibri"/>
        </w:rPr>
        <w:t> </w:t>
      </w:r>
      <w:r w:rsidR="003C5D46">
        <w:rPr>
          <w:rFonts w:cs="Calibri"/>
        </w:rPr>
        <w:t>2023-</w:t>
      </w:r>
      <w:r w:rsidR="00D12C7E">
        <w:rPr>
          <w:rFonts w:cs="Calibri"/>
        </w:rPr>
        <w:t>24. »</w:t>
      </w:r>
    </w:p>
    <w:p w14:paraId="673CBAFE" w14:textId="77777777" w:rsidR="001F687F" w:rsidRDefault="001F687F" w:rsidP="00782B28">
      <w:pPr>
        <w:spacing w:after="120"/>
        <w:jc w:val="both"/>
        <w:outlineLvl w:val="0"/>
        <w:rPr>
          <w:rFonts w:cs="Calibri"/>
        </w:rPr>
      </w:pPr>
    </w:p>
    <w:p w14:paraId="79904352" w14:textId="77777777" w:rsidR="00D12C7E" w:rsidRPr="000A640A" w:rsidRDefault="00D12C7E" w:rsidP="00782B28">
      <w:pPr>
        <w:spacing w:after="120"/>
        <w:jc w:val="both"/>
        <w:outlineLvl w:val="0"/>
        <w:rPr>
          <w:rFonts w:cs="Calibri"/>
        </w:rPr>
      </w:pPr>
    </w:p>
    <w:p w14:paraId="1FDE8242" w14:textId="77777777" w:rsidR="00BA4C7C" w:rsidRDefault="00D12722" w:rsidP="00BC38A4">
      <w:pPr>
        <w:autoSpaceDE w:val="0"/>
        <w:autoSpaceDN w:val="0"/>
        <w:adjustRightInd w:val="0"/>
        <w:spacing w:after="360" w:line="240" w:lineRule="atLeast"/>
        <w:jc w:val="both"/>
        <w:rPr>
          <w:rFonts w:cs="Calibri"/>
          <w:b/>
          <w:sz w:val="24"/>
          <w:szCs w:val="24"/>
        </w:rPr>
      </w:pPr>
      <w:r w:rsidRPr="000A640A">
        <w:rPr>
          <w:rFonts w:cs="Calibri"/>
          <w:b/>
          <w:sz w:val="24"/>
          <w:szCs w:val="24"/>
        </w:rPr>
        <w:t>L</w:t>
      </w:r>
      <w:r w:rsidR="007F4864" w:rsidRPr="000A640A">
        <w:rPr>
          <w:rFonts w:cs="Calibri"/>
          <w:b/>
          <w:sz w:val="24"/>
          <w:szCs w:val="24"/>
        </w:rPr>
        <w:t>es chiffres clés</w:t>
      </w:r>
    </w:p>
    <w:p w14:paraId="38C3A44F" w14:textId="77777777" w:rsidR="00D12C7E" w:rsidRPr="000A640A" w:rsidRDefault="00D12C7E" w:rsidP="00BC38A4">
      <w:pPr>
        <w:autoSpaceDE w:val="0"/>
        <w:autoSpaceDN w:val="0"/>
        <w:adjustRightInd w:val="0"/>
        <w:spacing w:after="360" w:line="240" w:lineRule="atLeast"/>
        <w:jc w:val="both"/>
        <w:rPr>
          <w:rFonts w:cs="Calibri"/>
          <w:b/>
          <w:sz w:val="24"/>
          <w:szCs w:val="24"/>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453"/>
        <w:gridCol w:w="1504"/>
        <w:gridCol w:w="1504"/>
      </w:tblGrid>
      <w:tr w:rsidR="008E2493" w:rsidRPr="000A640A" w14:paraId="2AF19642" w14:textId="77777777" w:rsidTr="00103394">
        <w:trPr>
          <w:jc w:val="center"/>
        </w:trPr>
        <w:tc>
          <w:tcPr>
            <w:tcW w:w="4957" w:type="dxa"/>
            <w:shd w:val="clear" w:color="auto" w:fill="auto"/>
          </w:tcPr>
          <w:p w14:paraId="3637EB9A" w14:textId="77777777" w:rsidR="008E2493" w:rsidRPr="000A640A" w:rsidRDefault="008E2493" w:rsidP="005B6F08">
            <w:pPr>
              <w:rPr>
                <w:rFonts w:cs="Calibri"/>
                <w:i/>
              </w:rPr>
            </w:pPr>
            <w:r w:rsidRPr="000A640A">
              <w:rPr>
                <w:rFonts w:cs="Calibri"/>
                <w:i/>
              </w:rPr>
              <w:t>En k euros</w:t>
            </w:r>
          </w:p>
        </w:tc>
        <w:tc>
          <w:tcPr>
            <w:tcW w:w="1453" w:type="dxa"/>
            <w:shd w:val="clear" w:color="auto" w:fill="auto"/>
          </w:tcPr>
          <w:p w14:paraId="1A5653AE" w14:textId="741FCF10" w:rsidR="008E2493" w:rsidRPr="000A640A" w:rsidRDefault="008E2493" w:rsidP="005B6F08">
            <w:pPr>
              <w:jc w:val="right"/>
              <w:rPr>
                <w:rFonts w:cs="Calibri"/>
                <w:b/>
              </w:rPr>
            </w:pPr>
            <w:r w:rsidRPr="000A640A">
              <w:rPr>
                <w:rFonts w:cs="Calibri"/>
                <w:b/>
              </w:rPr>
              <w:t>S1 202</w:t>
            </w:r>
            <w:r>
              <w:rPr>
                <w:rFonts w:cs="Calibri"/>
                <w:b/>
              </w:rPr>
              <w:t>3</w:t>
            </w:r>
            <w:r w:rsidRPr="000A640A">
              <w:rPr>
                <w:rFonts w:cs="Calibri"/>
                <w:b/>
              </w:rPr>
              <w:t>/2</w:t>
            </w:r>
            <w:r>
              <w:rPr>
                <w:rFonts w:cs="Calibri"/>
                <w:b/>
              </w:rPr>
              <w:t>4</w:t>
            </w:r>
          </w:p>
        </w:tc>
        <w:tc>
          <w:tcPr>
            <w:tcW w:w="1504" w:type="dxa"/>
          </w:tcPr>
          <w:p w14:paraId="19FF5F77" w14:textId="49BEB88E" w:rsidR="008E2493" w:rsidRPr="000A640A" w:rsidRDefault="008E2493" w:rsidP="005B6F08">
            <w:pPr>
              <w:jc w:val="right"/>
              <w:rPr>
                <w:rFonts w:cs="Calibri"/>
                <w:b/>
              </w:rPr>
            </w:pPr>
            <w:r w:rsidRPr="000A640A">
              <w:rPr>
                <w:rFonts w:cs="Calibri"/>
                <w:b/>
              </w:rPr>
              <w:t>S1 202</w:t>
            </w:r>
            <w:r>
              <w:rPr>
                <w:rFonts w:cs="Calibri"/>
                <w:b/>
              </w:rPr>
              <w:t>2</w:t>
            </w:r>
            <w:r w:rsidRPr="000A640A">
              <w:rPr>
                <w:rFonts w:cs="Calibri"/>
                <w:b/>
              </w:rPr>
              <w:t>/2</w:t>
            </w:r>
            <w:r>
              <w:rPr>
                <w:rFonts w:cs="Calibri"/>
                <w:b/>
              </w:rPr>
              <w:t>3</w:t>
            </w:r>
          </w:p>
        </w:tc>
        <w:tc>
          <w:tcPr>
            <w:tcW w:w="1504" w:type="dxa"/>
          </w:tcPr>
          <w:p w14:paraId="128C49A2" w14:textId="77777777" w:rsidR="008E2493" w:rsidRPr="000A640A" w:rsidRDefault="008E2493" w:rsidP="005B6F08">
            <w:pPr>
              <w:jc w:val="center"/>
              <w:rPr>
                <w:rFonts w:cs="Calibri"/>
                <w:b/>
              </w:rPr>
            </w:pPr>
            <w:r w:rsidRPr="000A640A">
              <w:rPr>
                <w:rFonts w:cs="Calibri"/>
                <w:b/>
              </w:rPr>
              <w:t>Variation</w:t>
            </w:r>
            <w:r w:rsidRPr="000A640A">
              <w:rPr>
                <w:rFonts w:cs="Calibri"/>
                <w:b/>
              </w:rPr>
              <w:br/>
              <w:t xml:space="preserve"> en %</w:t>
            </w:r>
          </w:p>
        </w:tc>
      </w:tr>
      <w:tr w:rsidR="00655BE3" w:rsidRPr="000A640A" w14:paraId="61C47F24" w14:textId="77777777" w:rsidTr="00103394">
        <w:trPr>
          <w:jc w:val="center"/>
        </w:trPr>
        <w:tc>
          <w:tcPr>
            <w:tcW w:w="4957" w:type="dxa"/>
            <w:shd w:val="clear" w:color="auto" w:fill="auto"/>
          </w:tcPr>
          <w:p w14:paraId="111E239E" w14:textId="77777777" w:rsidR="00655BE3" w:rsidRPr="000A640A" w:rsidRDefault="00655BE3" w:rsidP="00655BE3">
            <w:pPr>
              <w:jc w:val="both"/>
              <w:rPr>
                <w:rFonts w:cs="Calibri"/>
              </w:rPr>
            </w:pPr>
            <w:r w:rsidRPr="000A640A">
              <w:rPr>
                <w:rFonts w:cs="Calibri"/>
              </w:rPr>
              <w:t>Chiffre d’affaires</w:t>
            </w:r>
          </w:p>
        </w:tc>
        <w:tc>
          <w:tcPr>
            <w:tcW w:w="1453" w:type="dxa"/>
            <w:shd w:val="clear" w:color="auto" w:fill="auto"/>
            <w:vAlign w:val="center"/>
          </w:tcPr>
          <w:p w14:paraId="4C491C5F" w14:textId="5AE490A0" w:rsidR="00655BE3" w:rsidRPr="000A640A" w:rsidRDefault="00655BE3" w:rsidP="000B2C2D">
            <w:pPr>
              <w:jc w:val="center"/>
              <w:rPr>
                <w:rFonts w:cs="Calibri"/>
              </w:rPr>
            </w:pPr>
            <w:r>
              <w:rPr>
                <w:rFonts w:cs="Calibri"/>
                <w:color w:val="000000"/>
              </w:rPr>
              <w:t>22 18</w:t>
            </w:r>
            <w:r w:rsidR="008F7A90">
              <w:rPr>
                <w:rFonts w:cs="Calibri"/>
                <w:color w:val="000000"/>
              </w:rPr>
              <w:t>8</w:t>
            </w:r>
          </w:p>
        </w:tc>
        <w:tc>
          <w:tcPr>
            <w:tcW w:w="1504" w:type="dxa"/>
          </w:tcPr>
          <w:p w14:paraId="5190EF6D" w14:textId="34BB0950" w:rsidR="00655BE3" w:rsidRPr="000A640A" w:rsidRDefault="00655BE3" w:rsidP="000B2C2D">
            <w:pPr>
              <w:jc w:val="center"/>
              <w:rPr>
                <w:rFonts w:cs="Calibri"/>
              </w:rPr>
            </w:pPr>
            <w:r>
              <w:rPr>
                <w:rFonts w:cs="Calibri"/>
              </w:rPr>
              <w:t>20 382</w:t>
            </w:r>
          </w:p>
        </w:tc>
        <w:tc>
          <w:tcPr>
            <w:tcW w:w="1504" w:type="dxa"/>
            <w:vAlign w:val="center"/>
          </w:tcPr>
          <w:p w14:paraId="3A797D30" w14:textId="3AB11B96" w:rsidR="00655BE3" w:rsidRPr="000A640A" w:rsidRDefault="00655BE3" w:rsidP="000B2C2D">
            <w:pPr>
              <w:jc w:val="center"/>
              <w:rPr>
                <w:rFonts w:cs="Calibri"/>
              </w:rPr>
            </w:pPr>
            <w:r>
              <w:rPr>
                <w:rFonts w:cs="Calibri"/>
                <w:color w:val="000000"/>
              </w:rPr>
              <w:t>8,9%</w:t>
            </w:r>
          </w:p>
        </w:tc>
      </w:tr>
      <w:tr w:rsidR="00655BE3" w:rsidRPr="000A640A" w14:paraId="36CDA42B" w14:textId="77777777" w:rsidTr="00103394">
        <w:trPr>
          <w:jc w:val="center"/>
        </w:trPr>
        <w:tc>
          <w:tcPr>
            <w:tcW w:w="4957" w:type="dxa"/>
            <w:shd w:val="clear" w:color="auto" w:fill="auto"/>
          </w:tcPr>
          <w:p w14:paraId="4A4E66B6" w14:textId="77777777" w:rsidR="00655BE3" w:rsidRPr="000A640A" w:rsidRDefault="00655BE3" w:rsidP="00655BE3">
            <w:pPr>
              <w:jc w:val="both"/>
              <w:rPr>
                <w:rFonts w:cs="Calibri"/>
              </w:rPr>
            </w:pPr>
            <w:r w:rsidRPr="000A640A">
              <w:rPr>
                <w:rFonts w:cs="Calibri"/>
                <w:bCs/>
              </w:rPr>
              <w:t>Marge brute*</w:t>
            </w:r>
          </w:p>
        </w:tc>
        <w:tc>
          <w:tcPr>
            <w:tcW w:w="1453" w:type="dxa"/>
            <w:shd w:val="clear" w:color="auto" w:fill="auto"/>
            <w:vAlign w:val="center"/>
          </w:tcPr>
          <w:p w14:paraId="3CC73DC4" w14:textId="6D8A05F7" w:rsidR="00655BE3" w:rsidRPr="000A640A" w:rsidRDefault="00655BE3" w:rsidP="000B2C2D">
            <w:pPr>
              <w:jc w:val="center"/>
              <w:rPr>
                <w:rFonts w:cs="Calibri"/>
              </w:rPr>
            </w:pPr>
            <w:r>
              <w:rPr>
                <w:rFonts w:cs="Calibri"/>
                <w:color w:val="000000"/>
              </w:rPr>
              <w:t>12 839</w:t>
            </w:r>
          </w:p>
        </w:tc>
        <w:tc>
          <w:tcPr>
            <w:tcW w:w="1504" w:type="dxa"/>
          </w:tcPr>
          <w:p w14:paraId="05B7FBA0" w14:textId="066100DB" w:rsidR="00655BE3" w:rsidRPr="000A640A" w:rsidRDefault="00655BE3" w:rsidP="000B2C2D">
            <w:pPr>
              <w:jc w:val="center"/>
              <w:rPr>
                <w:rFonts w:cs="Calibri"/>
              </w:rPr>
            </w:pPr>
            <w:r>
              <w:rPr>
                <w:rFonts w:cs="Calibri"/>
              </w:rPr>
              <w:t>10 640</w:t>
            </w:r>
          </w:p>
        </w:tc>
        <w:tc>
          <w:tcPr>
            <w:tcW w:w="1504" w:type="dxa"/>
            <w:vAlign w:val="center"/>
          </w:tcPr>
          <w:p w14:paraId="11F9CA2C" w14:textId="31E85418" w:rsidR="00655BE3" w:rsidRPr="000A640A" w:rsidRDefault="00655BE3" w:rsidP="000B2C2D">
            <w:pPr>
              <w:jc w:val="center"/>
              <w:rPr>
                <w:rFonts w:cs="Calibri"/>
              </w:rPr>
            </w:pPr>
            <w:r>
              <w:rPr>
                <w:rFonts w:cs="Calibri"/>
                <w:color w:val="000000"/>
              </w:rPr>
              <w:t>20,7%</w:t>
            </w:r>
          </w:p>
        </w:tc>
      </w:tr>
      <w:tr w:rsidR="00655BE3" w:rsidRPr="000A640A" w14:paraId="6FD3CAEC" w14:textId="77777777" w:rsidTr="00103394">
        <w:trPr>
          <w:jc w:val="center"/>
        </w:trPr>
        <w:tc>
          <w:tcPr>
            <w:tcW w:w="4957" w:type="dxa"/>
            <w:shd w:val="clear" w:color="auto" w:fill="auto"/>
          </w:tcPr>
          <w:p w14:paraId="0A1FE994" w14:textId="77777777" w:rsidR="00655BE3" w:rsidRPr="000A640A" w:rsidRDefault="00655BE3" w:rsidP="00655BE3">
            <w:pPr>
              <w:jc w:val="both"/>
              <w:rPr>
                <w:rFonts w:cs="Calibri"/>
                <w:bCs/>
                <w:i/>
              </w:rPr>
            </w:pPr>
            <w:r w:rsidRPr="000A640A">
              <w:rPr>
                <w:rFonts w:cs="Calibri"/>
                <w:bCs/>
                <w:i/>
              </w:rPr>
              <w:t>Marge brute en % du chiffre d’affaires</w:t>
            </w:r>
          </w:p>
        </w:tc>
        <w:tc>
          <w:tcPr>
            <w:tcW w:w="1453" w:type="dxa"/>
            <w:shd w:val="clear" w:color="auto" w:fill="auto"/>
            <w:vAlign w:val="center"/>
          </w:tcPr>
          <w:p w14:paraId="05509215" w14:textId="0A444D81" w:rsidR="00655BE3" w:rsidRPr="000A640A" w:rsidRDefault="00655BE3" w:rsidP="000B2C2D">
            <w:pPr>
              <w:jc w:val="center"/>
              <w:rPr>
                <w:rFonts w:cs="Calibri"/>
              </w:rPr>
            </w:pPr>
            <w:r>
              <w:rPr>
                <w:rFonts w:cs="Calibri"/>
                <w:color w:val="000000"/>
              </w:rPr>
              <w:t>57,90%</w:t>
            </w:r>
          </w:p>
        </w:tc>
        <w:tc>
          <w:tcPr>
            <w:tcW w:w="1504" w:type="dxa"/>
          </w:tcPr>
          <w:p w14:paraId="522028F3" w14:textId="526A8D47" w:rsidR="00655BE3" w:rsidRPr="00103394" w:rsidRDefault="00655BE3" w:rsidP="000B2C2D">
            <w:pPr>
              <w:jc w:val="center"/>
              <w:rPr>
                <w:rFonts w:cs="Calibri"/>
                <w:color w:val="000000"/>
              </w:rPr>
            </w:pPr>
            <w:r w:rsidRPr="00103394">
              <w:rPr>
                <w:rFonts w:cs="Calibri"/>
                <w:color w:val="000000"/>
              </w:rPr>
              <w:t>52,2%</w:t>
            </w:r>
          </w:p>
        </w:tc>
        <w:tc>
          <w:tcPr>
            <w:tcW w:w="1504" w:type="dxa"/>
            <w:vAlign w:val="center"/>
          </w:tcPr>
          <w:p w14:paraId="62E11447" w14:textId="38EEE2DA" w:rsidR="00655BE3" w:rsidRPr="000A640A" w:rsidRDefault="00655BE3" w:rsidP="000B2C2D">
            <w:pPr>
              <w:jc w:val="center"/>
              <w:rPr>
                <w:rFonts w:cs="Calibri"/>
              </w:rPr>
            </w:pPr>
            <w:r>
              <w:rPr>
                <w:rFonts w:cs="Calibri"/>
                <w:color w:val="000000"/>
              </w:rPr>
              <w:t>10,9%</w:t>
            </w:r>
          </w:p>
        </w:tc>
      </w:tr>
      <w:tr w:rsidR="00655BE3" w:rsidRPr="000A640A" w14:paraId="3CD638C9" w14:textId="77777777" w:rsidTr="00103394">
        <w:trPr>
          <w:jc w:val="center"/>
        </w:trPr>
        <w:tc>
          <w:tcPr>
            <w:tcW w:w="4957" w:type="dxa"/>
            <w:shd w:val="clear" w:color="auto" w:fill="auto"/>
          </w:tcPr>
          <w:p w14:paraId="2B1CA57D" w14:textId="77777777" w:rsidR="00655BE3" w:rsidRPr="000A640A" w:rsidRDefault="00655BE3" w:rsidP="00655BE3">
            <w:pPr>
              <w:jc w:val="both"/>
              <w:rPr>
                <w:rFonts w:cs="Calibri"/>
                <w:bCs/>
              </w:rPr>
            </w:pPr>
            <w:r w:rsidRPr="000A640A">
              <w:rPr>
                <w:rFonts w:cs="Calibri"/>
                <w:bCs/>
              </w:rPr>
              <w:t>Coûts opérationnels</w:t>
            </w:r>
          </w:p>
        </w:tc>
        <w:tc>
          <w:tcPr>
            <w:tcW w:w="1453" w:type="dxa"/>
            <w:shd w:val="clear" w:color="auto" w:fill="auto"/>
            <w:vAlign w:val="center"/>
          </w:tcPr>
          <w:p w14:paraId="050579AA" w14:textId="6C1EEAD7" w:rsidR="00655BE3" w:rsidRPr="000A640A" w:rsidRDefault="00655BE3" w:rsidP="000B2C2D">
            <w:pPr>
              <w:jc w:val="center"/>
              <w:rPr>
                <w:rFonts w:cs="Calibri"/>
              </w:rPr>
            </w:pPr>
            <w:r>
              <w:rPr>
                <w:rFonts w:cs="Calibri"/>
                <w:color w:val="000000"/>
              </w:rPr>
              <w:t>(9 301)</w:t>
            </w:r>
          </w:p>
        </w:tc>
        <w:tc>
          <w:tcPr>
            <w:tcW w:w="1504" w:type="dxa"/>
          </w:tcPr>
          <w:p w14:paraId="1D1F338B" w14:textId="5CBAADB7" w:rsidR="00655BE3" w:rsidRPr="00103394" w:rsidRDefault="00655BE3" w:rsidP="000B2C2D">
            <w:pPr>
              <w:jc w:val="center"/>
              <w:rPr>
                <w:rFonts w:cs="Calibri"/>
                <w:color w:val="000000"/>
              </w:rPr>
            </w:pPr>
            <w:r w:rsidRPr="00103394">
              <w:rPr>
                <w:rFonts w:cs="Calibri"/>
                <w:color w:val="000000"/>
              </w:rPr>
              <w:t>(8 238)</w:t>
            </w:r>
          </w:p>
        </w:tc>
        <w:tc>
          <w:tcPr>
            <w:tcW w:w="1504" w:type="dxa"/>
            <w:vAlign w:val="center"/>
          </w:tcPr>
          <w:p w14:paraId="66D2B77E" w14:textId="6AD5ECE8" w:rsidR="00655BE3" w:rsidRPr="000A640A" w:rsidRDefault="00655BE3" w:rsidP="000B2C2D">
            <w:pPr>
              <w:jc w:val="center"/>
              <w:rPr>
                <w:rFonts w:cs="Calibri"/>
              </w:rPr>
            </w:pPr>
            <w:r>
              <w:rPr>
                <w:rFonts w:cs="Calibri"/>
                <w:color w:val="000000"/>
              </w:rPr>
              <w:t>12,9%</w:t>
            </w:r>
          </w:p>
        </w:tc>
      </w:tr>
      <w:tr w:rsidR="00655BE3" w:rsidRPr="000A640A" w14:paraId="30CCA0CA" w14:textId="77777777" w:rsidTr="00103394">
        <w:trPr>
          <w:jc w:val="center"/>
        </w:trPr>
        <w:tc>
          <w:tcPr>
            <w:tcW w:w="4957" w:type="dxa"/>
            <w:shd w:val="clear" w:color="auto" w:fill="auto"/>
          </w:tcPr>
          <w:p w14:paraId="014D52F6" w14:textId="77777777" w:rsidR="00655BE3" w:rsidRPr="000A640A" w:rsidRDefault="00655BE3" w:rsidP="00655BE3">
            <w:pPr>
              <w:jc w:val="both"/>
              <w:rPr>
                <w:rFonts w:cs="Calibri"/>
                <w:bCs/>
              </w:rPr>
            </w:pPr>
            <w:r w:rsidRPr="000A640A">
              <w:rPr>
                <w:rFonts w:cs="Calibri"/>
                <w:bCs/>
              </w:rPr>
              <w:t>Résultat d’exploitation</w:t>
            </w:r>
          </w:p>
        </w:tc>
        <w:tc>
          <w:tcPr>
            <w:tcW w:w="1453" w:type="dxa"/>
            <w:shd w:val="clear" w:color="auto" w:fill="auto"/>
            <w:vAlign w:val="center"/>
          </w:tcPr>
          <w:p w14:paraId="0E7455FA" w14:textId="20A24ED6" w:rsidR="00655BE3" w:rsidRPr="000A640A" w:rsidRDefault="00655BE3" w:rsidP="000B2C2D">
            <w:pPr>
              <w:jc w:val="center"/>
              <w:rPr>
                <w:rFonts w:cs="Calibri"/>
              </w:rPr>
            </w:pPr>
            <w:r>
              <w:rPr>
                <w:rFonts w:cs="Calibri"/>
                <w:color w:val="000000"/>
              </w:rPr>
              <w:t>3 538</w:t>
            </w:r>
          </w:p>
        </w:tc>
        <w:tc>
          <w:tcPr>
            <w:tcW w:w="1504" w:type="dxa"/>
          </w:tcPr>
          <w:p w14:paraId="41670190" w14:textId="00A725EB" w:rsidR="00655BE3" w:rsidRPr="00103394" w:rsidRDefault="00655BE3" w:rsidP="000B2C2D">
            <w:pPr>
              <w:jc w:val="center"/>
              <w:rPr>
                <w:rFonts w:cs="Calibri"/>
                <w:color w:val="000000"/>
              </w:rPr>
            </w:pPr>
            <w:r w:rsidRPr="00103394">
              <w:rPr>
                <w:rFonts w:cs="Calibri"/>
                <w:color w:val="000000"/>
              </w:rPr>
              <w:t>2 402</w:t>
            </w:r>
          </w:p>
        </w:tc>
        <w:tc>
          <w:tcPr>
            <w:tcW w:w="1504" w:type="dxa"/>
            <w:vAlign w:val="center"/>
          </w:tcPr>
          <w:p w14:paraId="15888114" w14:textId="72C1E078" w:rsidR="00655BE3" w:rsidRPr="000A640A" w:rsidRDefault="00655BE3" w:rsidP="000B2C2D">
            <w:pPr>
              <w:jc w:val="center"/>
              <w:rPr>
                <w:rFonts w:cs="Calibri"/>
              </w:rPr>
            </w:pPr>
            <w:r>
              <w:rPr>
                <w:rFonts w:cs="Calibri"/>
                <w:color w:val="000000"/>
              </w:rPr>
              <w:t>47,3%</w:t>
            </w:r>
          </w:p>
        </w:tc>
      </w:tr>
      <w:tr w:rsidR="00655BE3" w:rsidRPr="000A640A" w14:paraId="0C51051F" w14:textId="77777777" w:rsidTr="00103394">
        <w:trPr>
          <w:jc w:val="center"/>
        </w:trPr>
        <w:tc>
          <w:tcPr>
            <w:tcW w:w="4957" w:type="dxa"/>
            <w:shd w:val="clear" w:color="auto" w:fill="auto"/>
          </w:tcPr>
          <w:p w14:paraId="35413046" w14:textId="77777777" w:rsidR="00655BE3" w:rsidRPr="000A640A" w:rsidRDefault="00655BE3" w:rsidP="00655BE3">
            <w:pPr>
              <w:jc w:val="both"/>
              <w:rPr>
                <w:rFonts w:cs="Calibri"/>
                <w:bCs/>
              </w:rPr>
            </w:pPr>
            <w:r w:rsidRPr="000A640A">
              <w:rPr>
                <w:rFonts w:cs="Calibri"/>
                <w:bCs/>
                <w:i/>
              </w:rPr>
              <w:t>Résultat d’exploitation en % du chiffre d’affaires</w:t>
            </w:r>
          </w:p>
        </w:tc>
        <w:tc>
          <w:tcPr>
            <w:tcW w:w="1453" w:type="dxa"/>
            <w:shd w:val="clear" w:color="auto" w:fill="auto"/>
            <w:vAlign w:val="center"/>
          </w:tcPr>
          <w:p w14:paraId="20E5C92E" w14:textId="46FD6999" w:rsidR="00655BE3" w:rsidRPr="000A640A" w:rsidRDefault="00655BE3" w:rsidP="000B2C2D">
            <w:pPr>
              <w:jc w:val="center"/>
              <w:rPr>
                <w:rFonts w:cs="Calibri"/>
              </w:rPr>
            </w:pPr>
            <w:r>
              <w:rPr>
                <w:rFonts w:cs="Calibri"/>
                <w:color w:val="000000"/>
              </w:rPr>
              <w:t>15,9%</w:t>
            </w:r>
          </w:p>
        </w:tc>
        <w:tc>
          <w:tcPr>
            <w:tcW w:w="1504" w:type="dxa"/>
          </w:tcPr>
          <w:p w14:paraId="0C3B7775" w14:textId="2762AE39" w:rsidR="007B5CF2" w:rsidRPr="00103394" w:rsidRDefault="00655BE3" w:rsidP="00103394">
            <w:pPr>
              <w:jc w:val="center"/>
              <w:rPr>
                <w:rFonts w:cs="Calibri"/>
                <w:color w:val="000000"/>
              </w:rPr>
            </w:pPr>
            <w:r w:rsidRPr="00103394">
              <w:rPr>
                <w:rFonts w:cs="Calibri"/>
                <w:color w:val="000000"/>
              </w:rPr>
              <w:t>11.78</w:t>
            </w:r>
            <w:r w:rsidR="007B5CF2" w:rsidRPr="00103394">
              <w:rPr>
                <w:rFonts w:cs="Calibri"/>
                <w:color w:val="000000"/>
              </w:rPr>
              <w:t>%</w:t>
            </w:r>
          </w:p>
        </w:tc>
        <w:tc>
          <w:tcPr>
            <w:tcW w:w="1504" w:type="dxa"/>
            <w:vAlign w:val="center"/>
          </w:tcPr>
          <w:p w14:paraId="4FDA7F43" w14:textId="12CD5EDF" w:rsidR="00655BE3" w:rsidRPr="000A640A" w:rsidRDefault="00655BE3" w:rsidP="000B2C2D">
            <w:pPr>
              <w:jc w:val="center"/>
              <w:rPr>
                <w:rFonts w:cs="Calibri"/>
              </w:rPr>
            </w:pPr>
            <w:r>
              <w:rPr>
                <w:rFonts w:cs="Calibri"/>
                <w:color w:val="000000"/>
              </w:rPr>
              <w:t>35,3%</w:t>
            </w:r>
          </w:p>
        </w:tc>
      </w:tr>
      <w:tr w:rsidR="00655BE3" w:rsidRPr="000A640A" w14:paraId="0A9CC6FC" w14:textId="77777777" w:rsidTr="00103394">
        <w:trPr>
          <w:jc w:val="center"/>
        </w:trPr>
        <w:tc>
          <w:tcPr>
            <w:tcW w:w="4957" w:type="dxa"/>
            <w:shd w:val="clear" w:color="auto" w:fill="auto"/>
          </w:tcPr>
          <w:p w14:paraId="1B3E34E8" w14:textId="77777777" w:rsidR="00655BE3" w:rsidRPr="000A640A" w:rsidRDefault="00655BE3" w:rsidP="00655BE3">
            <w:pPr>
              <w:jc w:val="both"/>
              <w:rPr>
                <w:rFonts w:cs="Calibri"/>
                <w:bCs/>
                <w:i/>
              </w:rPr>
            </w:pPr>
            <w:r w:rsidRPr="000A640A">
              <w:rPr>
                <w:rFonts w:cs="Calibri"/>
                <w:bCs/>
              </w:rPr>
              <w:t>Résultat financier</w:t>
            </w:r>
          </w:p>
        </w:tc>
        <w:tc>
          <w:tcPr>
            <w:tcW w:w="1453" w:type="dxa"/>
            <w:shd w:val="clear" w:color="auto" w:fill="auto"/>
            <w:vAlign w:val="center"/>
          </w:tcPr>
          <w:p w14:paraId="3C805610" w14:textId="4A29E93D" w:rsidR="00655BE3" w:rsidRPr="000A640A" w:rsidRDefault="00655BE3" w:rsidP="000B2C2D">
            <w:pPr>
              <w:jc w:val="center"/>
              <w:rPr>
                <w:rFonts w:cs="Calibri"/>
              </w:rPr>
            </w:pPr>
            <w:r>
              <w:rPr>
                <w:rFonts w:cs="Calibri"/>
                <w:color w:val="000000"/>
              </w:rPr>
              <w:t>(71)</w:t>
            </w:r>
          </w:p>
        </w:tc>
        <w:tc>
          <w:tcPr>
            <w:tcW w:w="1504" w:type="dxa"/>
          </w:tcPr>
          <w:p w14:paraId="5A33F44A" w14:textId="1B8E14A4" w:rsidR="00655BE3" w:rsidRPr="00103394" w:rsidRDefault="00655BE3" w:rsidP="000B2C2D">
            <w:pPr>
              <w:jc w:val="center"/>
              <w:rPr>
                <w:rFonts w:cs="Calibri"/>
                <w:color w:val="000000"/>
              </w:rPr>
            </w:pPr>
            <w:r w:rsidRPr="00103394">
              <w:rPr>
                <w:rFonts w:cs="Calibri"/>
                <w:color w:val="000000"/>
              </w:rPr>
              <w:t>(1 134)</w:t>
            </w:r>
          </w:p>
        </w:tc>
        <w:tc>
          <w:tcPr>
            <w:tcW w:w="1504" w:type="dxa"/>
            <w:vAlign w:val="center"/>
          </w:tcPr>
          <w:p w14:paraId="1D316282" w14:textId="58523190" w:rsidR="00655BE3" w:rsidRPr="000A640A" w:rsidRDefault="00655BE3" w:rsidP="000B2C2D">
            <w:pPr>
              <w:jc w:val="center"/>
              <w:rPr>
                <w:rFonts w:cs="Calibri"/>
              </w:rPr>
            </w:pPr>
            <w:r>
              <w:rPr>
                <w:rFonts w:cs="Calibri"/>
                <w:color w:val="000000"/>
              </w:rPr>
              <w:t>-93,7%</w:t>
            </w:r>
          </w:p>
        </w:tc>
      </w:tr>
      <w:tr w:rsidR="00655BE3" w:rsidRPr="000A640A" w14:paraId="710DF0CB" w14:textId="77777777" w:rsidTr="00103394">
        <w:trPr>
          <w:jc w:val="center"/>
        </w:trPr>
        <w:tc>
          <w:tcPr>
            <w:tcW w:w="4957" w:type="dxa"/>
            <w:shd w:val="clear" w:color="auto" w:fill="auto"/>
          </w:tcPr>
          <w:p w14:paraId="3B8A560A" w14:textId="77777777" w:rsidR="00655BE3" w:rsidRPr="000A640A" w:rsidRDefault="00655BE3" w:rsidP="00655BE3">
            <w:pPr>
              <w:jc w:val="both"/>
              <w:rPr>
                <w:rFonts w:cs="Calibri"/>
                <w:bCs/>
              </w:rPr>
            </w:pPr>
            <w:r w:rsidRPr="000A640A">
              <w:rPr>
                <w:rFonts w:cs="Calibri"/>
                <w:bCs/>
              </w:rPr>
              <w:t>Impôt</w:t>
            </w:r>
          </w:p>
        </w:tc>
        <w:tc>
          <w:tcPr>
            <w:tcW w:w="1453" w:type="dxa"/>
            <w:shd w:val="clear" w:color="auto" w:fill="auto"/>
            <w:vAlign w:val="center"/>
          </w:tcPr>
          <w:p w14:paraId="451382B7" w14:textId="36E931CE" w:rsidR="00655BE3" w:rsidRPr="000A640A" w:rsidRDefault="00655BE3" w:rsidP="000B2C2D">
            <w:pPr>
              <w:jc w:val="center"/>
              <w:rPr>
                <w:rFonts w:cs="Calibri"/>
              </w:rPr>
            </w:pPr>
            <w:r>
              <w:rPr>
                <w:rFonts w:cs="Calibri"/>
                <w:color w:val="000000"/>
              </w:rPr>
              <w:t>(372)</w:t>
            </w:r>
          </w:p>
        </w:tc>
        <w:tc>
          <w:tcPr>
            <w:tcW w:w="1504" w:type="dxa"/>
          </w:tcPr>
          <w:p w14:paraId="456553C4" w14:textId="34BA858C" w:rsidR="00655BE3" w:rsidRPr="00103394" w:rsidRDefault="00655BE3" w:rsidP="000B2C2D">
            <w:pPr>
              <w:jc w:val="center"/>
              <w:rPr>
                <w:rFonts w:cs="Calibri"/>
                <w:color w:val="000000"/>
              </w:rPr>
            </w:pPr>
            <w:r w:rsidRPr="00103394">
              <w:rPr>
                <w:rFonts w:cs="Calibri"/>
                <w:color w:val="000000"/>
              </w:rPr>
              <w:t>(21)</w:t>
            </w:r>
          </w:p>
        </w:tc>
        <w:tc>
          <w:tcPr>
            <w:tcW w:w="1504" w:type="dxa"/>
            <w:vAlign w:val="center"/>
          </w:tcPr>
          <w:p w14:paraId="17213C2B" w14:textId="2933921E" w:rsidR="00655BE3" w:rsidRPr="000A640A" w:rsidRDefault="00655BE3" w:rsidP="000B2C2D">
            <w:pPr>
              <w:jc w:val="center"/>
              <w:rPr>
                <w:rFonts w:cs="Calibri"/>
              </w:rPr>
            </w:pPr>
            <w:r>
              <w:rPr>
                <w:rFonts w:cs="Calibri"/>
                <w:color w:val="000000"/>
              </w:rPr>
              <w:t>1671,4%</w:t>
            </w:r>
          </w:p>
        </w:tc>
      </w:tr>
      <w:tr w:rsidR="00655BE3" w:rsidRPr="000A640A" w14:paraId="615019ED" w14:textId="77777777" w:rsidTr="00103394">
        <w:trPr>
          <w:jc w:val="center"/>
        </w:trPr>
        <w:tc>
          <w:tcPr>
            <w:tcW w:w="4957" w:type="dxa"/>
            <w:tcBorders>
              <w:bottom w:val="single" w:sz="4" w:space="0" w:color="auto"/>
            </w:tcBorders>
            <w:shd w:val="clear" w:color="auto" w:fill="auto"/>
          </w:tcPr>
          <w:p w14:paraId="3EDB9E46" w14:textId="77777777" w:rsidR="00655BE3" w:rsidRPr="000A640A" w:rsidRDefault="00655BE3" w:rsidP="00655BE3">
            <w:pPr>
              <w:jc w:val="both"/>
              <w:rPr>
                <w:rFonts w:cs="Calibri"/>
                <w:bCs/>
              </w:rPr>
            </w:pPr>
            <w:r w:rsidRPr="000A640A">
              <w:rPr>
                <w:rFonts w:cs="Calibri"/>
                <w:bCs/>
              </w:rPr>
              <w:t>Résultat Net</w:t>
            </w:r>
          </w:p>
        </w:tc>
        <w:tc>
          <w:tcPr>
            <w:tcW w:w="1453" w:type="dxa"/>
            <w:tcBorders>
              <w:bottom w:val="single" w:sz="4" w:space="0" w:color="auto"/>
            </w:tcBorders>
            <w:shd w:val="clear" w:color="auto" w:fill="auto"/>
            <w:vAlign w:val="center"/>
          </w:tcPr>
          <w:p w14:paraId="0A53A718" w14:textId="76C7E121" w:rsidR="00655BE3" w:rsidRPr="000A640A" w:rsidRDefault="00655BE3" w:rsidP="000B2C2D">
            <w:pPr>
              <w:jc w:val="center"/>
              <w:rPr>
                <w:rFonts w:cs="Calibri"/>
              </w:rPr>
            </w:pPr>
            <w:r>
              <w:rPr>
                <w:rFonts w:cs="Calibri"/>
                <w:color w:val="000000"/>
              </w:rPr>
              <w:t>3 095</w:t>
            </w:r>
          </w:p>
        </w:tc>
        <w:tc>
          <w:tcPr>
            <w:tcW w:w="1504" w:type="dxa"/>
            <w:tcBorders>
              <w:bottom w:val="single" w:sz="4" w:space="0" w:color="auto"/>
            </w:tcBorders>
          </w:tcPr>
          <w:p w14:paraId="7C7B9046" w14:textId="72A22343" w:rsidR="00655BE3" w:rsidRPr="000A640A" w:rsidRDefault="00655BE3" w:rsidP="000B2C2D">
            <w:pPr>
              <w:jc w:val="center"/>
              <w:rPr>
                <w:rFonts w:cs="Calibri"/>
              </w:rPr>
            </w:pPr>
            <w:r w:rsidRPr="000A640A">
              <w:rPr>
                <w:rFonts w:cs="Calibri"/>
              </w:rPr>
              <w:t xml:space="preserve">1 </w:t>
            </w:r>
            <w:r>
              <w:rPr>
                <w:rFonts w:cs="Calibri"/>
              </w:rPr>
              <w:t>247</w:t>
            </w:r>
          </w:p>
        </w:tc>
        <w:tc>
          <w:tcPr>
            <w:tcW w:w="1504" w:type="dxa"/>
            <w:tcBorders>
              <w:bottom w:val="single" w:sz="4" w:space="0" w:color="auto"/>
            </w:tcBorders>
            <w:vAlign w:val="center"/>
          </w:tcPr>
          <w:p w14:paraId="5260A96A" w14:textId="5A5E25E8" w:rsidR="00655BE3" w:rsidRPr="000A640A" w:rsidRDefault="00655BE3" w:rsidP="000B2C2D">
            <w:pPr>
              <w:jc w:val="center"/>
              <w:rPr>
                <w:rFonts w:cs="Calibri"/>
              </w:rPr>
            </w:pPr>
            <w:r>
              <w:rPr>
                <w:rFonts w:cs="Calibri"/>
                <w:color w:val="000000"/>
              </w:rPr>
              <w:t>148,2%</w:t>
            </w:r>
          </w:p>
        </w:tc>
      </w:tr>
      <w:tr w:rsidR="00655BE3" w:rsidRPr="000A640A" w14:paraId="10FA50AA" w14:textId="77777777" w:rsidTr="00103394">
        <w:trPr>
          <w:jc w:val="center"/>
        </w:trPr>
        <w:tc>
          <w:tcPr>
            <w:tcW w:w="4957" w:type="dxa"/>
            <w:tcBorders>
              <w:left w:val="nil"/>
              <w:bottom w:val="single" w:sz="4" w:space="0" w:color="auto"/>
              <w:right w:val="nil"/>
            </w:tcBorders>
            <w:shd w:val="clear" w:color="auto" w:fill="auto"/>
          </w:tcPr>
          <w:p w14:paraId="58FF91CE" w14:textId="77777777" w:rsidR="00655BE3" w:rsidRPr="000A640A" w:rsidRDefault="00655BE3" w:rsidP="00655BE3">
            <w:pPr>
              <w:jc w:val="both"/>
              <w:rPr>
                <w:rFonts w:cs="Calibri"/>
                <w:bCs/>
              </w:rPr>
            </w:pPr>
          </w:p>
        </w:tc>
        <w:tc>
          <w:tcPr>
            <w:tcW w:w="1453" w:type="dxa"/>
            <w:tcBorders>
              <w:left w:val="nil"/>
              <w:bottom w:val="single" w:sz="4" w:space="0" w:color="auto"/>
              <w:right w:val="nil"/>
            </w:tcBorders>
            <w:shd w:val="clear" w:color="auto" w:fill="auto"/>
            <w:vAlign w:val="bottom"/>
          </w:tcPr>
          <w:p w14:paraId="5F897D93" w14:textId="77777777" w:rsidR="00655BE3" w:rsidRPr="000A640A" w:rsidRDefault="00655BE3" w:rsidP="000B2C2D">
            <w:pPr>
              <w:jc w:val="center"/>
              <w:rPr>
                <w:rFonts w:cs="Calibri"/>
              </w:rPr>
            </w:pPr>
          </w:p>
        </w:tc>
        <w:tc>
          <w:tcPr>
            <w:tcW w:w="1504" w:type="dxa"/>
            <w:tcBorders>
              <w:left w:val="nil"/>
              <w:bottom w:val="single" w:sz="4" w:space="0" w:color="auto"/>
              <w:right w:val="nil"/>
            </w:tcBorders>
          </w:tcPr>
          <w:p w14:paraId="7575DBE9" w14:textId="77777777" w:rsidR="00655BE3" w:rsidRPr="000A640A" w:rsidRDefault="00655BE3" w:rsidP="000B2C2D">
            <w:pPr>
              <w:jc w:val="center"/>
              <w:rPr>
                <w:rFonts w:cs="Calibri"/>
              </w:rPr>
            </w:pPr>
          </w:p>
        </w:tc>
        <w:tc>
          <w:tcPr>
            <w:tcW w:w="1504" w:type="dxa"/>
            <w:tcBorders>
              <w:left w:val="nil"/>
              <w:bottom w:val="single" w:sz="4" w:space="0" w:color="auto"/>
              <w:right w:val="nil"/>
            </w:tcBorders>
            <w:vAlign w:val="bottom"/>
          </w:tcPr>
          <w:p w14:paraId="6F970DD3" w14:textId="77777777" w:rsidR="00655BE3" w:rsidRPr="000A640A" w:rsidRDefault="00655BE3" w:rsidP="000B2C2D">
            <w:pPr>
              <w:jc w:val="center"/>
              <w:rPr>
                <w:rFonts w:cs="Calibri"/>
              </w:rPr>
            </w:pPr>
          </w:p>
        </w:tc>
      </w:tr>
      <w:tr w:rsidR="00655BE3" w:rsidRPr="000A640A" w14:paraId="7C5592C0" w14:textId="77777777" w:rsidTr="00103394">
        <w:trPr>
          <w:trHeight w:val="538"/>
          <w:jc w:val="center"/>
        </w:trPr>
        <w:tc>
          <w:tcPr>
            <w:tcW w:w="4957" w:type="dxa"/>
            <w:tcBorders>
              <w:top w:val="single" w:sz="4" w:space="0" w:color="auto"/>
            </w:tcBorders>
            <w:shd w:val="clear" w:color="auto" w:fill="auto"/>
          </w:tcPr>
          <w:p w14:paraId="6DF54AB8" w14:textId="77777777" w:rsidR="00655BE3" w:rsidRPr="000A640A" w:rsidRDefault="00655BE3" w:rsidP="00655BE3">
            <w:pPr>
              <w:jc w:val="both"/>
              <w:rPr>
                <w:rFonts w:cs="Calibri"/>
                <w:bCs/>
              </w:rPr>
            </w:pPr>
            <w:r w:rsidRPr="000A640A">
              <w:rPr>
                <w:rFonts w:cs="Calibri"/>
                <w:bCs/>
              </w:rPr>
              <w:t>Free Cash-Flow / Génération de trésorerie</w:t>
            </w:r>
          </w:p>
        </w:tc>
        <w:tc>
          <w:tcPr>
            <w:tcW w:w="1453" w:type="dxa"/>
            <w:tcBorders>
              <w:top w:val="single" w:sz="4" w:space="0" w:color="auto"/>
            </w:tcBorders>
            <w:shd w:val="clear" w:color="auto" w:fill="auto"/>
            <w:vAlign w:val="center"/>
          </w:tcPr>
          <w:p w14:paraId="76406130" w14:textId="1A134DC2" w:rsidR="00655BE3" w:rsidRPr="000A640A" w:rsidRDefault="00655BE3" w:rsidP="000B2C2D">
            <w:pPr>
              <w:jc w:val="center"/>
              <w:rPr>
                <w:rFonts w:cs="Calibri"/>
                <w:bCs/>
              </w:rPr>
            </w:pPr>
            <w:r>
              <w:rPr>
                <w:rFonts w:cs="Calibri"/>
                <w:color w:val="000000"/>
              </w:rPr>
              <w:t>(1 764)</w:t>
            </w:r>
          </w:p>
        </w:tc>
        <w:tc>
          <w:tcPr>
            <w:tcW w:w="1504" w:type="dxa"/>
            <w:tcBorders>
              <w:top w:val="single" w:sz="4" w:space="0" w:color="auto"/>
            </w:tcBorders>
          </w:tcPr>
          <w:p w14:paraId="1EAE3429" w14:textId="512FA9E7" w:rsidR="00655BE3" w:rsidRPr="000A640A" w:rsidRDefault="00655BE3" w:rsidP="000B2C2D">
            <w:pPr>
              <w:jc w:val="center"/>
              <w:rPr>
                <w:rFonts w:cs="Calibri"/>
                <w:bCs/>
              </w:rPr>
            </w:pPr>
            <w:r w:rsidRPr="000A640A">
              <w:rPr>
                <w:rFonts w:cs="Calibri"/>
                <w:bCs/>
              </w:rPr>
              <w:t>(</w:t>
            </w:r>
            <w:r>
              <w:rPr>
                <w:rFonts w:cs="Calibri"/>
                <w:bCs/>
              </w:rPr>
              <w:t>4</w:t>
            </w:r>
            <w:r w:rsidRPr="000A640A">
              <w:rPr>
                <w:rFonts w:cs="Calibri"/>
                <w:bCs/>
              </w:rPr>
              <w:t xml:space="preserve"> </w:t>
            </w:r>
            <w:r>
              <w:rPr>
                <w:rFonts w:cs="Calibri"/>
                <w:bCs/>
              </w:rPr>
              <w:t>399</w:t>
            </w:r>
            <w:r w:rsidRPr="000A640A">
              <w:rPr>
                <w:rFonts w:cs="Calibri"/>
                <w:bCs/>
              </w:rPr>
              <w:t>)</w:t>
            </w:r>
          </w:p>
        </w:tc>
        <w:tc>
          <w:tcPr>
            <w:tcW w:w="1504" w:type="dxa"/>
            <w:tcBorders>
              <w:top w:val="single" w:sz="4" w:space="0" w:color="auto"/>
            </w:tcBorders>
            <w:vAlign w:val="center"/>
          </w:tcPr>
          <w:p w14:paraId="2DF07216" w14:textId="68E109B9" w:rsidR="00655BE3" w:rsidRPr="000A640A" w:rsidRDefault="00655BE3" w:rsidP="000B2C2D">
            <w:pPr>
              <w:jc w:val="center"/>
              <w:rPr>
                <w:rFonts w:cs="Calibri"/>
                <w:bCs/>
              </w:rPr>
            </w:pPr>
            <w:r>
              <w:rPr>
                <w:rFonts w:cs="Calibri"/>
                <w:color w:val="000000"/>
              </w:rPr>
              <w:t>-59,9%</w:t>
            </w:r>
          </w:p>
        </w:tc>
      </w:tr>
      <w:tr w:rsidR="00655BE3" w:rsidRPr="000A640A" w14:paraId="1F1F74A5" w14:textId="77777777" w:rsidTr="00103394">
        <w:trPr>
          <w:jc w:val="center"/>
        </w:trPr>
        <w:tc>
          <w:tcPr>
            <w:tcW w:w="4957" w:type="dxa"/>
            <w:shd w:val="clear" w:color="auto" w:fill="auto"/>
          </w:tcPr>
          <w:p w14:paraId="79EBCB01" w14:textId="77777777" w:rsidR="00655BE3" w:rsidRPr="000A640A" w:rsidRDefault="00655BE3" w:rsidP="00655BE3">
            <w:pPr>
              <w:jc w:val="both"/>
              <w:rPr>
                <w:rFonts w:cs="Calibri"/>
                <w:bCs/>
              </w:rPr>
            </w:pPr>
            <w:r w:rsidRPr="000A640A">
              <w:rPr>
                <w:rFonts w:cs="Calibri"/>
                <w:bCs/>
              </w:rPr>
              <w:t>Dette nette (Dette financière – Trésorerie active)</w:t>
            </w:r>
          </w:p>
        </w:tc>
        <w:tc>
          <w:tcPr>
            <w:tcW w:w="1453" w:type="dxa"/>
            <w:shd w:val="clear" w:color="auto" w:fill="auto"/>
            <w:vAlign w:val="center"/>
          </w:tcPr>
          <w:p w14:paraId="65D7DDEC" w14:textId="5027CB16" w:rsidR="00655BE3" w:rsidRPr="000A640A" w:rsidRDefault="00655BE3" w:rsidP="000B2C2D">
            <w:pPr>
              <w:jc w:val="center"/>
              <w:rPr>
                <w:rFonts w:cs="Calibri"/>
              </w:rPr>
            </w:pPr>
            <w:r>
              <w:rPr>
                <w:rFonts w:cs="Calibri"/>
                <w:color w:val="000000"/>
              </w:rPr>
              <w:t>13 744</w:t>
            </w:r>
          </w:p>
        </w:tc>
        <w:tc>
          <w:tcPr>
            <w:tcW w:w="1504" w:type="dxa"/>
          </w:tcPr>
          <w:p w14:paraId="7981F8F0" w14:textId="2C95DC02" w:rsidR="00655BE3" w:rsidRPr="000A640A" w:rsidRDefault="00655BE3" w:rsidP="000B2C2D">
            <w:pPr>
              <w:jc w:val="center"/>
              <w:rPr>
                <w:rFonts w:cs="Calibri"/>
              </w:rPr>
            </w:pPr>
            <w:r w:rsidRPr="000A640A">
              <w:rPr>
                <w:rFonts w:cs="Calibri"/>
              </w:rPr>
              <w:t>1</w:t>
            </w:r>
            <w:r>
              <w:rPr>
                <w:rFonts w:cs="Calibri"/>
              </w:rPr>
              <w:t>6 931</w:t>
            </w:r>
          </w:p>
        </w:tc>
        <w:tc>
          <w:tcPr>
            <w:tcW w:w="1504" w:type="dxa"/>
            <w:vAlign w:val="center"/>
          </w:tcPr>
          <w:p w14:paraId="5CF787BE" w14:textId="36068716" w:rsidR="00655BE3" w:rsidRPr="000A640A" w:rsidRDefault="00655BE3" w:rsidP="000B2C2D">
            <w:pPr>
              <w:jc w:val="center"/>
              <w:rPr>
                <w:rFonts w:cs="Calibri"/>
              </w:rPr>
            </w:pPr>
            <w:r>
              <w:rPr>
                <w:rFonts w:cs="Calibri"/>
                <w:color w:val="000000"/>
              </w:rPr>
              <w:t>-18,8%</w:t>
            </w:r>
          </w:p>
        </w:tc>
      </w:tr>
      <w:tr w:rsidR="00655BE3" w:rsidRPr="000A640A" w14:paraId="18F99A2A" w14:textId="77777777" w:rsidTr="00103394">
        <w:trPr>
          <w:jc w:val="center"/>
        </w:trPr>
        <w:tc>
          <w:tcPr>
            <w:tcW w:w="4957" w:type="dxa"/>
            <w:shd w:val="clear" w:color="auto" w:fill="auto"/>
          </w:tcPr>
          <w:p w14:paraId="14CA91A5" w14:textId="77777777" w:rsidR="00655BE3" w:rsidRPr="000A640A" w:rsidRDefault="00655BE3" w:rsidP="00655BE3">
            <w:pPr>
              <w:jc w:val="both"/>
              <w:rPr>
                <w:rFonts w:cs="Calibri"/>
                <w:bCs/>
              </w:rPr>
            </w:pPr>
            <w:r w:rsidRPr="000A640A">
              <w:rPr>
                <w:rFonts w:cs="Calibri"/>
                <w:bCs/>
              </w:rPr>
              <w:t>Capitaux Propres</w:t>
            </w:r>
          </w:p>
        </w:tc>
        <w:tc>
          <w:tcPr>
            <w:tcW w:w="1453" w:type="dxa"/>
            <w:shd w:val="clear" w:color="auto" w:fill="auto"/>
            <w:vAlign w:val="center"/>
          </w:tcPr>
          <w:p w14:paraId="3A422728" w14:textId="1D51B246" w:rsidR="00655BE3" w:rsidRPr="000A640A" w:rsidRDefault="00655BE3" w:rsidP="000B2C2D">
            <w:pPr>
              <w:jc w:val="center"/>
              <w:rPr>
                <w:rFonts w:cs="Calibri"/>
              </w:rPr>
            </w:pPr>
            <w:r>
              <w:rPr>
                <w:rFonts w:cs="Calibri"/>
                <w:color w:val="000000"/>
              </w:rPr>
              <w:t>15 211</w:t>
            </w:r>
          </w:p>
        </w:tc>
        <w:tc>
          <w:tcPr>
            <w:tcW w:w="1504" w:type="dxa"/>
          </w:tcPr>
          <w:p w14:paraId="42E3FD52" w14:textId="0C261172" w:rsidR="00655BE3" w:rsidRPr="000A640A" w:rsidRDefault="00655BE3" w:rsidP="000B2C2D">
            <w:pPr>
              <w:jc w:val="center"/>
              <w:rPr>
                <w:rFonts w:cs="Calibri"/>
              </w:rPr>
            </w:pPr>
            <w:r>
              <w:rPr>
                <w:rFonts w:cs="Calibri"/>
              </w:rPr>
              <w:t>10 805</w:t>
            </w:r>
          </w:p>
        </w:tc>
        <w:tc>
          <w:tcPr>
            <w:tcW w:w="1504" w:type="dxa"/>
            <w:vAlign w:val="center"/>
          </w:tcPr>
          <w:p w14:paraId="68D39B4C" w14:textId="4B4A8D70" w:rsidR="00655BE3" w:rsidRPr="000A640A" w:rsidRDefault="00655BE3" w:rsidP="000B2C2D">
            <w:pPr>
              <w:jc w:val="center"/>
              <w:rPr>
                <w:rFonts w:cs="Calibri"/>
              </w:rPr>
            </w:pPr>
            <w:r>
              <w:rPr>
                <w:rFonts w:cs="Calibri"/>
                <w:color w:val="000000"/>
              </w:rPr>
              <w:t>40,8%</w:t>
            </w:r>
          </w:p>
        </w:tc>
      </w:tr>
    </w:tbl>
    <w:p w14:paraId="3A9BF1C9" w14:textId="77777777" w:rsidR="00802544" w:rsidRPr="000A640A" w:rsidRDefault="00802544" w:rsidP="004767C6">
      <w:pPr>
        <w:spacing w:after="0"/>
        <w:ind w:left="709"/>
        <w:jc w:val="both"/>
        <w:rPr>
          <w:rFonts w:cs="Calibri"/>
          <w:sz w:val="10"/>
          <w:szCs w:val="10"/>
        </w:rPr>
      </w:pPr>
    </w:p>
    <w:p w14:paraId="0B976C29" w14:textId="77777777" w:rsidR="00100BDA" w:rsidRPr="000A640A" w:rsidRDefault="00802544" w:rsidP="00555E6D">
      <w:pPr>
        <w:spacing w:after="0" w:line="240" w:lineRule="auto"/>
        <w:ind w:left="709" w:firstLine="142"/>
        <w:jc w:val="both"/>
        <w:rPr>
          <w:rFonts w:cs="Calibri"/>
          <w:i/>
          <w:sz w:val="18"/>
          <w:szCs w:val="18"/>
        </w:rPr>
      </w:pPr>
      <w:r w:rsidRPr="000A640A">
        <w:rPr>
          <w:rFonts w:cs="Calibri"/>
        </w:rPr>
        <w:t>*</w:t>
      </w:r>
      <w:r w:rsidRPr="000A640A">
        <w:rPr>
          <w:rFonts w:cs="Calibri"/>
          <w:i/>
          <w:sz w:val="18"/>
          <w:szCs w:val="18"/>
        </w:rPr>
        <w:t xml:space="preserve">La marge brute est le chiffre d’affaires diminué des remises de fin d’année, des achats directs, </w:t>
      </w:r>
      <w:r w:rsidR="00BC38A4" w:rsidRPr="000A640A">
        <w:rPr>
          <w:rFonts w:cs="Calibri"/>
          <w:i/>
          <w:sz w:val="18"/>
          <w:szCs w:val="18"/>
        </w:rPr>
        <w:t xml:space="preserve">des frais </w:t>
      </w:r>
    </w:p>
    <w:p w14:paraId="4B1D26F4" w14:textId="77777777" w:rsidR="00802544" w:rsidRPr="00AB3B59" w:rsidRDefault="00802544" w:rsidP="00555E6D">
      <w:pPr>
        <w:spacing w:after="0" w:line="240" w:lineRule="auto"/>
        <w:ind w:left="709" w:firstLine="142"/>
        <w:jc w:val="both"/>
        <w:rPr>
          <w:rFonts w:cs="Calibri"/>
          <w:i/>
          <w:sz w:val="18"/>
          <w:szCs w:val="18"/>
        </w:rPr>
      </w:pPr>
      <w:proofErr w:type="gramStart"/>
      <w:r w:rsidRPr="000A640A">
        <w:rPr>
          <w:rFonts w:cs="Calibri"/>
          <w:i/>
          <w:sz w:val="18"/>
          <w:szCs w:val="18"/>
        </w:rPr>
        <w:t>accessoires</w:t>
      </w:r>
      <w:proofErr w:type="gramEnd"/>
      <w:r w:rsidRPr="000A640A">
        <w:rPr>
          <w:rFonts w:cs="Calibri"/>
          <w:i/>
          <w:sz w:val="18"/>
          <w:szCs w:val="18"/>
        </w:rPr>
        <w:t xml:space="preserve"> sur achats et des dotations aux provisions</w:t>
      </w:r>
      <w:r w:rsidR="00C65BFC" w:rsidRPr="000A640A">
        <w:rPr>
          <w:rFonts w:cs="Calibri"/>
          <w:i/>
          <w:sz w:val="18"/>
          <w:szCs w:val="18"/>
        </w:rPr>
        <w:t xml:space="preserve"> sur stock</w:t>
      </w:r>
    </w:p>
    <w:p w14:paraId="386C321D" w14:textId="77777777" w:rsidR="00CF5847" w:rsidRPr="00AB3B59" w:rsidRDefault="00CF5847" w:rsidP="00CF5847">
      <w:pPr>
        <w:spacing w:after="0"/>
        <w:jc w:val="both"/>
        <w:rPr>
          <w:rFonts w:cs="Calibri"/>
        </w:rPr>
      </w:pPr>
    </w:p>
    <w:p w14:paraId="29CB435A" w14:textId="7697E34E" w:rsidR="00CF5847" w:rsidRPr="00AB3B59" w:rsidRDefault="00CF5847" w:rsidP="004A4AF5">
      <w:pPr>
        <w:spacing w:after="0"/>
        <w:jc w:val="both"/>
        <w:rPr>
          <w:rFonts w:cs="Calibri"/>
        </w:rPr>
      </w:pPr>
      <w:r w:rsidRPr="00AB3B59">
        <w:rPr>
          <w:rFonts w:cs="Calibri"/>
        </w:rPr>
        <w:t xml:space="preserve">L’intégralité des états financiers pour </w:t>
      </w:r>
      <w:r w:rsidR="00C65BFC" w:rsidRPr="00AB3B59">
        <w:rPr>
          <w:rFonts w:cs="Calibri"/>
        </w:rPr>
        <w:t xml:space="preserve">le semestre </w:t>
      </w:r>
      <w:r w:rsidRPr="00AB3B59">
        <w:rPr>
          <w:rFonts w:cs="Calibri"/>
        </w:rPr>
        <w:t>clos le 3</w:t>
      </w:r>
      <w:r w:rsidR="00C65BFC" w:rsidRPr="00AB3B59">
        <w:rPr>
          <w:rFonts w:cs="Calibri"/>
        </w:rPr>
        <w:t>0</w:t>
      </w:r>
      <w:r w:rsidRPr="00AB3B59">
        <w:rPr>
          <w:rFonts w:cs="Calibri"/>
        </w:rPr>
        <w:t xml:space="preserve"> </w:t>
      </w:r>
      <w:r w:rsidR="00371F8B" w:rsidRPr="00AB3B59">
        <w:rPr>
          <w:rFonts w:cs="Calibri"/>
        </w:rPr>
        <w:t>septembre</w:t>
      </w:r>
      <w:r w:rsidRPr="00AB3B59">
        <w:rPr>
          <w:rFonts w:cs="Calibri"/>
        </w:rPr>
        <w:t xml:space="preserve"> 20</w:t>
      </w:r>
      <w:r w:rsidR="00C006E5" w:rsidRPr="00AB3B59">
        <w:rPr>
          <w:rFonts w:cs="Calibri"/>
        </w:rPr>
        <w:t>2</w:t>
      </w:r>
      <w:r w:rsidR="00962691">
        <w:rPr>
          <w:rFonts w:cs="Calibri"/>
        </w:rPr>
        <w:t>3</w:t>
      </w:r>
      <w:r w:rsidRPr="00AB3B59">
        <w:rPr>
          <w:rFonts w:cs="Calibri"/>
        </w:rPr>
        <w:t xml:space="preserve"> est disponible dans le </w:t>
      </w:r>
      <w:r w:rsidR="00371F8B" w:rsidRPr="00AB3B59">
        <w:rPr>
          <w:rFonts w:cs="Calibri"/>
        </w:rPr>
        <w:t xml:space="preserve">rapport </w:t>
      </w:r>
      <w:r w:rsidR="00C006E5" w:rsidRPr="00AB3B59">
        <w:rPr>
          <w:rFonts w:cs="Calibri"/>
        </w:rPr>
        <w:t>financier</w:t>
      </w:r>
      <w:r w:rsidR="00371F8B" w:rsidRPr="00AB3B59">
        <w:rPr>
          <w:rFonts w:cs="Calibri"/>
        </w:rPr>
        <w:t xml:space="preserve"> </w:t>
      </w:r>
      <w:r w:rsidR="00C65BFC" w:rsidRPr="00AB3B59">
        <w:rPr>
          <w:rFonts w:cs="Calibri"/>
        </w:rPr>
        <w:t>semestriel</w:t>
      </w:r>
      <w:r w:rsidRPr="00AB3B59">
        <w:rPr>
          <w:rFonts w:cs="Calibri"/>
        </w:rPr>
        <w:t xml:space="preserve"> sur le site de Lexibook.</w:t>
      </w:r>
    </w:p>
    <w:p w14:paraId="75E38BBD" w14:textId="77777777" w:rsidR="00B85109" w:rsidRPr="005F59C9" w:rsidRDefault="00B85109" w:rsidP="00171FC2">
      <w:pPr>
        <w:autoSpaceDE w:val="0"/>
        <w:autoSpaceDN w:val="0"/>
        <w:adjustRightInd w:val="0"/>
        <w:spacing w:line="240" w:lineRule="atLeast"/>
        <w:jc w:val="both"/>
        <w:rPr>
          <w:rFonts w:cs="Calibri"/>
          <w:b/>
          <w:sz w:val="24"/>
          <w:szCs w:val="24"/>
          <w:highlight w:val="yellow"/>
        </w:rPr>
      </w:pPr>
    </w:p>
    <w:p w14:paraId="5F3A3965" w14:textId="77777777" w:rsidR="00D12C7E" w:rsidRDefault="00D12C7E">
      <w:pPr>
        <w:spacing w:after="0" w:line="240" w:lineRule="auto"/>
        <w:rPr>
          <w:rFonts w:cs="Calibri"/>
          <w:b/>
          <w:sz w:val="24"/>
          <w:szCs w:val="24"/>
        </w:rPr>
      </w:pPr>
      <w:r>
        <w:rPr>
          <w:rFonts w:cs="Calibri"/>
          <w:b/>
          <w:sz w:val="24"/>
          <w:szCs w:val="24"/>
        </w:rPr>
        <w:br w:type="page"/>
      </w:r>
    </w:p>
    <w:p w14:paraId="3574CCC5" w14:textId="7A1DAB1C" w:rsidR="00DB1A56" w:rsidRPr="00A9782F" w:rsidRDefault="004638F2" w:rsidP="00171FC2">
      <w:pPr>
        <w:autoSpaceDE w:val="0"/>
        <w:autoSpaceDN w:val="0"/>
        <w:adjustRightInd w:val="0"/>
        <w:spacing w:line="240" w:lineRule="atLeast"/>
        <w:jc w:val="both"/>
        <w:rPr>
          <w:rFonts w:cs="Calibri"/>
          <w:b/>
          <w:sz w:val="24"/>
          <w:szCs w:val="24"/>
        </w:rPr>
      </w:pPr>
      <w:r w:rsidRPr="00A9782F">
        <w:rPr>
          <w:rFonts w:cs="Calibri"/>
          <w:b/>
          <w:sz w:val="24"/>
          <w:szCs w:val="24"/>
        </w:rPr>
        <w:lastRenderedPageBreak/>
        <w:t>Un c</w:t>
      </w:r>
      <w:r w:rsidR="00DB1A56" w:rsidRPr="00A9782F">
        <w:rPr>
          <w:rFonts w:cs="Calibri"/>
          <w:b/>
          <w:sz w:val="24"/>
          <w:szCs w:val="24"/>
        </w:rPr>
        <w:t>hiffre d'affaires</w:t>
      </w:r>
      <w:r w:rsidR="00C020EE" w:rsidRPr="00A9782F">
        <w:rPr>
          <w:rFonts w:cs="Calibri"/>
          <w:b/>
          <w:sz w:val="24"/>
          <w:szCs w:val="24"/>
        </w:rPr>
        <w:t xml:space="preserve"> </w:t>
      </w:r>
      <w:r w:rsidR="00584D33">
        <w:rPr>
          <w:rFonts w:cs="Calibri"/>
          <w:b/>
          <w:sz w:val="24"/>
          <w:szCs w:val="24"/>
        </w:rPr>
        <w:t xml:space="preserve">à nouveau </w:t>
      </w:r>
      <w:r w:rsidR="00C020EE" w:rsidRPr="00A9782F">
        <w:rPr>
          <w:rFonts w:cs="Calibri"/>
          <w:b/>
          <w:sz w:val="24"/>
          <w:szCs w:val="24"/>
        </w:rPr>
        <w:t xml:space="preserve">en </w:t>
      </w:r>
      <w:r w:rsidR="00143705" w:rsidRPr="00A9782F">
        <w:rPr>
          <w:rFonts w:cs="Calibri"/>
          <w:b/>
          <w:sz w:val="24"/>
          <w:szCs w:val="24"/>
        </w:rPr>
        <w:t>progression</w:t>
      </w:r>
      <w:r w:rsidR="00E342EF">
        <w:rPr>
          <w:rFonts w:cs="Calibri"/>
          <w:b/>
          <w:sz w:val="24"/>
          <w:szCs w:val="24"/>
        </w:rPr>
        <w:t xml:space="preserve"> et une amélioration des marges</w:t>
      </w:r>
    </w:p>
    <w:p w14:paraId="66F7A2BA" w14:textId="77777777" w:rsidR="00D170B4" w:rsidRDefault="00D170B4" w:rsidP="00AA1AC0">
      <w:pPr>
        <w:autoSpaceDE w:val="0"/>
        <w:autoSpaceDN w:val="0"/>
        <w:adjustRightInd w:val="0"/>
        <w:spacing w:line="240" w:lineRule="atLeast"/>
        <w:rPr>
          <w:rFonts w:asciiTheme="minorHAnsi" w:eastAsiaTheme="minorHAnsi" w:hAnsiTheme="minorHAnsi" w:cstheme="minorHAnsi"/>
          <w:color w:val="000000"/>
        </w:rPr>
      </w:pPr>
    </w:p>
    <w:p w14:paraId="183C8FE8" w14:textId="73F52E07" w:rsidR="00AA1AC0" w:rsidRPr="00662474" w:rsidRDefault="00AA1AC0" w:rsidP="00AA1AC0">
      <w:pPr>
        <w:autoSpaceDE w:val="0"/>
        <w:autoSpaceDN w:val="0"/>
        <w:adjustRightInd w:val="0"/>
        <w:spacing w:line="240" w:lineRule="atLeast"/>
        <w:rPr>
          <w:rFonts w:cs="Calibri"/>
        </w:rPr>
      </w:pPr>
      <w:r w:rsidRPr="00956245">
        <w:rPr>
          <w:rFonts w:cs="Calibri"/>
        </w:rPr>
        <w:t>Au 30 septembre 202</w:t>
      </w:r>
      <w:r>
        <w:rPr>
          <w:rFonts w:cs="Calibri"/>
        </w:rPr>
        <w:t>3</w:t>
      </w:r>
      <w:r w:rsidRPr="00956245">
        <w:rPr>
          <w:rFonts w:cs="Calibri"/>
        </w:rPr>
        <w:t>, le chiffre d’affaires du Groupe ressort à 2</w:t>
      </w:r>
      <w:r>
        <w:rPr>
          <w:rFonts w:cs="Calibri"/>
        </w:rPr>
        <w:t>2</w:t>
      </w:r>
      <w:r w:rsidRPr="00956245">
        <w:rPr>
          <w:rFonts w:cs="Calibri"/>
        </w:rPr>
        <w:t>,</w:t>
      </w:r>
      <w:r>
        <w:rPr>
          <w:rFonts w:cs="Calibri"/>
        </w:rPr>
        <w:t>19</w:t>
      </w:r>
      <w:r w:rsidRPr="00956245">
        <w:rPr>
          <w:rFonts w:cs="Calibri"/>
        </w:rPr>
        <w:t xml:space="preserve"> M€ contre </w:t>
      </w:r>
      <w:r>
        <w:rPr>
          <w:rFonts w:cs="Calibri"/>
        </w:rPr>
        <w:t>20</w:t>
      </w:r>
      <w:r w:rsidRPr="00956245">
        <w:rPr>
          <w:rFonts w:cs="Calibri"/>
        </w:rPr>
        <w:t>,</w:t>
      </w:r>
      <w:r>
        <w:rPr>
          <w:rFonts w:cs="Calibri"/>
        </w:rPr>
        <w:t>38</w:t>
      </w:r>
      <w:r w:rsidRPr="00956245">
        <w:rPr>
          <w:rFonts w:cs="Calibri"/>
        </w:rPr>
        <w:t xml:space="preserve"> M€ au 30 septembre 202</w:t>
      </w:r>
      <w:r>
        <w:rPr>
          <w:rFonts w:cs="Calibri"/>
        </w:rPr>
        <w:t>2</w:t>
      </w:r>
      <w:r w:rsidRPr="00956245">
        <w:rPr>
          <w:rFonts w:cs="Calibri"/>
        </w:rPr>
        <w:t xml:space="preserve">, soit une progression de </w:t>
      </w:r>
      <w:r>
        <w:rPr>
          <w:rFonts w:cs="Calibri"/>
        </w:rPr>
        <w:t>8</w:t>
      </w:r>
      <w:r w:rsidRPr="00956245">
        <w:rPr>
          <w:rFonts w:cs="Calibri"/>
        </w:rPr>
        <w:t>,</w:t>
      </w:r>
      <w:r>
        <w:rPr>
          <w:rFonts w:cs="Calibri"/>
        </w:rPr>
        <w:t>9</w:t>
      </w:r>
      <w:r w:rsidRPr="00956245">
        <w:rPr>
          <w:rFonts w:cs="Calibri"/>
        </w:rPr>
        <w:t xml:space="preserve"> %. </w:t>
      </w:r>
    </w:p>
    <w:p w14:paraId="76C3D40A" w14:textId="5E9D8AE6" w:rsidR="00AA1AC0" w:rsidRDefault="00AA1AC0" w:rsidP="00AA1AC0">
      <w:r w:rsidRPr="00D3122F">
        <w:t xml:space="preserve">Le Groupe a continué sur sa lancée dès le début de l'année fiscale 2023-24, enchainant 2 nouveaux trimestres de croissance après 16 trimestres consécutifs déjà en croissance, validant à nouveau les choix stratégiques du Groupe de se positionner sur des segments porteurs. Le premier semestre fiscal 2023-24 ressort en croissance de 8.9% malgré un effet de base élevé puisque son S1 fiscal 2022-23 était déjà lui-même en hausse de 36.7%. Au global sur le semestre, le chiffre d’affaires s’établit à 22.14M€ vs 20.33M€ un an plus tôt et 14.9M€ l’année précédente. </w:t>
      </w:r>
    </w:p>
    <w:p w14:paraId="1545BDDB" w14:textId="4A11DB15" w:rsidR="00AA1AC0" w:rsidRDefault="00AA1AC0" w:rsidP="00AA1AC0">
      <w:r w:rsidRPr="00D3122F">
        <w:t xml:space="preserve">La consommation sur les produits du Groupe continue de progresser sur la quasi-totalité des segments, en particulier sur les jouets électroniques, les jeux éducatifs, les jouets musicaux, les appareils photos et l’horlogerie pour enfants. En termes géographiques, l’Europe, qui avait connu des taux de progression très forts sur le S1 S2022- 23, continue de voir son activité se développer avec une croissance de 3.4% sur le semestre. Le Groupe a engagé des plans de développements sur des nouveaux territoires, en particulier aux USA et en Asie. Les ventes sur ces zones commencent à accélérer avec des taux de croissance respectifs de 60% et 151% vs N-1. </w:t>
      </w:r>
    </w:p>
    <w:p w14:paraId="2F912C9D" w14:textId="77777777" w:rsidR="00AA1AC0" w:rsidRDefault="00AA1AC0" w:rsidP="00AA1AC0">
      <w:r w:rsidRPr="00D3122F">
        <w:t xml:space="preserve">Les produits à licence ont également contribué à cette croissance, tant sur les licences existantes comme La Reine des Neiges, Pat Patrouille, Spiderman que sur les nouvelles licences comme Super Mario, Miraculous, et Harry Potter. Les ventes de tablettes, segment le moins rentable, sont désormais insignifiantes et ne représentent qu’à peine 1% des ventes totales sur le semestre. </w:t>
      </w:r>
    </w:p>
    <w:p w14:paraId="344B7B05" w14:textId="77777777" w:rsidR="00AA1AC0" w:rsidRDefault="00AA1AC0" w:rsidP="00AA1AC0">
      <w:r w:rsidRPr="00D3122F">
        <w:t>Le Groupe a renouvelé ses campagnes de publicité digitale sur la plupart des pays Européens, renforçant ainsi la notoriété de la marque à un niveau inégalé à ce jour. Le Groupe a également commencé à déployer sa stratégie de communication sur le marché américain sur la fin du semestre.</w:t>
      </w:r>
    </w:p>
    <w:p w14:paraId="14A60BE6" w14:textId="21E3FF37" w:rsidR="00AA1AC0" w:rsidRPr="008A3D2E" w:rsidRDefault="00AA1AC0" w:rsidP="00AA1AC0">
      <w:r w:rsidRPr="008A3D2E">
        <w:t>Le tableau ci-dessous présente la marge brute, la marge brute retraitée des impacts de change qui sont inclus dans le résultat financier et d’éléments exceptionnels inclus dans la marge brute et la marge 4 nets après participations publicitaires et royalties :</w:t>
      </w:r>
    </w:p>
    <w:p w14:paraId="1F7F31A2" w14:textId="237DAEE2" w:rsidR="00AA1AC0" w:rsidRDefault="00AA1AC0" w:rsidP="00AA1AC0">
      <w:pPr>
        <w:autoSpaceDE w:val="0"/>
        <w:autoSpaceDN w:val="0"/>
        <w:adjustRightInd w:val="0"/>
        <w:spacing w:line="240" w:lineRule="atLeast"/>
        <w:rPr>
          <w:rFonts w:cs="Arial"/>
          <w:color w:val="000000"/>
        </w:rPr>
      </w:pPr>
      <w:r w:rsidRPr="00956245">
        <w:rPr>
          <w:noProof/>
        </w:rPr>
        <w:drawing>
          <wp:inline distT="0" distB="0" distL="0" distR="0" wp14:anchorId="54009EE0" wp14:editId="36DBD197">
            <wp:extent cx="5939790" cy="2370455"/>
            <wp:effectExtent l="0" t="0" r="3810" b="0"/>
            <wp:docPr id="250866668" name="Image 250866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370455"/>
                    </a:xfrm>
                    <a:prstGeom prst="rect">
                      <a:avLst/>
                    </a:prstGeom>
                    <a:noFill/>
                    <a:ln>
                      <a:noFill/>
                    </a:ln>
                  </pic:spPr>
                </pic:pic>
              </a:graphicData>
            </a:graphic>
          </wp:inline>
        </w:drawing>
      </w:r>
    </w:p>
    <w:p w14:paraId="5DBD0A2D" w14:textId="77777777" w:rsidR="009C10CB" w:rsidRPr="009C10CB" w:rsidRDefault="009C10CB" w:rsidP="00AA1AC0">
      <w:pPr>
        <w:autoSpaceDE w:val="0"/>
        <w:autoSpaceDN w:val="0"/>
        <w:adjustRightInd w:val="0"/>
        <w:spacing w:line="240" w:lineRule="atLeast"/>
        <w:rPr>
          <w:rFonts w:cs="Arial"/>
          <w:color w:val="000000"/>
        </w:rPr>
      </w:pPr>
    </w:p>
    <w:p w14:paraId="6750D41B" w14:textId="77777777" w:rsidR="00D12C7E" w:rsidRDefault="00D12C7E" w:rsidP="00AA1AC0"/>
    <w:p w14:paraId="6D9FCA9F" w14:textId="57B8CB01" w:rsidR="00AA1AC0" w:rsidRDefault="00AA1AC0" w:rsidP="00AA1AC0">
      <w:r>
        <w:lastRenderedPageBreak/>
        <w:t>Le Groupe bénéficie sur le semestre de plusieurs facteurs favorables :</w:t>
      </w:r>
    </w:p>
    <w:p w14:paraId="262D2D80" w14:textId="77777777" w:rsidR="00AA1AC0" w:rsidRDefault="00AA1AC0" w:rsidP="00AA1AC0">
      <w:r>
        <w:t>-</w:t>
      </w:r>
      <w:r>
        <w:tab/>
        <w:t>Les succès commerciaux des nouveaux produits,</w:t>
      </w:r>
    </w:p>
    <w:p w14:paraId="2E37452B" w14:textId="77777777" w:rsidR="00AA1AC0" w:rsidRDefault="00AA1AC0" w:rsidP="00AA1AC0">
      <w:r>
        <w:t>-</w:t>
      </w:r>
      <w:r>
        <w:tab/>
        <w:t>Le développement dans de nouvelles zones prometteuses à l’international avec l’extension géographiques des contrats de licences,</w:t>
      </w:r>
    </w:p>
    <w:p w14:paraId="196548E8" w14:textId="77777777" w:rsidR="00AA1AC0" w:rsidRDefault="00AA1AC0" w:rsidP="00AA1AC0">
      <w:r>
        <w:t>-</w:t>
      </w:r>
      <w:r>
        <w:tab/>
        <w:t xml:space="preserve">L’évolution favorable de la parité US$ vs EURO et GBP : </w:t>
      </w:r>
      <w:r w:rsidRPr="00405DBD">
        <w:t>Le</w:t>
      </w:r>
      <w:r>
        <w:t>xibook</w:t>
      </w:r>
      <w:r w:rsidRPr="00405DBD">
        <w:t xml:space="preserve"> effectue 100% de ses achats en US$ et revend l'essentiel de ses produits en euros ou en livres sterlings. Le dollar américain</w:t>
      </w:r>
      <w:r>
        <w:t>,</w:t>
      </w:r>
      <w:r w:rsidRPr="00405DBD">
        <w:t xml:space="preserve"> qui s’était apprécié fortement contre ces 2 monnaies (environ 16% d’évolution défavorable sur un an au 30/09/2022) a connu un ajustement inverse pour environ la moitié de la hausse enregistrée, ce qui joue favorablement sur les marges du Groupe. Lexibook avait par ailleurs procédé à des hausses tarifaires pour protéger ses marges au cas où le dollar persiste à un niveau aussi élevé dans la durée.</w:t>
      </w:r>
    </w:p>
    <w:p w14:paraId="5DAAAE4B" w14:textId="585FA2D5" w:rsidR="00AA1AC0" w:rsidRDefault="00AA1AC0" w:rsidP="00AA1AC0">
      <w:r>
        <w:t>-</w:t>
      </w:r>
      <w:r>
        <w:tab/>
        <w:t>L’effondrement des coûts de fret et la fin d</w:t>
      </w:r>
      <w:r w:rsidRPr="00D3122F">
        <w:t>es tensions sur les approvisionnements de composants</w:t>
      </w:r>
      <w:r>
        <w:t> : l</w:t>
      </w:r>
      <w:r w:rsidRPr="00405DBD">
        <w:t xml:space="preserve">a tendance inflationniste des années 2021-2022 s’est </w:t>
      </w:r>
      <w:r>
        <w:t xml:space="preserve">en effet </w:t>
      </w:r>
      <w:r w:rsidRPr="00405DBD">
        <w:t xml:space="preserve">inversée sur les coûts logistiques </w:t>
      </w:r>
      <w:r w:rsidR="00952D49">
        <w:t xml:space="preserve">sur la fin d’année </w:t>
      </w:r>
      <w:r w:rsidRPr="00405DBD">
        <w:t xml:space="preserve">et dans une moindre mesure sur les matières premières et les composants. </w:t>
      </w:r>
      <w:r w:rsidRPr="00D3122F">
        <w:t xml:space="preserve"> Le Groupe </w:t>
      </w:r>
      <w:r w:rsidR="00952D49">
        <w:t xml:space="preserve">a donc </w:t>
      </w:r>
      <w:r w:rsidRPr="00D3122F">
        <w:t>assur</w:t>
      </w:r>
      <w:r w:rsidR="00952D49">
        <w:t>é</w:t>
      </w:r>
      <w:r w:rsidRPr="00D3122F">
        <w:t xml:space="preserve"> ainsi les livraisons des commandes dans des conditions optimales et va pouvoir comme il l’avait anticipé actionner son plan de baisse des stocks d’ici à la fin de l’exercice fiscal.</w:t>
      </w:r>
    </w:p>
    <w:p w14:paraId="3C0CB1CD" w14:textId="50EEFC48" w:rsidR="00AA1AC0" w:rsidRPr="00CE5883" w:rsidRDefault="00AA1AC0" w:rsidP="009C10CB">
      <w:pPr>
        <w:rPr>
          <w:rFonts w:cs="Arial"/>
          <w:color w:val="000000"/>
        </w:rPr>
      </w:pPr>
      <w:r>
        <w:t>-</w:t>
      </w:r>
      <w:r>
        <w:tab/>
        <w:t xml:space="preserve">Le succès de la transformation digitale du Groupe et le développement spectaculaire des ventes sur internet. </w:t>
      </w:r>
    </w:p>
    <w:p w14:paraId="4E0DDF89" w14:textId="697E5C0F" w:rsidR="00AA1AC0" w:rsidRDefault="00AA1AC0" w:rsidP="00AA1AC0">
      <w:r w:rsidRPr="00405DBD">
        <w:t>Ces</w:t>
      </w:r>
      <w:r>
        <w:t xml:space="preserve"> </w:t>
      </w:r>
      <w:r w:rsidRPr="00405DBD">
        <w:t>facteurs combinés permettent au Groupe de faire progresser son niveau de marge brute à 57,9</w:t>
      </w:r>
      <w:r>
        <w:t>%</w:t>
      </w:r>
      <w:r w:rsidRPr="00405DBD">
        <w:t xml:space="preserve"> vs 52.2% en N-1. Ce niveau de marge est aussi rendu possible grâce au lancement de nouveautés à forte marge, et à un mix clients également favorable, en particulier grâce aux e-tailers et places de marchés. Ainsi, </w:t>
      </w:r>
      <w:r>
        <w:t xml:space="preserve">au 30 Septembre 2023, </w:t>
      </w:r>
      <w:r w:rsidRPr="00405DBD">
        <w:t>la marge brute retraitée des effets de change ressort ainsi à 58.9% vs 47.7% sur le</w:t>
      </w:r>
      <w:r>
        <w:t xml:space="preserve"> 1er</w:t>
      </w:r>
      <w:r w:rsidRPr="00405DBD">
        <w:t xml:space="preserve"> semestre 2022-23 et 53.9% un an plus tôt. Cet écart se confirme sur la marge 4 nets retraitée malgré des investissements publicitaires accrus et une légère augmentation de la part des produits sous </w:t>
      </w:r>
      <w:r w:rsidRPr="00D20298">
        <w:t xml:space="preserve">licence dans le chiffre d’affaires total. Ceux-ci représentent en effet </w:t>
      </w:r>
      <w:r w:rsidR="00D20298" w:rsidRPr="00D20298">
        <w:t>64</w:t>
      </w:r>
      <w:r w:rsidRPr="00D20298">
        <w:t>.5% du CA total sur le semestre vs 5</w:t>
      </w:r>
      <w:r w:rsidR="00A658DC" w:rsidRPr="00D20298">
        <w:t>9</w:t>
      </w:r>
      <w:r w:rsidRPr="00D20298">
        <w:t>.</w:t>
      </w:r>
      <w:r w:rsidR="00A658DC" w:rsidRPr="00D20298">
        <w:t>5</w:t>
      </w:r>
      <w:r w:rsidRPr="00D20298">
        <w:t>% l’année précédente. Finalement, l’ensemble de ces facteurs et la progression de l’activité</w:t>
      </w:r>
      <w:r w:rsidRPr="003E6C34">
        <w:t xml:space="preserve"> permettent de générer sur le semestre une marge 4 nets retraitée de 9.591K€ vs 6.566K€ un an plus tôt. </w:t>
      </w:r>
    </w:p>
    <w:p w14:paraId="541A305B" w14:textId="77777777" w:rsidR="00AA1AC0" w:rsidRPr="00CE5883" w:rsidRDefault="00AA1AC0" w:rsidP="00AA1AC0">
      <w:pPr>
        <w:autoSpaceDE w:val="0"/>
        <w:autoSpaceDN w:val="0"/>
        <w:adjustRightInd w:val="0"/>
        <w:spacing w:line="240" w:lineRule="atLeast"/>
        <w:rPr>
          <w:rFonts w:cs="Calibri"/>
          <w:highlight w:val="cyan"/>
        </w:rPr>
      </w:pPr>
    </w:p>
    <w:p w14:paraId="0BBE08C6" w14:textId="77777777" w:rsidR="00AA1AC0" w:rsidRPr="002A55A3" w:rsidRDefault="00AA1AC0" w:rsidP="00AA1AC0">
      <w:pPr>
        <w:autoSpaceDE w:val="0"/>
        <w:autoSpaceDN w:val="0"/>
        <w:adjustRightInd w:val="0"/>
        <w:spacing w:line="240" w:lineRule="atLeast"/>
        <w:rPr>
          <w:rFonts w:cs="Arial"/>
          <w:b/>
          <w:color w:val="000000"/>
          <w:u w:val="single"/>
        </w:rPr>
      </w:pPr>
      <w:r w:rsidRPr="002A55A3">
        <w:rPr>
          <w:rFonts w:cs="Arial"/>
          <w:b/>
          <w:color w:val="000000"/>
          <w:u w:val="single"/>
        </w:rPr>
        <w:t>2. Résultat d’’exploitation :</w:t>
      </w:r>
    </w:p>
    <w:p w14:paraId="41C53AC9" w14:textId="77777777" w:rsidR="00AA1AC0" w:rsidRPr="00CE5883" w:rsidRDefault="00AA1AC0" w:rsidP="00AA1AC0">
      <w:pPr>
        <w:autoSpaceDE w:val="0"/>
        <w:autoSpaceDN w:val="0"/>
        <w:adjustRightInd w:val="0"/>
        <w:spacing w:line="240" w:lineRule="atLeast"/>
        <w:rPr>
          <w:rFonts w:cs="Calibri"/>
          <w:highlight w:val="yellow"/>
        </w:rPr>
      </w:pPr>
      <w:r w:rsidRPr="00294389">
        <w:rPr>
          <w:rFonts w:cs="Calibri"/>
        </w:rPr>
        <w:t>Le résultat d’exploitation progresse de 47.3 % et atteint 3,54 M€. Cette progression de 1,14 M€, trouve essentiellement sa source dans la hausse du volume d’activité</w:t>
      </w:r>
      <w:r>
        <w:rPr>
          <w:rFonts w:cs="Calibri"/>
        </w:rPr>
        <w:t xml:space="preserve"> et la progression de la marge</w:t>
      </w:r>
      <w:r w:rsidRPr="00294389">
        <w:rPr>
          <w:rFonts w:cs="Calibri"/>
        </w:rPr>
        <w:t xml:space="preserve">, et témoigne des capacités du Groupe à </w:t>
      </w:r>
      <w:r>
        <w:rPr>
          <w:rFonts w:cs="Calibri"/>
        </w:rPr>
        <w:t>générer d</w:t>
      </w:r>
      <w:r w:rsidRPr="00294389">
        <w:rPr>
          <w:rFonts w:cs="Calibri"/>
        </w:rPr>
        <w:t xml:space="preserve">es marges </w:t>
      </w:r>
      <w:r>
        <w:rPr>
          <w:rFonts w:cs="Calibri"/>
        </w:rPr>
        <w:t xml:space="preserve">élevées grâce à sa stratégie de niches. </w:t>
      </w:r>
    </w:p>
    <w:p w14:paraId="4CE68062" w14:textId="77777777" w:rsidR="00326D6E" w:rsidRDefault="00326D6E" w:rsidP="00AA1AC0">
      <w:pPr>
        <w:autoSpaceDE w:val="0"/>
        <w:autoSpaceDN w:val="0"/>
        <w:adjustRightInd w:val="0"/>
        <w:spacing w:line="240" w:lineRule="atLeast"/>
        <w:rPr>
          <w:rFonts w:cs="Arial"/>
          <w:b/>
          <w:color w:val="000000"/>
          <w:u w:val="single"/>
        </w:rPr>
      </w:pPr>
    </w:p>
    <w:p w14:paraId="55166721" w14:textId="35746229" w:rsidR="00AA1AC0" w:rsidRPr="001D50CD" w:rsidRDefault="00AA1AC0" w:rsidP="00AA1AC0">
      <w:pPr>
        <w:autoSpaceDE w:val="0"/>
        <w:autoSpaceDN w:val="0"/>
        <w:adjustRightInd w:val="0"/>
        <w:spacing w:line="240" w:lineRule="atLeast"/>
        <w:rPr>
          <w:rFonts w:cs="Arial"/>
          <w:bCs/>
          <w:color w:val="000000"/>
          <w:u w:val="single"/>
        </w:rPr>
      </w:pPr>
      <w:r w:rsidRPr="002A55A3">
        <w:rPr>
          <w:rFonts w:cs="Arial"/>
          <w:b/>
          <w:color w:val="000000"/>
          <w:u w:val="single"/>
        </w:rPr>
        <w:t>3. Résultat financier :</w:t>
      </w:r>
    </w:p>
    <w:p w14:paraId="4866DDAB" w14:textId="77777777" w:rsidR="00AA1AC0" w:rsidRPr="00DC5289" w:rsidRDefault="00AA1AC0" w:rsidP="00AA1AC0">
      <w:pPr>
        <w:tabs>
          <w:tab w:val="left" w:pos="0"/>
          <w:tab w:val="left" w:pos="306"/>
          <w:tab w:val="left" w:pos="1026"/>
          <w:tab w:val="left" w:pos="1746"/>
          <w:tab w:val="left" w:pos="2466"/>
          <w:tab w:val="left" w:pos="3186"/>
          <w:tab w:val="left" w:pos="3906"/>
          <w:tab w:val="left" w:pos="4626"/>
        </w:tabs>
        <w:autoSpaceDE w:val="0"/>
        <w:autoSpaceDN w:val="0"/>
        <w:adjustRightInd w:val="0"/>
        <w:spacing w:line="240" w:lineRule="atLeast"/>
        <w:rPr>
          <w:rFonts w:cs="Arial"/>
          <w:color w:val="000000"/>
        </w:rPr>
      </w:pPr>
      <w:r w:rsidRPr="00DC5289">
        <w:rPr>
          <w:rFonts w:cs="Arial"/>
          <w:color w:val="000000"/>
        </w:rPr>
        <w:t xml:space="preserve">Le coût de l’endettement </w:t>
      </w:r>
      <w:r>
        <w:rPr>
          <w:rFonts w:cs="Arial"/>
          <w:color w:val="000000"/>
        </w:rPr>
        <w:t xml:space="preserve">est </w:t>
      </w:r>
      <w:r w:rsidRPr="00DC5289">
        <w:rPr>
          <w:rFonts w:cs="Arial"/>
          <w:color w:val="000000"/>
        </w:rPr>
        <w:t>en légère augmentation du fait des nouveaux financements obtenus</w:t>
      </w:r>
      <w:r>
        <w:rPr>
          <w:rFonts w:cs="Arial"/>
          <w:color w:val="000000"/>
        </w:rPr>
        <w:t xml:space="preserve">, </w:t>
      </w:r>
      <w:r w:rsidRPr="00DC5289">
        <w:rPr>
          <w:rFonts w:cs="Arial"/>
          <w:color w:val="000000"/>
        </w:rPr>
        <w:t>du niveau d’activité en hausse</w:t>
      </w:r>
      <w:r>
        <w:rPr>
          <w:rFonts w:cs="Arial"/>
          <w:color w:val="000000"/>
        </w:rPr>
        <w:t xml:space="preserve"> et surtout de la hausse des taux de financement généralisée au niveau international</w:t>
      </w:r>
      <w:r w:rsidRPr="00DC5289">
        <w:rPr>
          <w:rFonts w:cs="Arial"/>
          <w:color w:val="000000"/>
        </w:rPr>
        <w:t>.</w:t>
      </w:r>
    </w:p>
    <w:p w14:paraId="2D52BDDE" w14:textId="77777777" w:rsidR="00AA1AC0" w:rsidRPr="008F01A9" w:rsidRDefault="00AA1AC0" w:rsidP="00AA1AC0">
      <w:pPr>
        <w:tabs>
          <w:tab w:val="left" w:pos="0"/>
          <w:tab w:val="left" w:pos="306"/>
          <w:tab w:val="left" w:pos="1026"/>
          <w:tab w:val="left" w:pos="1746"/>
          <w:tab w:val="left" w:pos="2466"/>
          <w:tab w:val="left" w:pos="3186"/>
          <w:tab w:val="left" w:pos="3906"/>
          <w:tab w:val="left" w:pos="4626"/>
        </w:tabs>
        <w:autoSpaceDE w:val="0"/>
        <w:autoSpaceDN w:val="0"/>
        <w:adjustRightInd w:val="0"/>
        <w:spacing w:line="240" w:lineRule="atLeast"/>
        <w:rPr>
          <w:rFonts w:cs="Arial"/>
          <w:color w:val="000000"/>
        </w:rPr>
      </w:pPr>
      <w:r w:rsidRPr="00DC5289">
        <w:rPr>
          <w:rFonts w:cs="Arial"/>
          <w:color w:val="000000"/>
        </w:rPr>
        <w:t xml:space="preserve">Le résultat financier s’améliore </w:t>
      </w:r>
      <w:r>
        <w:rPr>
          <w:rFonts w:cs="Arial"/>
          <w:color w:val="000000"/>
        </w:rPr>
        <w:t xml:space="preserve">néanmoins </w:t>
      </w:r>
      <w:r w:rsidRPr="00DC5289">
        <w:rPr>
          <w:rFonts w:cs="Arial"/>
          <w:color w:val="000000"/>
        </w:rPr>
        <w:t xml:space="preserve">de 1 063 K€, principalement </w:t>
      </w:r>
      <w:r>
        <w:rPr>
          <w:rFonts w:cs="Arial"/>
          <w:color w:val="000000"/>
        </w:rPr>
        <w:t>grâce à</w:t>
      </w:r>
      <w:r w:rsidRPr="00DC5289">
        <w:rPr>
          <w:rFonts w:cs="Arial"/>
          <w:color w:val="000000"/>
        </w:rPr>
        <w:t xml:space="preserve"> la variation </w:t>
      </w:r>
      <w:r>
        <w:rPr>
          <w:rFonts w:cs="Arial"/>
          <w:color w:val="000000"/>
        </w:rPr>
        <w:t xml:space="preserve">favorable </w:t>
      </w:r>
      <w:r w:rsidRPr="00DC5289">
        <w:rPr>
          <w:rFonts w:cs="Arial"/>
          <w:color w:val="000000"/>
        </w:rPr>
        <w:t>du résultat net de change sur l’évolution des parités USD/EUR, à hauteur de + 1 145 K€.</w:t>
      </w:r>
      <w:r w:rsidRPr="008F01A9">
        <w:rPr>
          <w:rFonts w:cs="Arial"/>
          <w:color w:val="000000"/>
        </w:rPr>
        <w:t xml:space="preserve"> </w:t>
      </w:r>
    </w:p>
    <w:p w14:paraId="7E951D74" w14:textId="77777777" w:rsidR="00AA1AC0" w:rsidRPr="00F46DDC" w:rsidRDefault="00AA1AC0" w:rsidP="00AA1AC0">
      <w:pPr>
        <w:tabs>
          <w:tab w:val="left" w:pos="0"/>
          <w:tab w:val="left" w:pos="306"/>
          <w:tab w:val="left" w:pos="1026"/>
          <w:tab w:val="left" w:pos="1746"/>
          <w:tab w:val="left" w:pos="2466"/>
          <w:tab w:val="left" w:pos="3186"/>
          <w:tab w:val="left" w:pos="3906"/>
          <w:tab w:val="left" w:pos="4626"/>
        </w:tabs>
        <w:autoSpaceDE w:val="0"/>
        <w:autoSpaceDN w:val="0"/>
        <w:adjustRightInd w:val="0"/>
        <w:spacing w:line="240" w:lineRule="atLeast"/>
        <w:rPr>
          <w:rFonts w:cs="Arial"/>
          <w:color w:val="000000"/>
          <w:highlight w:val="yellow"/>
        </w:rPr>
      </w:pPr>
    </w:p>
    <w:p w14:paraId="6BED7832" w14:textId="77777777" w:rsidR="00D12C7E" w:rsidRDefault="00D12C7E" w:rsidP="00AA1AC0">
      <w:pPr>
        <w:autoSpaceDE w:val="0"/>
        <w:autoSpaceDN w:val="0"/>
        <w:adjustRightInd w:val="0"/>
        <w:spacing w:line="240" w:lineRule="atLeast"/>
        <w:rPr>
          <w:rFonts w:cs="Arial"/>
          <w:b/>
          <w:color w:val="000000"/>
          <w:u w:val="single"/>
        </w:rPr>
      </w:pPr>
    </w:p>
    <w:p w14:paraId="3997EC9E" w14:textId="22E5FB7C" w:rsidR="00AA1AC0" w:rsidRPr="002A55A3" w:rsidRDefault="00AA1AC0" w:rsidP="00AA1AC0">
      <w:pPr>
        <w:autoSpaceDE w:val="0"/>
        <w:autoSpaceDN w:val="0"/>
        <w:adjustRightInd w:val="0"/>
        <w:spacing w:line="240" w:lineRule="atLeast"/>
        <w:rPr>
          <w:rFonts w:cs="Arial"/>
          <w:b/>
          <w:color w:val="000000"/>
          <w:u w:val="single"/>
        </w:rPr>
      </w:pPr>
      <w:r w:rsidRPr="002A55A3">
        <w:rPr>
          <w:rFonts w:cs="Arial"/>
          <w:b/>
          <w:color w:val="000000"/>
          <w:u w:val="single"/>
        </w:rPr>
        <w:t>4. Résultat net :</w:t>
      </w:r>
    </w:p>
    <w:p w14:paraId="145D3E72" w14:textId="77777777" w:rsidR="00AA1AC0" w:rsidRPr="00CE5883" w:rsidRDefault="00AA1AC0" w:rsidP="00AA1AC0">
      <w:pPr>
        <w:tabs>
          <w:tab w:val="left" w:pos="0"/>
          <w:tab w:val="left" w:pos="306"/>
          <w:tab w:val="left" w:pos="1026"/>
          <w:tab w:val="left" w:pos="1746"/>
          <w:tab w:val="left" w:pos="2466"/>
          <w:tab w:val="left" w:pos="3186"/>
          <w:tab w:val="left" w:pos="3906"/>
          <w:tab w:val="left" w:pos="4626"/>
        </w:tabs>
        <w:autoSpaceDE w:val="0"/>
        <w:autoSpaceDN w:val="0"/>
        <w:adjustRightInd w:val="0"/>
        <w:spacing w:line="240" w:lineRule="atLeast"/>
        <w:rPr>
          <w:rFonts w:cs="Calibri"/>
          <w:highlight w:val="cyan"/>
        </w:rPr>
      </w:pPr>
    </w:p>
    <w:p w14:paraId="779AE7C3" w14:textId="02CDFD09" w:rsidR="00AA1AC0" w:rsidRPr="002B54A2" w:rsidRDefault="00AA1AC0" w:rsidP="00AA1AC0">
      <w:pPr>
        <w:tabs>
          <w:tab w:val="left" w:pos="0"/>
          <w:tab w:val="left" w:pos="306"/>
          <w:tab w:val="left" w:pos="1026"/>
          <w:tab w:val="left" w:pos="1746"/>
          <w:tab w:val="left" w:pos="2466"/>
          <w:tab w:val="left" w:pos="3186"/>
          <w:tab w:val="left" w:pos="3906"/>
          <w:tab w:val="left" w:pos="4626"/>
        </w:tabs>
        <w:autoSpaceDE w:val="0"/>
        <w:autoSpaceDN w:val="0"/>
        <w:adjustRightInd w:val="0"/>
        <w:spacing w:line="240" w:lineRule="atLeast"/>
        <w:rPr>
          <w:rFonts w:cs="Arial"/>
          <w:color w:val="000000"/>
        </w:rPr>
      </w:pPr>
      <w:r w:rsidRPr="00777AA4">
        <w:rPr>
          <w:rFonts w:cs="Arial"/>
          <w:color w:val="000000"/>
        </w:rPr>
        <w:t xml:space="preserve">Les impôts de la période représentent une charge de 372,2 K€ </w:t>
      </w:r>
      <w:r w:rsidRPr="00777AA4">
        <w:rPr>
          <w:rFonts w:eastAsiaTheme="minorHAnsi" w:cs="Arial"/>
          <w:color w:val="000000"/>
        </w:rPr>
        <w:t xml:space="preserve">liée à des variations de valeur des actifs d'impôt différés pour 1,8 K€ et à des </w:t>
      </w:r>
      <w:r w:rsidRPr="002B54A2">
        <w:rPr>
          <w:rFonts w:cs="Arial"/>
          <w:color w:val="000000"/>
        </w:rPr>
        <w:t>provisions IS à payer pour 374,1 K€.</w:t>
      </w:r>
      <w:r w:rsidRPr="002B54A2" w:rsidDel="002A5A10">
        <w:rPr>
          <w:rFonts w:cs="Arial"/>
          <w:color w:val="000000"/>
        </w:rPr>
        <w:t xml:space="preserve"> </w:t>
      </w:r>
    </w:p>
    <w:p w14:paraId="0CBA26D1" w14:textId="77777777" w:rsidR="00AA1AC0" w:rsidRPr="000E6E59" w:rsidRDefault="00AA1AC0" w:rsidP="00AA1AC0">
      <w:pPr>
        <w:tabs>
          <w:tab w:val="left" w:pos="0"/>
          <w:tab w:val="left" w:pos="306"/>
          <w:tab w:val="left" w:pos="1026"/>
          <w:tab w:val="left" w:pos="1746"/>
          <w:tab w:val="left" w:pos="2466"/>
          <w:tab w:val="left" w:pos="3186"/>
          <w:tab w:val="left" w:pos="3906"/>
          <w:tab w:val="left" w:pos="4626"/>
        </w:tabs>
        <w:autoSpaceDE w:val="0"/>
        <w:autoSpaceDN w:val="0"/>
        <w:adjustRightInd w:val="0"/>
        <w:spacing w:line="240" w:lineRule="atLeast"/>
        <w:rPr>
          <w:rFonts w:cs="Arial"/>
          <w:color w:val="000000"/>
        </w:rPr>
      </w:pPr>
      <w:r w:rsidRPr="002B54A2">
        <w:rPr>
          <w:rFonts w:cs="Arial"/>
          <w:color w:val="000000"/>
        </w:rPr>
        <w:t>Finalement, le résultat net au 30 septembre 2023 ressort à +3.095 K€ vs 1.247 K€ au 30 septembre 2022.</w:t>
      </w:r>
    </w:p>
    <w:p w14:paraId="2DF70491" w14:textId="77777777" w:rsidR="00AE6B1B" w:rsidRDefault="00AE6B1B" w:rsidP="00AA1AC0">
      <w:pPr>
        <w:autoSpaceDE w:val="0"/>
        <w:autoSpaceDN w:val="0"/>
        <w:adjustRightInd w:val="0"/>
        <w:spacing w:line="240" w:lineRule="atLeast"/>
        <w:rPr>
          <w:rFonts w:cs="Arial"/>
          <w:b/>
          <w:color w:val="000000"/>
          <w:u w:val="single"/>
        </w:rPr>
      </w:pPr>
    </w:p>
    <w:p w14:paraId="35111F51" w14:textId="426EC136" w:rsidR="00AA1AC0" w:rsidRPr="002A55A3" w:rsidRDefault="00AA1AC0" w:rsidP="00AA1AC0">
      <w:pPr>
        <w:autoSpaceDE w:val="0"/>
        <w:autoSpaceDN w:val="0"/>
        <w:adjustRightInd w:val="0"/>
        <w:spacing w:line="240" w:lineRule="atLeast"/>
        <w:rPr>
          <w:rFonts w:cs="Arial"/>
          <w:b/>
          <w:color w:val="000000"/>
          <w:u w:val="single"/>
        </w:rPr>
      </w:pPr>
      <w:r w:rsidRPr="002A55A3">
        <w:rPr>
          <w:rFonts w:cs="Arial"/>
          <w:b/>
          <w:color w:val="000000"/>
          <w:u w:val="single"/>
        </w:rPr>
        <w:t>5. Bilan :</w:t>
      </w:r>
    </w:p>
    <w:p w14:paraId="6CEB4954" w14:textId="77777777" w:rsidR="00AA1AC0" w:rsidRPr="00CE5883" w:rsidRDefault="00AA1AC0" w:rsidP="00AA1AC0">
      <w:pPr>
        <w:tabs>
          <w:tab w:val="left" w:pos="0"/>
          <w:tab w:val="left" w:pos="306"/>
          <w:tab w:val="left" w:pos="1026"/>
          <w:tab w:val="left" w:pos="1746"/>
          <w:tab w:val="left" w:pos="2466"/>
          <w:tab w:val="left" w:pos="3186"/>
          <w:tab w:val="left" w:pos="3906"/>
          <w:tab w:val="left" w:pos="4626"/>
        </w:tabs>
        <w:autoSpaceDE w:val="0"/>
        <w:autoSpaceDN w:val="0"/>
        <w:adjustRightInd w:val="0"/>
        <w:spacing w:line="240" w:lineRule="atLeast"/>
        <w:rPr>
          <w:rFonts w:cs="Arial"/>
          <w:color w:val="000000"/>
          <w:highlight w:val="cyan"/>
        </w:rPr>
      </w:pPr>
    </w:p>
    <w:p w14:paraId="6F00431B" w14:textId="49A319CF" w:rsidR="00AA1AC0" w:rsidRPr="00C86D8A" w:rsidRDefault="00AA1AC0" w:rsidP="00AA1AC0">
      <w:pPr>
        <w:autoSpaceDE w:val="0"/>
        <w:autoSpaceDN w:val="0"/>
        <w:adjustRightInd w:val="0"/>
        <w:spacing w:line="240" w:lineRule="atLeast"/>
        <w:rPr>
          <w:rFonts w:cs="Calibri"/>
        </w:rPr>
      </w:pPr>
      <w:bookmarkStart w:id="1" w:name="_Hlk120507108"/>
      <w:r w:rsidRPr="00C86D8A">
        <w:rPr>
          <w:rFonts w:cs="Calibri"/>
        </w:rPr>
        <w:t>Le Groupe a actualisé ses prévisions budgétaires et n’envisage pas de difficulté de trésorerie sur les 12 prochains mois.</w:t>
      </w:r>
    </w:p>
    <w:bookmarkEnd w:id="1"/>
    <w:p w14:paraId="781B6555" w14:textId="77777777" w:rsidR="00AA1AC0" w:rsidRPr="00BD4CB4" w:rsidRDefault="00AA1AC0" w:rsidP="00AA1AC0">
      <w:pPr>
        <w:tabs>
          <w:tab w:val="left" w:pos="0"/>
          <w:tab w:val="left" w:pos="306"/>
          <w:tab w:val="left" w:pos="1026"/>
          <w:tab w:val="left" w:pos="1746"/>
          <w:tab w:val="left" w:pos="2466"/>
          <w:tab w:val="left" w:pos="3186"/>
          <w:tab w:val="left" w:pos="3906"/>
          <w:tab w:val="left" w:pos="4626"/>
        </w:tabs>
        <w:autoSpaceDE w:val="0"/>
        <w:autoSpaceDN w:val="0"/>
        <w:adjustRightInd w:val="0"/>
        <w:spacing w:line="240" w:lineRule="atLeast"/>
        <w:rPr>
          <w:rFonts w:cs="Arial"/>
          <w:color w:val="000000"/>
          <w:highlight w:val="yellow"/>
        </w:rPr>
      </w:pPr>
      <w:r>
        <w:rPr>
          <w:rFonts w:cs="Arial"/>
          <w:color w:val="000000"/>
        </w:rPr>
        <w:t>Comme chaque année, l</w:t>
      </w:r>
      <w:r w:rsidRPr="006B5671">
        <w:rPr>
          <w:rFonts w:cs="Arial"/>
          <w:color w:val="000000"/>
        </w:rPr>
        <w:t xml:space="preserve">’endettement net </w:t>
      </w:r>
      <w:r>
        <w:rPr>
          <w:rFonts w:cs="Arial"/>
          <w:color w:val="000000"/>
        </w:rPr>
        <w:t>au 30 Septembre apparaît</w:t>
      </w:r>
      <w:r w:rsidRPr="006B5671">
        <w:rPr>
          <w:rFonts w:cs="Arial"/>
          <w:color w:val="000000"/>
        </w:rPr>
        <w:t xml:space="preserve"> en hausse marquée </w:t>
      </w:r>
      <w:r>
        <w:rPr>
          <w:rFonts w:cs="Arial"/>
          <w:color w:val="000000"/>
        </w:rPr>
        <w:t>par rapport au 31 Mars et ressort à 13.7 M€ au 30 Septembre 2023 vs 6.4M€ au 31 Mars 2023</w:t>
      </w:r>
      <w:r w:rsidRPr="006B5671">
        <w:rPr>
          <w:rFonts w:cs="Arial"/>
          <w:color w:val="000000"/>
        </w:rPr>
        <w:t xml:space="preserve">. Cette progression </w:t>
      </w:r>
      <w:r>
        <w:rPr>
          <w:rFonts w:cs="Arial"/>
          <w:color w:val="000000"/>
        </w:rPr>
        <w:t>atteint</w:t>
      </w:r>
      <w:r w:rsidRPr="006B5671">
        <w:rPr>
          <w:rFonts w:cs="Arial"/>
          <w:color w:val="000000"/>
        </w:rPr>
        <w:t xml:space="preserve"> 7,33 M€</w:t>
      </w:r>
      <w:r>
        <w:rPr>
          <w:rFonts w:cs="Arial"/>
          <w:color w:val="000000"/>
        </w:rPr>
        <w:t xml:space="preserve"> cette année. Elle </w:t>
      </w:r>
      <w:r w:rsidRPr="006B5671">
        <w:rPr>
          <w:rFonts w:cs="Arial"/>
          <w:color w:val="000000"/>
        </w:rPr>
        <w:t xml:space="preserve">est directement corrélée à la hausse du niveau de stock de 4.8 M€ </w:t>
      </w:r>
      <w:r>
        <w:rPr>
          <w:rFonts w:cs="Arial"/>
          <w:color w:val="000000"/>
        </w:rPr>
        <w:t>nécessaire</w:t>
      </w:r>
      <w:r w:rsidRPr="006B5671">
        <w:rPr>
          <w:rFonts w:cs="Arial"/>
          <w:color w:val="000000"/>
        </w:rPr>
        <w:t xml:space="preserve"> pour sécuriser </w:t>
      </w:r>
      <w:r>
        <w:rPr>
          <w:rFonts w:cs="Arial"/>
          <w:color w:val="000000"/>
        </w:rPr>
        <w:t>l</w:t>
      </w:r>
      <w:r w:rsidRPr="006B5671">
        <w:rPr>
          <w:rFonts w:cs="Arial"/>
          <w:color w:val="000000"/>
        </w:rPr>
        <w:t>es livraisons de fin d’année</w:t>
      </w:r>
      <w:r>
        <w:rPr>
          <w:rFonts w:cs="Arial"/>
          <w:color w:val="000000"/>
        </w:rPr>
        <w:t xml:space="preserve"> et à la progression du poste Clients en raison de la hausse de la saisonnalité de l’activité</w:t>
      </w:r>
      <w:r w:rsidRPr="006B5671">
        <w:rPr>
          <w:rFonts w:cs="Arial"/>
          <w:color w:val="000000"/>
        </w:rPr>
        <w:t xml:space="preserve">. </w:t>
      </w:r>
      <w:r w:rsidRPr="00AA60F8">
        <w:rPr>
          <w:rFonts w:cs="Arial"/>
          <w:color w:val="000000"/>
        </w:rPr>
        <w:t xml:space="preserve">L'endettement net ressort </w:t>
      </w:r>
      <w:r>
        <w:rPr>
          <w:rFonts w:cs="Arial"/>
          <w:color w:val="000000"/>
        </w:rPr>
        <w:t xml:space="preserve">ainsi </w:t>
      </w:r>
      <w:r w:rsidRPr="00AA60F8">
        <w:rPr>
          <w:rFonts w:cs="Arial"/>
          <w:color w:val="000000"/>
        </w:rPr>
        <w:t>à 1</w:t>
      </w:r>
      <w:r>
        <w:rPr>
          <w:rFonts w:cs="Arial"/>
          <w:color w:val="000000"/>
        </w:rPr>
        <w:t>3</w:t>
      </w:r>
      <w:r w:rsidRPr="00AA60F8">
        <w:rPr>
          <w:rFonts w:cs="Arial"/>
          <w:color w:val="000000"/>
        </w:rPr>
        <w:t>,</w:t>
      </w:r>
      <w:r>
        <w:rPr>
          <w:rFonts w:cs="Arial"/>
          <w:color w:val="000000"/>
        </w:rPr>
        <w:t>74</w:t>
      </w:r>
      <w:r w:rsidRPr="00AA60F8">
        <w:rPr>
          <w:rFonts w:cs="Arial"/>
          <w:color w:val="000000"/>
        </w:rPr>
        <w:t xml:space="preserve"> M€ au 30 septembre 202</w:t>
      </w:r>
      <w:r>
        <w:rPr>
          <w:rFonts w:cs="Arial"/>
          <w:color w:val="000000"/>
        </w:rPr>
        <w:t>3</w:t>
      </w:r>
      <w:r w:rsidRPr="00AA60F8">
        <w:rPr>
          <w:rFonts w:cs="Arial"/>
          <w:color w:val="000000"/>
        </w:rPr>
        <w:t xml:space="preserve"> contre 6,</w:t>
      </w:r>
      <w:r>
        <w:rPr>
          <w:rFonts w:cs="Arial"/>
          <w:color w:val="000000"/>
        </w:rPr>
        <w:t>41</w:t>
      </w:r>
      <w:r w:rsidRPr="00AA60F8">
        <w:rPr>
          <w:rFonts w:cs="Arial"/>
          <w:color w:val="000000"/>
        </w:rPr>
        <w:t xml:space="preserve"> M€ au 31 Mars 20</w:t>
      </w:r>
      <w:r w:rsidRPr="00057CED">
        <w:rPr>
          <w:rFonts w:cs="Arial"/>
          <w:color w:val="000000"/>
        </w:rPr>
        <w:t>23.</w:t>
      </w:r>
      <w:r>
        <w:rPr>
          <w:rFonts w:cs="Arial"/>
          <w:color w:val="000000"/>
        </w:rPr>
        <w:t xml:space="preserve"> </w:t>
      </w:r>
      <w:r w:rsidRPr="00057CED">
        <w:rPr>
          <w:rFonts w:cs="Arial"/>
          <w:color w:val="000000"/>
        </w:rPr>
        <w:t>La variation de la dette nette résulte ainsi des facteurs suivants :</w:t>
      </w:r>
    </w:p>
    <w:p w14:paraId="4E0B57E7" w14:textId="77777777" w:rsidR="00AA1AC0" w:rsidRPr="00BD110B" w:rsidRDefault="00AA1AC0" w:rsidP="00AA1AC0">
      <w:pPr>
        <w:pStyle w:val="Paragraphedeliste"/>
        <w:numPr>
          <w:ilvl w:val="0"/>
          <w:numId w:val="23"/>
        </w:numPr>
        <w:tabs>
          <w:tab w:val="left" w:pos="0"/>
          <w:tab w:val="left" w:pos="306"/>
          <w:tab w:val="left" w:pos="1026"/>
          <w:tab w:val="left" w:pos="1746"/>
          <w:tab w:val="left" w:pos="2466"/>
          <w:tab w:val="left" w:pos="3186"/>
          <w:tab w:val="left" w:pos="3906"/>
          <w:tab w:val="left" w:pos="4626"/>
        </w:tabs>
        <w:autoSpaceDE w:val="0"/>
        <w:autoSpaceDN w:val="0"/>
        <w:adjustRightInd w:val="0"/>
        <w:spacing w:after="0" w:line="240" w:lineRule="atLeast"/>
        <w:jc w:val="both"/>
        <w:rPr>
          <w:rFonts w:cs="Arial"/>
          <w:color w:val="000000"/>
        </w:rPr>
      </w:pPr>
      <w:r w:rsidRPr="00BD110B">
        <w:rPr>
          <w:rFonts w:cs="Arial"/>
          <w:color w:val="000000"/>
        </w:rPr>
        <w:t>Le remboursement d’un total de 606,7 K€ pour les financements moyen terme dont elle dispose,</w:t>
      </w:r>
    </w:p>
    <w:p w14:paraId="243813A8" w14:textId="77777777" w:rsidR="00AA1AC0" w:rsidRPr="00BD110B" w:rsidRDefault="00AA1AC0" w:rsidP="00AA1AC0">
      <w:pPr>
        <w:pStyle w:val="Paragraphedeliste"/>
        <w:numPr>
          <w:ilvl w:val="0"/>
          <w:numId w:val="23"/>
        </w:numPr>
        <w:tabs>
          <w:tab w:val="left" w:pos="0"/>
          <w:tab w:val="left" w:pos="306"/>
          <w:tab w:val="left" w:pos="1026"/>
          <w:tab w:val="left" w:pos="1746"/>
          <w:tab w:val="left" w:pos="2466"/>
          <w:tab w:val="left" w:pos="3186"/>
          <w:tab w:val="left" w:pos="3906"/>
          <w:tab w:val="left" w:pos="4626"/>
        </w:tabs>
        <w:autoSpaceDE w:val="0"/>
        <w:autoSpaceDN w:val="0"/>
        <w:adjustRightInd w:val="0"/>
        <w:spacing w:after="0" w:line="240" w:lineRule="atLeast"/>
        <w:jc w:val="both"/>
        <w:rPr>
          <w:rFonts w:cs="Arial"/>
          <w:color w:val="000000"/>
        </w:rPr>
      </w:pPr>
      <w:r w:rsidRPr="00BD110B">
        <w:rPr>
          <w:rFonts w:cs="Arial"/>
          <w:color w:val="000000"/>
        </w:rPr>
        <w:t>Une hausse de l’affacturage de 3.6 M€ en lien direct avec la progression de l’activité,</w:t>
      </w:r>
    </w:p>
    <w:p w14:paraId="1656EC99" w14:textId="77777777" w:rsidR="00AA1AC0" w:rsidRPr="00BD110B" w:rsidRDefault="00AA1AC0" w:rsidP="00AA1AC0">
      <w:pPr>
        <w:pStyle w:val="Paragraphedeliste"/>
        <w:numPr>
          <w:ilvl w:val="0"/>
          <w:numId w:val="23"/>
        </w:numPr>
        <w:tabs>
          <w:tab w:val="left" w:pos="0"/>
          <w:tab w:val="left" w:pos="306"/>
          <w:tab w:val="left" w:pos="1026"/>
          <w:tab w:val="left" w:pos="1746"/>
          <w:tab w:val="left" w:pos="2466"/>
          <w:tab w:val="left" w:pos="3186"/>
          <w:tab w:val="left" w:pos="3906"/>
          <w:tab w:val="left" w:pos="4626"/>
        </w:tabs>
        <w:autoSpaceDE w:val="0"/>
        <w:autoSpaceDN w:val="0"/>
        <w:adjustRightInd w:val="0"/>
        <w:spacing w:after="0" w:line="240" w:lineRule="atLeast"/>
        <w:jc w:val="both"/>
        <w:rPr>
          <w:rFonts w:cs="Arial"/>
          <w:color w:val="000000"/>
        </w:rPr>
      </w:pPr>
      <w:r w:rsidRPr="00BD110B">
        <w:rPr>
          <w:rFonts w:cs="Arial"/>
          <w:color w:val="000000"/>
        </w:rPr>
        <w:t>Une dégradation de la trésorerie à hauteur de 4.3 M€.</w:t>
      </w:r>
    </w:p>
    <w:p w14:paraId="440C6E9E" w14:textId="77777777" w:rsidR="00D56F5F" w:rsidRDefault="00D56F5F" w:rsidP="00AA1AC0">
      <w:pPr>
        <w:rPr>
          <w:rFonts w:cs="Arial"/>
          <w:color w:val="000000"/>
        </w:rPr>
      </w:pPr>
    </w:p>
    <w:p w14:paraId="7A71C581" w14:textId="43F014B3" w:rsidR="00AA1AC0" w:rsidRDefault="00AA1AC0" w:rsidP="00AA1AC0">
      <w:pPr>
        <w:rPr>
          <w:rFonts w:cs="Arial"/>
          <w:color w:val="000000"/>
        </w:rPr>
      </w:pPr>
      <w:r>
        <w:rPr>
          <w:rFonts w:cs="Arial"/>
          <w:color w:val="000000"/>
        </w:rPr>
        <w:t>Néanmoins, en comparant au 30 Septembre 2022, l’endettement net s’améliore sensiblement malgré la hausse d’activité et ressort en baisse de 3,19 M€ principalement grâce à une baisse du niveau de stocks de 5.1M€.</w:t>
      </w:r>
    </w:p>
    <w:p w14:paraId="79B2ED7B" w14:textId="77777777" w:rsidR="00AA1AC0" w:rsidRPr="00B73A2B" w:rsidRDefault="00AA1AC0" w:rsidP="00AA1AC0">
      <w:pPr>
        <w:rPr>
          <w:rFonts w:eastAsiaTheme="minorHAnsi" w:cs="Arial"/>
          <w:color w:val="000000"/>
        </w:rPr>
      </w:pPr>
      <w:r>
        <w:rPr>
          <w:rFonts w:eastAsiaTheme="minorHAnsi" w:cs="Arial"/>
          <w:color w:val="000000"/>
        </w:rPr>
        <w:t>En effet, c</w:t>
      </w:r>
      <w:r w:rsidRPr="00B73A2B">
        <w:rPr>
          <w:rFonts w:eastAsiaTheme="minorHAnsi" w:cs="Arial"/>
          <w:color w:val="000000"/>
        </w:rPr>
        <w:t>ompte tenu du climat incertain sur les pénuries de composants et des tensions persistantes sur la chaine logistique</w:t>
      </w:r>
      <w:r>
        <w:rPr>
          <w:rFonts w:eastAsiaTheme="minorHAnsi" w:cs="Arial"/>
          <w:color w:val="000000"/>
        </w:rPr>
        <w:t xml:space="preserve"> depuis 2 ans</w:t>
      </w:r>
      <w:r w:rsidRPr="00B73A2B">
        <w:rPr>
          <w:rFonts w:eastAsiaTheme="minorHAnsi" w:cs="Arial"/>
          <w:color w:val="000000"/>
        </w:rPr>
        <w:t xml:space="preserve">, le Groupe </w:t>
      </w:r>
      <w:r>
        <w:rPr>
          <w:rFonts w:eastAsiaTheme="minorHAnsi" w:cs="Arial"/>
          <w:color w:val="000000"/>
        </w:rPr>
        <w:t xml:space="preserve">avait </w:t>
      </w:r>
      <w:r w:rsidRPr="00B73A2B">
        <w:rPr>
          <w:rFonts w:eastAsiaTheme="minorHAnsi" w:cs="Arial"/>
          <w:color w:val="000000"/>
        </w:rPr>
        <w:t xml:space="preserve">anticipé ses productions </w:t>
      </w:r>
      <w:r>
        <w:rPr>
          <w:rFonts w:eastAsiaTheme="minorHAnsi" w:cs="Arial"/>
          <w:color w:val="000000"/>
        </w:rPr>
        <w:t xml:space="preserve">en 2022 </w:t>
      </w:r>
      <w:r w:rsidRPr="00B73A2B">
        <w:rPr>
          <w:rFonts w:eastAsiaTheme="minorHAnsi" w:cs="Arial"/>
          <w:color w:val="000000"/>
        </w:rPr>
        <w:t>afin de sécuriser ses approvisionnements et ses livraisons de fin d’année.</w:t>
      </w:r>
      <w:r>
        <w:rPr>
          <w:rFonts w:eastAsiaTheme="minorHAnsi" w:cs="Arial"/>
          <w:color w:val="000000"/>
        </w:rPr>
        <w:t xml:space="preserve"> Les pénuries de composants étant désormais levées depuis l’été 2023, Lexibook a commencé à utiliser les stocks de sécurité constitués sans les reconstituer. </w:t>
      </w:r>
    </w:p>
    <w:p w14:paraId="18157037" w14:textId="3D07D5E5" w:rsidR="00AA1AC0" w:rsidRPr="00361549" w:rsidRDefault="00AA1AC0" w:rsidP="00AA1AC0">
      <w:pPr>
        <w:rPr>
          <w:rFonts w:eastAsiaTheme="minorHAnsi" w:cs="Arial"/>
          <w:color w:val="000000"/>
        </w:rPr>
      </w:pPr>
      <w:r w:rsidRPr="00D735BA">
        <w:rPr>
          <w:rFonts w:eastAsiaTheme="minorHAnsi" w:cs="Arial"/>
          <w:color w:val="000000"/>
        </w:rPr>
        <w:t xml:space="preserve">Le niveau de stocks ressort ainsi à un niveau </w:t>
      </w:r>
      <w:r>
        <w:rPr>
          <w:rFonts w:eastAsiaTheme="minorHAnsi" w:cs="Arial"/>
          <w:color w:val="000000"/>
        </w:rPr>
        <w:t>nettement en baisse à</w:t>
      </w:r>
      <w:r w:rsidRPr="00D735BA">
        <w:rPr>
          <w:rFonts w:eastAsiaTheme="minorHAnsi" w:cs="Arial"/>
          <w:color w:val="000000"/>
        </w:rPr>
        <w:t xml:space="preserve"> 20,3 M€ au 30 septembre 2023 vs </w:t>
      </w:r>
      <w:r>
        <w:rPr>
          <w:rFonts w:eastAsiaTheme="minorHAnsi" w:cs="Arial"/>
          <w:color w:val="000000"/>
        </w:rPr>
        <w:t>2</w:t>
      </w:r>
      <w:r w:rsidRPr="00D735BA">
        <w:rPr>
          <w:rFonts w:eastAsiaTheme="minorHAnsi" w:cs="Arial"/>
          <w:color w:val="000000"/>
        </w:rPr>
        <w:t>5,</w:t>
      </w:r>
      <w:r>
        <w:rPr>
          <w:rFonts w:eastAsiaTheme="minorHAnsi" w:cs="Arial"/>
          <w:color w:val="000000"/>
        </w:rPr>
        <w:t>4</w:t>
      </w:r>
      <w:r w:rsidRPr="00D735BA">
        <w:rPr>
          <w:rFonts w:eastAsiaTheme="minorHAnsi" w:cs="Arial"/>
          <w:color w:val="000000"/>
        </w:rPr>
        <w:t xml:space="preserve"> M€ au </w:t>
      </w:r>
      <w:r>
        <w:rPr>
          <w:rFonts w:eastAsiaTheme="minorHAnsi" w:cs="Arial"/>
          <w:color w:val="000000"/>
        </w:rPr>
        <w:t>30 Septembre 2022</w:t>
      </w:r>
      <w:r w:rsidRPr="00D735BA">
        <w:rPr>
          <w:rFonts w:eastAsiaTheme="minorHAnsi" w:cs="Arial"/>
          <w:color w:val="000000"/>
        </w:rPr>
        <w:t>. Ce niveau de stocks répond aux anticipations de productions nécessaires pour honorer les commandes et sécuriser les marges et permet au Groupe d’assurer des livraisons à ses clients dans de bonnes conditions.</w:t>
      </w:r>
    </w:p>
    <w:p w14:paraId="5DA54D67" w14:textId="767F1938" w:rsidR="00AA1AC0" w:rsidRPr="00D56F5F" w:rsidRDefault="00AA1AC0" w:rsidP="00AA1AC0">
      <w:pPr>
        <w:rPr>
          <w:rFonts w:eastAsiaTheme="minorHAnsi" w:cs="Arial"/>
          <w:color w:val="000000"/>
        </w:rPr>
      </w:pPr>
      <w:r w:rsidRPr="00361549">
        <w:rPr>
          <w:rFonts w:eastAsiaTheme="minorHAnsi" w:cs="Arial"/>
          <w:color w:val="000000"/>
        </w:rPr>
        <w:t xml:space="preserve">Le taux de dépréciation moyen est à 7.1 % au 30 septembre 2023 versus 6.6% au 31 mars 2023. Ce taux moyen ressort en légère hausse malgré la présence en stock de nombreuses nouveautés et témoigne </w:t>
      </w:r>
      <w:r>
        <w:rPr>
          <w:rFonts w:eastAsiaTheme="minorHAnsi" w:cs="Arial"/>
          <w:color w:val="000000"/>
        </w:rPr>
        <w:t xml:space="preserve">donc </w:t>
      </w:r>
      <w:r w:rsidRPr="00361549">
        <w:rPr>
          <w:rFonts w:eastAsiaTheme="minorHAnsi" w:cs="Arial"/>
          <w:color w:val="000000"/>
        </w:rPr>
        <w:t>d’un stock sain.</w:t>
      </w:r>
    </w:p>
    <w:p w14:paraId="29974D6C" w14:textId="77777777" w:rsidR="00AA1AC0" w:rsidRPr="00CE5883" w:rsidRDefault="00AA1AC0" w:rsidP="00AA1AC0">
      <w:pPr>
        <w:rPr>
          <w:rFonts w:ascii="Tahoma" w:eastAsiaTheme="minorHAnsi" w:hAnsi="Tahoma" w:cs="Tahoma"/>
          <w:color w:val="000000"/>
          <w:highlight w:val="cyan"/>
        </w:rPr>
      </w:pPr>
    </w:p>
    <w:p w14:paraId="0FF90C2E" w14:textId="77777777" w:rsidR="00D12C7E" w:rsidRDefault="00D12C7E">
      <w:pPr>
        <w:spacing w:after="0" w:line="240" w:lineRule="auto"/>
        <w:rPr>
          <w:rFonts w:cs="Arial"/>
          <w:b/>
          <w:color w:val="000000"/>
          <w:u w:val="single"/>
        </w:rPr>
      </w:pPr>
      <w:r>
        <w:rPr>
          <w:rFonts w:cs="Arial"/>
          <w:b/>
          <w:color w:val="000000"/>
          <w:u w:val="single"/>
        </w:rPr>
        <w:br w:type="page"/>
      </w:r>
    </w:p>
    <w:p w14:paraId="2C81FC61" w14:textId="10290031" w:rsidR="00AA1AC0" w:rsidRPr="002A55A3" w:rsidRDefault="00AA1AC0" w:rsidP="00AA1AC0">
      <w:pPr>
        <w:autoSpaceDE w:val="0"/>
        <w:autoSpaceDN w:val="0"/>
        <w:adjustRightInd w:val="0"/>
        <w:spacing w:line="240" w:lineRule="atLeast"/>
        <w:rPr>
          <w:rFonts w:cs="Arial"/>
          <w:b/>
          <w:color w:val="000000"/>
          <w:u w:val="single"/>
        </w:rPr>
      </w:pPr>
      <w:r w:rsidRPr="002A55A3">
        <w:rPr>
          <w:rFonts w:cs="Arial"/>
          <w:b/>
          <w:color w:val="000000"/>
          <w:u w:val="single"/>
        </w:rPr>
        <w:lastRenderedPageBreak/>
        <w:t>6. Perspectives :</w:t>
      </w:r>
    </w:p>
    <w:p w14:paraId="65574E8F" w14:textId="334A9C7E" w:rsidR="00AA1AC0" w:rsidRPr="006A391F" w:rsidRDefault="00AA1AC0" w:rsidP="00AA1AC0">
      <w:bookmarkStart w:id="2" w:name="_Hlk120507155"/>
      <w:r>
        <w:t xml:space="preserve">Le chiffre d’affaires sur le T3 2022-23 avait progressé de 7% à 23.41M€ par rapport à un T3 2021-2022 de 21.86M€ qui était déjà en hausse de 65%. </w:t>
      </w:r>
      <w:r w:rsidRPr="006A391F">
        <w:t xml:space="preserve">Le T3 </w:t>
      </w:r>
      <w:r>
        <w:t>2023-24</w:t>
      </w:r>
      <w:r w:rsidRPr="006A391F">
        <w:t xml:space="preserve"> est attendu à nouveau en croissance et laisse augurer un nouveau chiffre d’affaires record pour le Groupe Lexibook au 31 Décembre 2023. L’activité du T4, trimestre traditionnellement le moins contributeur de CA, est attendue en baisse compte tenu d’un historique exceptionnel en 2023 et de ruptures de stocks liées à la stratégie de baisse des stocks consolidés. Au global l’activité sur l’exercice fiscal 2023-24 du Groupe Lexibook est attendue en légère croissance. </w:t>
      </w:r>
    </w:p>
    <w:p w14:paraId="48CBF7B4" w14:textId="00939A9E" w:rsidR="00AA1AC0" w:rsidRPr="006A391F" w:rsidRDefault="00AA1AC0" w:rsidP="00AA1AC0">
      <w:r w:rsidRPr="006A391F">
        <w:t xml:space="preserve">Le Groupe a renouvelé une nouvelle campagne massive de publicité digitale en Europe pour promouvoir ses nombreuses nouveautés. Celle-ci a un effet d’accélérateur sur la consommation déjà très satisfaisante des produits Lexibook tant dans les enseignes traditionnelles que sur les clients internet. Le Groupe a également répliqué cette campagne sur le marché américain dans une moindre mesure cette année compte tenu de l’arrivée tardive des produits sur ce marché. Cette campagne a contribué à promouvoir la marque sur ce nouveau territoire et laisse entrevoir un potentiel de croissance local substantiel pour les prochaines années. </w:t>
      </w:r>
    </w:p>
    <w:p w14:paraId="6B16DFCE" w14:textId="4BDAE182" w:rsidR="00AA1AC0" w:rsidRPr="006A391F" w:rsidRDefault="00AA1AC0" w:rsidP="00AA1AC0">
      <w:r w:rsidRPr="006A391F">
        <w:t>Lexibook a assuré ses livraisons de fin d’année dans de bonnes conditions. Cette logistique optimisée couplée à des ventes solides permett</w:t>
      </w:r>
      <w:r>
        <w:t>ra</w:t>
      </w:r>
      <w:r w:rsidRPr="006A391F">
        <w:t xml:space="preserve"> au Groupe d’atteindre ses objectifs.  </w:t>
      </w:r>
    </w:p>
    <w:p w14:paraId="55A4EBE5" w14:textId="599FE65B" w:rsidR="00AA1AC0" w:rsidRPr="006A391F" w:rsidRDefault="00AA1AC0" w:rsidP="00AA1AC0">
      <w:r w:rsidRPr="006A391F">
        <w:t>Au global, l’exercice 2023-24 sera donc à nouveau un bel exercice pour le Groupe Lexibook.</w:t>
      </w:r>
    </w:p>
    <w:p w14:paraId="2061E58F" w14:textId="6054F2E9" w:rsidR="00AA1AC0" w:rsidRDefault="00AA1AC0" w:rsidP="00D12C7E">
      <w:r w:rsidRPr="006A391F">
        <w:t>La collection 2024 est une nouvelle fois riche en nouveautés. Les premières présentations réalisées auprès de clients internationaux laissent augurer d’un niveau d’activité à nouveau soutenu pour l’exercice 2024-25.</w:t>
      </w:r>
      <w:r>
        <w:t xml:space="preserve"> </w:t>
      </w:r>
      <w:bookmarkEnd w:id="2"/>
    </w:p>
    <w:p w14:paraId="492DB3E7" w14:textId="77777777" w:rsidR="00D12C7E" w:rsidRPr="00D12C7E" w:rsidRDefault="00D12C7E" w:rsidP="00D12C7E"/>
    <w:p w14:paraId="3E44558D" w14:textId="2978D1C5" w:rsidR="0023059A" w:rsidRPr="004E48D4" w:rsidRDefault="0023059A" w:rsidP="00D12C7E">
      <w:pPr>
        <w:autoSpaceDE w:val="0"/>
        <w:autoSpaceDN w:val="0"/>
        <w:adjustRightInd w:val="0"/>
        <w:spacing w:before="40" w:afterLines="40" w:after="96" w:line="240" w:lineRule="atLeast"/>
        <w:jc w:val="both"/>
        <w:rPr>
          <w:rFonts w:cs="Calibri"/>
          <w:b/>
          <w:sz w:val="24"/>
          <w:szCs w:val="24"/>
        </w:rPr>
      </w:pPr>
      <w:r w:rsidRPr="004E48D4">
        <w:rPr>
          <w:rFonts w:cs="Calibri"/>
          <w:b/>
          <w:sz w:val="24"/>
          <w:szCs w:val="24"/>
        </w:rPr>
        <w:t>Calendrier financier 202</w:t>
      </w:r>
      <w:r>
        <w:rPr>
          <w:rFonts w:cs="Calibri"/>
          <w:b/>
          <w:sz w:val="24"/>
          <w:szCs w:val="24"/>
        </w:rPr>
        <w:t>3</w:t>
      </w:r>
      <w:r w:rsidRPr="004E48D4">
        <w:rPr>
          <w:rFonts w:cs="Calibri"/>
          <w:b/>
          <w:sz w:val="24"/>
          <w:szCs w:val="24"/>
        </w:rPr>
        <w:t>/202</w:t>
      </w:r>
      <w:r>
        <w:rPr>
          <w:rFonts w:cs="Calibri"/>
          <w:b/>
          <w:sz w:val="24"/>
          <w:szCs w:val="24"/>
        </w:rPr>
        <w:t>4</w:t>
      </w:r>
    </w:p>
    <w:p w14:paraId="42114EFF" w14:textId="77777777" w:rsidR="0023059A" w:rsidRPr="00BE525F" w:rsidRDefault="0023059A" w:rsidP="0023059A">
      <w:pPr>
        <w:numPr>
          <w:ilvl w:val="0"/>
          <w:numId w:val="16"/>
        </w:numPr>
        <w:spacing w:after="0" w:line="240" w:lineRule="auto"/>
        <w:ind w:left="720"/>
        <w:jc w:val="both"/>
        <w:outlineLvl w:val="0"/>
        <w:rPr>
          <w:rFonts w:cs="Calibri"/>
        </w:rPr>
      </w:pPr>
      <w:r w:rsidRPr="00BE525F">
        <w:rPr>
          <w:rFonts w:cs="Calibri"/>
        </w:rPr>
        <w:t>Chiffre d’affaires du 3ème trimestre 202</w:t>
      </w:r>
      <w:r>
        <w:rPr>
          <w:rFonts w:cs="Calibri"/>
        </w:rPr>
        <w:t>3</w:t>
      </w:r>
      <w:r w:rsidRPr="00BE525F">
        <w:rPr>
          <w:rFonts w:cs="Calibri"/>
        </w:rPr>
        <w:t>-2</w:t>
      </w:r>
      <w:r>
        <w:rPr>
          <w:rFonts w:cs="Calibri"/>
        </w:rPr>
        <w:t>4</w:t>
      </w:r>
      <w:r w:rsidRPr="00BE525F">
        <w:rPr>
          <w:rFonts w:cs="Calibri"/>
        </w:rPr>
        <w:t xml:space="preserve"> : le </w:t>
      </w:r>
      <w:r>
        <w:rPr>
          <w:rFonts w:cs="Calibri"/>
        </w:rPr>
        <w:t>28</w:t>
      </w:r>
      <w:r w:rsidRPr="00BE525F">
        <w:rPr>
          <w:rFonts w:cs="Calibri"/>
        </w:rPr>
        <w:t xml:space="preserve"> février 2023</w:t>
      </w:r>
    </w:p>
    <w:p w14:paraId="2D10552B" w14:textId="77777777" w:rsidR="0023059A" w:rsidRPr="00BE525F" w:rsidRDefault="0023059A" w:rsidP="0023059A">
      <w:pPr>
        <w:numPr>
          <w:ilvl w:val="0"/>
          <w:numId w:val="16"/>
        </w:numPr>
        <w:spacing w:after="0" w:line="240" w:lineRule="auto"/>
        <w:ind w:left="720"/>
        <w:jc w:val="both"/>
        <w:outlineLvl w:val="0"/>
        <w:rPr>
          <w:rFonts w:cs="Calibri"/>
        </w:rPr>
      </w:pPr>
      <w:r w:rsidRPr="00BE525F">
        <w:rPr>
          <w:rFonts w:cs="Calibri"/>
        </w:rPr>
        <w:t>Chiffre d’affaires du 4ème trimestre 202</w:t>
      </w:r>
      <w:r>
        <w:rPr>
          <w:rFonts w:cs="Calibri"/>
        </w:rPr>
        <w:t>3</w:t>
      </w:r>
      <w:r w:rsidRPr="00BE525F">
        <w:rPr>
          <w:rFonts w:cs="Calibri"/>
        </w:rPr>
        <w:t>-2</w:t>
      </w:r>
      <w:r>
        <w:rPr>
          <w:rFonts w:cs="Calibri"/>
        </w:rPr>
        <w:t>4</w:t>
      </w:r>
      <w:r w:rsidRPr="00BE525F">
        <w:rPr>
          <w:rFonts w:cs="Calibri"/>
        </w:rPr>
        <w:t xml:space="preserve"> : le </w:t>
      </w:r>
      <w:r>
        <w:rPr>
          <w:rFonts w:cs="Calibri"/>
        </w:rPr>
        <w:t>31</w:t>
      </w:r>
      <w:r w:rsidRPr="00BE525F">
        <w:rPr>
          <w:rFonts w:cs="Calibri"/>
        </w:rPr>
        <w:t xml:space="preserve"> mai 2023</w:t>
      </w:r>
    </w:p>
    <w:p w14:paraId="66A025DD" w14:textId="77777777" w:rsidR="0023059A" w:rsidRPr="00BE525F" w:rsidRDefault="0023059A" w:rsidP="0023059A">
      <w:pPr>
        <w:numPr>
          <w:ilvl w:val="0"/>
          <w:numId w:val="16"/>
        </w:numPr>
        <w:spacing w:after="0" w:line="240" w:lineRule="auto"/>
        <w:ind w:left="720"/>
        <w:jc w:val="both"/>
        <w:outlineLvl w:val="0"/>
        <w:rPr>
          <w:rFonts w:cs="Calibri"/>
        </w:rPr>
      </w:pPr>
      <w:r w:rsidRPr="00BE525F">
        <w:rPr>
          <w:rFonts w:cs="Calibri"/>
        </w:rPr>
        <w:t>Résultats annuels au 31 mars 202</w:t>
      </w:r>
      <w:r>
        <w:rPr>
          <w:rFonts w:cs="Calibri"/>
        </w:rPr>
        <w:t>4</w:t>
      </w:r>
      <w:r w:rsidRPr="00BE525F">
        <w:rPr>
          <w:rFonts w:cs="Calibri"/>
        </w:rPr>
        <w:t> : le 30 juin 202</w:t>
      </w:r>
      <w:r>
        <w:rPr>
          <w:rFonts w:cs="Calibri"/>
        </w:rPr>
        <w:t>4</w:t>
      </w:r>
    </w:p>
    <w:p w14:paraId="28D987EC" w14:textId="77777777" w:rsidR="0023059A" w:rsidRPr="00BE525F" w:rsidRDefault="0023059A" w:rsidP="0023059A">
      <w:pPr>
        <w:pStyle w:val="Paragraphedeliste"/>
        <w:numPr>
          <w:ilvl w:val="0"/>
          <w:numId w:val="16"/>
        </w:numPr>
        <w:spacing w:after="0" w:line="240" w:lineRule="auto"/>
        <w:ind w:left="720"/>
        <w:jc w:val="both"/>
        <w:outlineLvl w:val="0"/>
        <w:rPr>
          <w:rFonts w:cs="Calibri"/>
        </w:rPr>
      </w:pPr>
      <w:r w:rsidRPr="00BE525F">
        <w:rPr>
          <w:rFonts w:cs="Calibri"/>
        </w:rPr>
        <w:t xml:space="preserve">Mise à disposition du Document d’Enregistrement Universel au 31 </w:t>
      </w:r>
      <w:r>
        <w:rPr>
          <w:rFonts w:cs="Calibri"/>
        </w:rPr>
        <w:t>m</w:t>
      </w:r>
      <w:r w:rsidRPr="00BE525F">
        <w:rPr>
          <w:rFonts w:cs="Calibri"/>
        </w:rPr>
        <w:t>ars 202</w:t>
      </w:r>
      <w:r>
        <w:rPr>
          <w:rFonts w:cs="Calibri"/>
        </w:rPr>
        <w:t>4</w:t>
      </w:r>
      <w:r w:rsidRPr="00BE525F">
        <w:rPr>
          <w:rFonts w:cs="Calibri"/>
        </w:rPr>
        <w:t> : le 30 juin 202</w:t>
      </w:r>
      <w:r>
        <w:rPr>
          <w:rFonts w:cs="Calibri"/>
        </w:rPr>
        <w:t>4</w:t>
      </w:r>
    </w:p>
    <w:p w14:paraId="1393D856" w14:textId="77777777" w:rsidR="0006068A" w:rsidRPr="005F59C9" w:rsidRDefault="0006068A" w:rsidP="0006068A">
      <w:pPr>
        <w:spacing w:after="0" w:line="240" w:lineRule="auto"/>
        <w:jc w:val="both"/>
        <w:outlineLvl w:val="0"/>
        <w:rPr>
          <w:rFonts w:cs="Calibri"/>
          <w:b/>
          <w:i/>
          <w:sz w:val="20"/>
          <w:szCs w:val="20"/>
          <w:highlight w:val="yellow"/>
        </w:rPr>
      </w:pPr>
    </w:p>
    <w:p w14:paraId="4AA915DA" w14:textId="77777777" w:rsidR="002216E6" w:rsidRPr="005F39A9" w:rsidRDefault="002216E6" w:rsidP="002216E6">
      <w:pPr>
        <w:autoSpaceDE w:val="0"/>
        <w:autoSpaceDN w:val="0"/>
        <w:adjustRightInd w:val="0"/>
        <w:spacing w:line="240" w:lineRule="atLeast"/>
        <w:ind w:left="142"/>
        <w:jc w:val="both"/>
        <w:rPr>
          <w:rFonts w:cs="Calibri"/>
          <w:b/>
          <w:sz w:val="24"/>
          <w:szCs w:val="24"/>
        </w:rPr>
      </w:pPr>
      <w:r w:rsidRPr="005F39A9">
        <w:rPr>
          <w:rFonts w:cs="Calibri"/>
          <w:b/>
          <w:sz w:val="24"/>
          <w:szCs w:val="24"/>
        </w:rPr>
        <w:t>A propos de Lexibook</w:t>
      </w:r>
    </w:p>
    <w:p w14:paraId="53B8317F" w14:textId="77777777" w:rsidR="002216E6" w:rsidRPr="00614819" w:rsidRDefault="002216E6" w:rsidP="002216E6">
      <w:pPr>
        <w:pStyle w:val="Paragraphedeliste"/>
        <w:spacing w:after="0" w:line="240" w:lineRule="auto"/>
        <w:ind w:left="142"/>
        <w:jc w:val="both"/>
        <w:rPr>
          <w:rFonts w:cs="Calibri"/>
        </w:rPr>
      </w:pPr>
      <w:r>
        <w:rPr>
          <w:rFonts w:cs="Calibri"/>
        </w:rPr>
        <w:t>Lexibook®, p</w:t>
      </w:r>
      <w:r w:rsidRPr="00614819">
        <w:rPr>
          <w:rFonts w:cs="Calibri"/>
        </w:rPr>
        <w:t>ropriétaire de plus de 40 marques enregistrées telles que Powerman®, Decotech®, Karaoke Micro Star®, Chessman®, Cyber Arcade®, Lexitab®, iParty®, FlashBoom®, etc., Lexibook® est le leader des produits de loisirs électroniques intelligents pour les enfants. Ce succès est fondé sur une stratégie éprouvée consistant à marier des licences internationales fortes à des produits électroniques grand public à haute valeur ajoutée. Cette stratégie, complétée par une politique d'innovation constante, permet au groupe de s'épanouir à l'international et de développer en permanence de nouvelles gammes de produits sous les marques du Groupe. Avec plus de 35 millions de produits sur le marché, l'entreprise vend désormais un produit toutes les 10 secondes dans le monde entier</w:t>
      </w:r>
      <w:r>
        <w:rPr>
          <w:rFonts w:cs="Calibri"/>
        </w:rPr>
        <w:t xml:space="preserve"> </w:t>
      </w:r>
      <w:r w:rsidRPr="00614819">
        <w:rPr>
          <w:rFonts w:cs="Calibri"/>
        </w:rPr>
        <w:t xml:space="preserve">! </w:t>
      </w:r>
      <w:r w:rsidRPr="005F39A9">
        <w:rPr>
          <w:rFonts w:cs="Calibri"/>
        </w:rPr>
        <w:t xml:space="preserve">Le capital social de Lexibook est composé de </w:t>
      </w:r>
      <w:r>
        <w:rPr>
          <w:rFonts w:cs="Calibri"/>
        </w:rPr>
        <w:t>7 763 319</w:t>
      </w:r>
      <w:r w:rsidRPr="005F39A9">
        <w:rPr>
          <w:rFonts w:cs="Calibri"/>
        </w:rPr>
        <w:t xml:space="preserve"> actions cotées sur le marché Alternext à Paris (Euronext). ISIN : FR0000033599 – ALLEX ; ICB : 3743 – Consumer electronics. </w:t>
      </w:r>
      <w:r w:rsidRPr="00614819">
        <w:rPr>
          <w:rFonts w:cs="Calibri"/>
        </w:rPr>
        <w:t>Pour en savoir plus : www.lexibook.com et www.decotech-lights.com.</w:t>
      </w:r>
    </w:p>
    <w:p w14:paraId="5C4FC527" w14:textId="77777777" w:rsidR="002216E6" w:rsidRPr="005F39A9" w:rsidRDefault="002216E6" w:rsidP="002216E6">
      <w:pPr>
        <w:pStyle w:val="Paragraphedeliste"/>
        <w:spacing w:after="0" w:line="240" w:lineRule="auto"/>
        <w:ind w:left="142"/>
        <w:jc w:val="both"/>
        <w:rPr>
          <w:rFonts w:cs="Calibri"/>
          <w:b/>
          <w:i/>
          <w:sz w:val="20"/>
          <w:szCs w:val="20"/>
        </w:rPr>
      </w:pPr>
    </w:p>
    <w:p w14:paraId="7B4B5835" w14:textId="77777777" w:rsidR="002216E6" w:rsidRPr="00715FE4" w:rsidRDefault="002216E6" w:rsidP="002216E6">
      <w:pPr>
        <w:autoSpaceDE w:val="0"/>
        <w:autoSpaceDN w:val="0"/>
        <w:adjustRightInd w:val="0"/>
        <w:spacing w:line="240" w:lineRule="atLeast"/>
        <w:ind w:left="142"/>
        <w:jc w:val="both"/>
        <w:rPr>
          <w:rFonts w:cs="Calibri"/>
          <w:b/>
          <w:sz w:val="24"/>
          <w:szCs w:val="24"/>
          <w:lang w:val="en-US"/>
        </w:rPr>
      </w:pPr>
      <w:r w:rsidRPr="00715FE4">
        <w:rPr>
          <w:rFonts w:cs="Calibri"/>
          <w:b/>
          <w:sz w:val="24"/>
          <w:szCs w:val="24"/>
          <w:lang w:val="en-US"/>
        </w:rPr>
        <w:t xml:space="preserve">Contacts </w:t>
      </w:r>
    </w:p>
    <w:p w14:paraId="6FC0C7D8" w14:textId="6173BEF0" w:rsidR="00C93416" w:rsidRPr="002216E6" w:rsidRDefault="002216E6" w:rsidP="00D12C7E">
      <w:pPr>
        <w:ind w:left="142"/>
        <w:jc w:val="both"/>
        <w:outlineLvl w:val="0"/>
        <w:rPr>
          <w:rFonts w:cs="Calibri"/>
          <w:b/>
          <w:i/>
          <w:sz w:val="20"/>
          <w:szCs w:val="20"/>
          <w:lang w:val="en-US"/>
        </w:rPr>
      </w:pPr>
      <w:r w:rsidRPr="00715FE4">
        <w:rPr>
          <w:rFonts w:cs="Calibri"/>
          <w:lang w:val="en-US"/>
        </w:rPr>
        <w:t xml:space="preserve">LEXIBOOK </w:t>
      </w:r>
      <w:r>
        <w:rPr>
          <w:rFonts w:cs="Calibri"/>
          <w:lang w:val="en-US"/>
        </w:rPr>
        <w:t xml:space="preserve">- </w:t>
      </w:r>
      <w:r w:rsidRPr="00715FE4">
        <w:rPr>
          <w:rFonts w:cs="Calibri"/>
          <w:lang w:val="en-US"/>
        </w:rPr>
        <w:t>Aymer</w:t>
      </w:r>
      <w:r>
        <w:rPr>
          <w:rFonts w:cs="Calibri"/>
          <w:lang w:val="en-US"/>
        </w:rPr>
        <w:t>ic Le Cottier</w:t>
      </w:r>
      <w:r w:rsidRPr="00715FE4">
        <w:rPr>
          <w:rFonts w:cs="Calibri"/>
          <w:lang w:val="en-US"/>
        </w:rPr>
        <w:t xml:space="preserve"> - </w:t>
      </w:r>
      <w:r>
        <w:rPr>
          <w:rFonts w:cs="Calibri"/>
          <w:lang w:val="en-US"/>
        </w:rPr>
        <w:t>CEO</w:t>
      </w:r>
      <w:r w:rsidRPr="00715FE4">
        <w:rPr>
          <w:rFonts w:cs="Calibri"/>
          <w:lang w:val="en-US"/>
        </w:rPr>
        <w:t xml:space="preserve"> - 01 73 23 23 4</w:t>
      </w:r>
      <w:r>
        <w:rPr>
          <w:rFonts w:cs="Calibri"/>
          <w:lang w:val="en-US"/>
        </w:rPr>
        <w:t>8</w:t>
      </w:r>
      <w:r w:rsidRPr="00715FE4">
        <w:rPr>
          <w:rFonts w:cs="Calibri"/>
          <w:lang w:val="en-US"/>
        </w:rPr>
        <w:t xml:space="preserve"> / </w:t>
      </w:r>
      <w:r>
        <w:rPr>
          <w:rFonts w:cs="Calibri"/>
          <w:lang w:val="en-US"/>
        </w:rPr>
        <w:t>aymericlecottier</w:t>
      </w:r>
      <w:r w:rsidRPr="00715FE4">
        <w:rPr>
          <w:rFonts w:cs="Calibri"/>
          <w:lang w:val="en-US"/>
        </w:rPr>
        <w:t>@lexibook.com</w:t>
      </w:r>
    </w:p>
    <w:sectPr w:rsidR="00C93416" w:rsidRPr="002216E6" w:rsidSect="004767C6">
      <w:footerReference w:type="default" r:id="rId10"/>
      <w:footnotePr>
        <w:numRestart w:val="eachPage"/>
      </w:footnotePr>
      <w:pgSz w:w="11906" w:h="16838" w:code="9"/>
      <w:pgMar w:top="882" w:right="991" w:bottom="1418" w:left="1417" w:header="709"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DFA6" w14:textId="77777777" w:rsidR="006A780F" w:rsidRDefault="006A780F" w:rsidP="00A02228">
      <w:pPr>
        <w:spacing w:after="0" w:line="240" w:lineRule="auto"/>
      </w:pPr>
      <w:r>
        <w:separator/>
      </w:r>
    </w:p>
  </w:endnote>
  <w:endnote w:type="continuationSeparator" w:id="0">
    <w:p w14:paraId="541787B9" w14:textId="77777777" w:rsidR="006A780F" w:rsidRDefault="006A780F" w:rsidP="00A0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B0CF" w14:textId="2A835A6B" w:rsidR="007B7287" w:rsidRPr="00D228C3" w:rsidRDefault="007B7287" w:rsidP="00555E6D">
    <w:pPr>
      <w:pStyle w:val="Pieddepage"/>
      <w:pBdr>
        <w:top w:val="thinThickSmallGap" w:sz="24" w:space="1" w:color="622423"/>
      </w:pBdr>
    </w:pPr>
    <w:r w:rsidRPr="004767C6">
      <w:rPr>
        <w:rFonts w:eastAsia="Times New Roman" w:cs="Calibri"/>
        <w:sz w:val="20"/>
        <w:szCs w:val="20"/>
      </w:rPr>
      <w:t xml:space="preserve">Lexibook – Résultats </w:t>
    </w:r>
    <w:r>
      <w:rPr>
        <w:rFonts w:eastAsia="Times New Roman" w:cs="Calibri"/>
        <w:sz w:val="20"/>
        <w:szCs w:val="20"/>
      </w:rPr>
      <w:t>S1 202</w:t>
    </w:r>
    <w:r w:rsidR="0023059A">
      <w:rPr>
        <w:rFonts w:eastAsia="Times New Roman" w:cs="Calibri"/>
        <w:sz w:val="20"/>
        <w:szCs w:val="20"/>
      </w:rPr>
      <w:t>3</w:t>
    </w:r>
    <w:r>
      <w:rPr>
        <w:rFonts w:eastAsia="Times New Roman" w:cs="Calibri"/>
        <w:sz w:val="20"/>
        <w:szCs w:val="20"/>
      </w:rPr>
      <w:t>/20</w:t>
    </w:r>
    <w:r w:rsidRPr="00555E6D">
      <w:rPr>
        <w:rFonts w:eastAsia="Times New Roman" w:cs="Calibri"/>
        <w:sz w:val="20"/>
        <w:szCs w:val="20"/>
      </w:rPr>
      <w:t>2</w:t>
    </w:r>
    <w:r w:rsidR="0023059A">
      <w:rPr>
        <w:rFonts w:eastAsia="Times New Roman" w:cs="Calibri"/>
        <w:sz w:val="20"/>
        <w:szCs w:val="20"/>
      </w:rPr>
      <w:t>4</w:t>
    </w:r>
    <w:r w:rsidRPr="00555E6D">
      <w:rPr>
        <w:rFonts w:eastAsia="Times New Roman" w:cs="Calibri"/>
        <w:sz w:val="20"/>
        <w:szCs w:val="20"/>
      </w:rPr>
      <w:t xml:space="preserve"> </w:t>
    </w:r>
    <w:r w:rsidRPr="004767C6">
      <w:rPr>
        <w:rFonts w:cs="Calibri"/>
        <w:color w:val="808080"/>
        <w:sz w:val="20"/>
        <w:szCs w:val="20"/>
      </w:rPr>
      <w:tab/>
    </w:r>
    <w:r w:rsidRPr="004767C6">
      <w:rPr>
        <w:rFonts w:cs="Calibri"/>
        <w:color w:val="808080"/>
        <w:sz w:val="20"/>
        <w:szCs w:val="20"/>
      </w:rPr>
      <w:tab/>
    </w:r>
    <w:r w:rsidRPr="004767C6">
      <w:rPr>
        <w:rFonts w:eastAsia="Times New Roman" w:cs="Calibri"/>
        <w:sz w:val="20"/>
        <w:szCs w:val="20"/>
      </w:rPr>
      <w:t xml:space="preserve"> Page </w:t>
    </w:r>
    <w:r w:rsidRPr="004767C6">
      <w:rPr>
        <w:rFonts w:eastAsia="Times New Roman" w:cs="Calibri"/>
        <w:sz w:val="20"/>
        <w:szCs w:val="20"/>
      </w:rPr>
      <w:fldChar w:fldCharType="begin"/>
    </w:r>
    <w:r w:rsidRPr="004767C6">
      <w:rPr>
        <w:rFonts w:cs="Calibri"/>
        <w:sz w:val="20"/>
        <w:szCs w:val="20"/>
      </w:rPr>
      <w:instrText>PAGE   \* MERGEFORMAT</w:instrText>
    </w:r>
    <w:r w:rsidRPr="004767C6">
      <w:rPr>
        <w:rFonts w:eastAsia="Times New Roman" w:cs="Calibri"/>
        <w:sz w:val="20"/>
        <w:szCs w:val="20"/>
      </w:rPr>
      <w:fldChar w:fldCharType="separate"/>
    </w:r>
    <w:r w:rsidR="00CF1111" w:rsidRPr="00CF1111">
      <w:rPr>
        <w:rFonts w:eastAsia="Times New Roman" w:cs="Calibri"/>
        <w:noProof/>
        <w:sz w:val="20"/>
        <w:szCs w:val="20"/>
      </w:rPr>
      <w:t>5</w:t>
    </w:r>
    <w:r w:rsidRPr="004767C6">
      <w:rPr>
        <w:rFonts w:eastAsia="Times New Roman"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DDCEF" w14:textId="77777777" w:rsidR="006A780F" w:rsidRDefault="006A780F" w:rsidP="00A02228">
      <w:pPr>
        <w:spacing w:after="0" w:line="240" w:lineRule="auto"/>
      </w:pPr>
      <w:r>
        <w:separator/>
      </w:r>
    </w:p>
  </w:footnote>
  <w:footnote w:type="continuationSeparator" w:id="0">
    <w:p w14:paraId="023384EC" w14:textId="77777777" w:rsidR="006A780F" w:rsidRDefault="006A780F" w:rsidP="00A02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08E"/>
    <w:multiLevelType w:val="hybridMultilevel"/>
    <w:tmpl w:val="457E59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BA0434"/>
    <w:multiLevelType w:val="hybridMultilevel"/>
    <w:tmpl w:val="1BA85FEE"/>
    <w:lvl w:ilvl="0" w:tplc="423411BE">
      <w:start w:val="2"/>
      <w:numFmt w:val="bullet"/>
      <w:lvlText w:val="-"/>
      <w:lvlJc w:val="left"/>
      <w:pPr>
        <w:tabs>
          <w:tab w:val="num" w:pos="1068"/>
        </w:tabs>
        <w:ind w:left="1068" w:hanging="360"/>
      </w:pPr>
      <w:rPr>
        <w:rFonts w:ascii="Garamond" w:eastAsia="Times New Roman" w:hAnsi="Garamond"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63A197A"/>
    <w:multiLevelType w:val="hybridMultilevel"/>
    <w:tmpl w:val="C3A427DC"/>
    <w:lvl w:ilvl="0" w:tplc="B966F998">
      <w:start w:val="25"/>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7DB7E68"/>
    <w:multiLevelType w:val="hybridMultilevel"/>
    <w:tmpl w:val="C4800F22"/>
    <w:lvl w:ilvl="0" w:tplc="771E49EE">
      <w:numFmt w:val="bullet"/>
      <w:lvlText w:val="-"/>
      <w:lvlJc w:val="left"/>
      <w:pPr>
        <w:ind w:left="644"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D52824"/>
    <w:multiLevelType w:val="hybridMultilevel"/>
    <w:tmpl w:val="B282B490"/>
    <w:lvl w:ilvl="0" w:tplc="6630BDC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DE217B"/>
    <w:multiLevelType w:val="hybridMultilevel"/>
    <w:tmpl w:val="EAB6DFB8"/>
    <w:lvl w:ilvl="0" w:tplc="08ACF43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3B6678"/>
    <w:multiLevelType w:val="hybridMultilevel"/>
    <w:tmpl w:val="A498E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D4537B"/>
    <w:multiLevelType w:val="hybridMultilevel"/>
    <w:tmpl w:val="4D6A5B0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5048F7"/>
    <w:multiLevelType w:val="hybridMultilevel"/>
    <w:tmpl w:val="7A3E1756"/>
    <w:lvl w:ilvl="0" w:tplc="C9568526">
      <w:numFmt w:val="bullet"/>
      <w:lvlText w:val=""/>
      <w:lvlJc w:val="left"/>
      <w:pPr>
        <w:ind w:left="1065" w:hanging="360"/>
      </w:pPr>
      <w:rPr>
        <w:rFonts w:ascii="Wingdings" w:eastAsia="Times New Roman" w:hAnsi="Wingdings" w:hint="default"/>
      </w:rPr>
    </w:lvl>
    <w:lvl w:ilvl="1" w:tplc="040C0003" w:tentative="1">
      <w:start w:val="1"/>
      <w:numFmt w:val="bullet"/>
      <w:lvlText w:val="o"/>
      <w:lvlJc w:val="left"/>
      <w:pPr>
        <w:ind w:left="1785" w:hanging="360"/>
      </w:pPr>
      <w:rPr>
        <w:rFonts w:ascii="Courier New" w:hAnsi="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3403106D"/>
    <w:multiLevelType w:val="hybridMultilevel"/>
    <w:tmpl w:val="BE66CF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A9004F"/>
    <w:multiLevelType w:val="hybridMultilevel"/>
    <w:tmpl w:val="08F634D8"/>
    <w:lvl w:ilvl="0" w:tplc="73D4EF6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AE73B9"/>
    <w:multiLevelType w:val="hybridMultilevel"/>
    <w:tmpl w:val="E7A2ECCA"/>
    <w:lvl w:ilvl="0" w:tplc="732E0D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B10FE7"/>
    <w:multiLevelType w:val="hybridMultilevel"/>
    <w:tmpl w:val="4516BC92"/>
    <w:lvl w:ilvl="0" w:tplc="CD363D4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36790C"/>
    <w:multiLevelType w:val="hybridMultilevel"/>
    <w:tmpl w:val="30B2892E"/>
    <w:lvl w:ilvl="0" w:tplc="F64459D2">
      <w:numFmt w:val="bullet"/>
      <w:lvlText w:val=""/>
      <w:lvlJc w:val="left"/>
      <w:pPr>
        <w:ind w:left="717" w:hanging="360"/>
      </w:pPr>
      <w:rPr>
        <w:rFonts w:ascii="Wingdings" w:eastAsia="Calibri" w:hAnsi="Wingdings" w:cs="Calibr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492F44C6"/>
    <w:multiLevelType w:val="hybridMultilevel"/>
    <w:tmpl w:val="C0B42990"/>
    <w:lvl w:ilvl="0" w:tplc="51A24E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D77FDF"/>
    <w:multiLevelType w:val="hybridMultilevel"/>
    <w:tmpl w:val="368C203C"/>
    <w:lvl w:ilvl="0" w:tplc="C6D203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B54BB4"/>
    <w:multiLevelType w:val="hybridMultilevel"/>
    <w:tmpl w:val="CEA2A56C"/>
    <w:lvl w:ilvl="0" w:tplc="D9FA081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954730"/>
    <w:multiLevelType w:val="hybridMultilevel"/>
    <w:tmpl w:val="AD7CDEAE"/>
    <w:lvl w:ilvl="0" w:tplc="26CEFC32">
      <w:start w:val="79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127CD7"/>
    <w:multiLevelType w:val="hybridMultilevel"/>
    <w:tmpl w:val="FB80F296"/>
    <w:lvl w:ilvl="0" w:tplc="F614DD3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6F32E3"/>
    <w:multiLevelType w:val="hybridMultilevel"/>
    <w:tmpl w:val="06624156"/>
    <w:lvl w:ilvl="0" w:tplc="8654D02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6D1E6C"/>
    <w:multiLevelType w:val="hybridMultilevel"/>
    <w:tmpl w:val="E908947E"/>
    <w:lvl w:ilvl="0" w:tplc="5CD02D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65336A"/>
    <w:multiLevelType w:val="hybridMultilevel"/>
    <w:tmpl w:val="53A0ABF4"/>
    <w:lvl w:ilvl="0" w:tplc="A6A21E24">
      <w:start w:val="2013"/>
      <w:numFmt w:val="bullet"/>
      <w:lvlText w:val=""/>
      <w:lvlJc w:val="left"/>
      <w:pPr>
        <w:ind w:left="4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8033015">
    <w:abstractNumId w:val="8"/>
  </w:num>
  <w:num w:numId="2" w16cid:durableId="1609459414">
    <w:abstractNumId w:val="18"/>
  </w:num>
  <w:num w:numId="3" w16cid:durableId="565191983">
    <w:abstractNumId w:val="0"/>
  </w:num>
  <w:num w:numId="4" w16cid:durableId="2147314148">
    <w:abstractNumId w:val="20"/>
  </w:num>
  <w:num w:numId="5" w16cid:durableId="1565141326">
    <w:abstractNumId w:val="7"/>
  </w:num>
  <w:num w:numId="6" w16cid:durableId="2128505645">
    <w:abstractNumId w:val="6"/>
  </w:num>
  <w:num w:numId="7" w16cid:durableId="651328483">
    <w:abstractNumId w:val="16"/>
  </w:num>
  <w:num w:numId="8" w16cid:durableId="465245421">
    <w:abstractNumId w:val="4"/>
  </w:num>
  <w:num w:numId="9" w16cid:durableId="1296065864">
    <w:abstractNumId w:val="19"/>
  </w:num>
  <w:num w:numId="10" w16cid:durableId="210505342">
    <w:abstractNumId w:val="1"/>
  </w:num>
  <w:num w:numId="11" w16cid:durableId="956177130">
    <w:abstractNumId w:val="21"/>
  </w:num>
  <w:num w:numId="12" w16cid:durableId="1492720628">
    <w:abstractNumId w:val="14"/>
  </w:num>
  <w:num w:numId="13" w16cid:durableId="384765179">
    <w:abstractNumId w:val="10"/>
  </w:num>
  <w:num w:numId="14" w16cid:durableId="219905421">
    <w:abstractNumId w:val="9"/>
  </w:num>
  <w:num w:numId="15" w16cid:durableId="44909805">
    <w:abstractNumId w:val="5"/>
  </w:num>
  <w:num w:numId="16" w16cid:durableId="417096673">
    <w:abstractNumId w:val="3"/>
  </w:num>
  <w:num w:numId="17" w16cid:durableId="145632260">
    <w:abstractNumId w:val="12"/>
  </w:num>
  <w:num w:numId="18" w16cid:durableId="1306620223">
    <w:abstractNumId w:val="17"/>
  </w:num>
  <w:num w:numId="19" w16cid:durableId="1572930126">
    <w:abstractNumId w:val="11"/>
  </w:num>
  <w:num w:numId="20" w16cid:durableId="1012611586">
    <w:abstractNumId w:val="15"/>
  </w:num>
  <w:num w:numId="21" w16cid:durableId="611471253">
    <w:abstractNumId w:val="13"/>
  </w:num>
  <w:num w:numId="22" w16cid:durableId="551967093">
    <w:abstractNumId w:val="3"/>
  </w:num>
  <w:num w:numId="23" w16cid:durableId="56630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62CD5"/>
    <w:rsid w:val="000005E1"/>
    <w:rsid w:val="00002423"/>
    <w:rsid w:val="0000333F"/>
    <w:rsid w:val="0000358F"/>
    <w:rsid w:val="00006ED4"/>
    <w:rsid w:val="00007C87"/>
    <w:rsid w:val="00010985"/>
    <w:rsid w:val="00012D88"/>
    <w:rsid w:val="00012F8D"/>
    <w:rsid w:val="000159ED"/>
    <w:rsid w:val="00032804"/>
    <w:rsid w:val="00037227"/>
    <w:rsid w:val="0004687C"/>
    <w:rsid w:val="000505EA"/>
    <w:rsid w:val="00050AB6"/>
    <w:rsid w:val="000515F9"/>
    <w:rsid w:val="00052C81"/>
    <w:rsid w:val="00055B45"/>
    <w:rsid w:val="0006068A"/>
    <w:rsid w:val="0006288C"/>
    <w:rsid w:val="00064A77"/>
    <w:rsid w:val="0006559E"/>
    <w:rsid w:val="00065E6F"/>
    <w:rsid w:val="000675FE"/>
    <w:rsid w:val="000718FB"/>
    <w:rsid w:val="000733F8"/>
    <w:rsid w:val="00074C58"/>
    <w:rsid w:val="0007720D"/>
    <w:rsid w:val="00081DDE"/>
    <w:rsid w:val="000821A9"/>
    <w:rsid w:val="0008290A"/>
    <w:rsid w:val="00086B18"/>
    <w:rsid w:val="00087DB6"/>
    <w:rsid w:val="000911C1"/>
    <w:rsid w:val="00091EDB"/>
    <w:rsid w:val="000931EB"/>
    <w:rsid w:val="00095258"/>
    <w:rsid w:val="000953A8"/>
    <w:rsid w:val="00095FFD"/>
    <w:rsid w:val="000A640A"/>
    <w:rsid w:val="000A6B1B"/>
    <w:rsid w:val="000A7501"/>
    <w:rsid w:val="000B2A2F"/>
    <w:rsid w:val="000B2C2D"/>
    <w:rsid w:val="000B31E4"/>
    <w:rsid w:val="000C33BA"/>
    <w:rsid w:val="000C3B4C"/>
    <w:rsid w:val="000C58C4"/>
    <w:rsid w:val="000D0B76"/>
    <w:rsid w:val="000D3013"/>
    <w:rsid w:val="000D3A27"/>
    <w:rsid w:val="000D4483"/>
    <w:rsid w:val="000D494E"/>
    <w:rsid w:val="000D4D74"/>
    <w:rsid w:val="000D6AB0"/>
    <w:rsid w:val="000E40A6"/>
    <w:rsid w:val="000E4EAB"/>
    <w:rsid w:val="000E638B"/>
    <w:rsid w:val="00100BDA"/>
    <w:rsid w:val="00102B38"/>
    <w:rsid w:val="00103394"/>
    <w:rsid w:val="0010497E"/>
    <w:rsid w:val="001077CC"/>
    <w:rsid w:val="00111392"/>
    <w:rsid w:val="00112767"/>
    <w:rsid w:val="00117740"/>
    <w:rsid w:val="0012086F"/>
    <w:rsid w:val="0012503B"/>
    <w:rsid w:val="0013013B"/>
    <w:rsid w:val="001306B8"/>
    <w:rsid w:val="001325F7"/>
    <w:rsid w:val="001413C8"/>
    <w:rsid w:val="00141D13"/>
    <w:rsid w:val="00143705"/>
    <w:rsid w:val="00145478"/>
    <w:rsid w:val="001466D7"/>
    <w:rsid w:val="00155A4B"/>
    <w:rsid w:val="00157A52"/>
    <w:rsid w:val="00157AB2"/>
    <w:rsid w:val="0016147E"/>
    <w:rsid w:val="00162BAB"/>
    <w:rsid w:val="001702C1"/>
    <w:rsid w:val="00171FC2"/>
    <w:rsid w:val="00177F36"/>
    <w:rsid w:val="001809C3"/>
    <w:rsid w:val="00180C3F"/>
    <w:rsid w:val="0018114E"/>
    <w:rsid w:val="0018218B"/>
    <w:rsid w:val="0018371D"/>
    <w:rsid w:val="0018438F"/>
    <w:rsid w:val="00191A28"/>
    <w:rsid w:val="00193877"/>
    <w:rsid w:val="0019428F"/>
    <w:rsid w:val="001A10BB"/>
    <w:rsid w:val="001A11FB"/>
    <w:rsid w:val="001B160E"/>
    <w:rsid w:val="001B441C"/>
    <w:rsid w:val="001B5E6F"/>
    <w:rsid w:val="001C2DB3"/>
    <w:rsid w:val="001C3C93"/>
    <w:rsid w:val="001C7BC0"/>
    <w:rsid w:val="001D0DD5"/>
    <w:rsid w:val="001D166B"/>
    <w:rsid w:val="001D1C3B"/>
    <w:rsid w:val="001D23FD"/>
    <w:rsid w:val="001D2A20"/>
    <w:rsid w:val="001E165B"/>
    <w:rsid w:val="001E2CDD"/>
    <w:rsid w:val="001E3C5A"/>
    <w:rsid w:val="001E60F4"/>
    <w:rsid w:val="001F687F"/>
    <w:rsid w:val="001F7831"/>
    <w:rsid w:val="002000EC"/>
    <w:rsid w:val="002009B2"/>
    <w:rsid w:val="002078F3"/>
    <w:rsid w:val="00213444"/>
    <w:rsid w:val="00214863"/>
    <w:rsid w:val="002209F3"/>
    <w:rsid w:val="002216E6"/>
    <w:rsid w:val="00221C95"/>
    <w:rsid w:val="00221E8E"/>
    <w:rsid w:val="00223A91"/>
    <w:rsid w:val="00226D6C"/>
    <w:rsid w:val="00227CE8"/>
    <w:rsid w:val="0023045A"/>
    <w:rsid w:val="0023059A"/>
    <w:rsid w:val="00231B6B"/>
    <w:rsid w:val="00234AC8"/>
    <w:rsid w:val="00235E63"/>
    <w:rsid w:val="00240C40"/>
    <w:rsid w:val="00244A4C"/>
    <w:rsid w:val="002620A2"/>
    <w:rsid w:val="00262CD5"/>
    <w:rsid w:val="00265B49"/>
    <w:rsid w:val="00271093"/>
    <w:rsid w:val="0027467A"/>
    <w:rsid w:val="00280D5A"/>
    <w:rsid w:val="002817A5"/>
    <w:rsid w:val="002823E3"/>
    <w:rsid w:val="00284C58"/>
    <w:rsid w:val="00286A22"/>
    <w:rsid w:val="002931A5"/>
    <w:rsid w:val="002A0DC7"/>
    <w:rsid w:val="002A4E4E"/>
    <w:rsid w:val="002A4F51"/>
    <w:rsid w:val="002A569D"/>
    <w:rsid w:val="002B1D81"/>
    <w:rsid w:val="002B21C3"/>
    <w:rsid w:val="002B6379"/>
    <w:rsid w:val="002B6EE2"/>
    <w:rsid w:val="002B70FA"/>
    <w:rsid w:val="002B7E92"/>
    <w:rsid w:val="002C0717"/>
    <w:rsid w:val="002C0D76"/>
    <w:rsid w:val="002C4731"/>
    <w:rsid w:val="002C650C"/>
    <w:rsid w:val="002D2AA7"/>
    <w:rsid w:val="002D5394"/>
    <w:rsid w:val="002F0813"/>
    <w:rsid w:val="002F1531"/>
    <w:rsid w:val="00300AB2"/>
    <w:rsid w:val="00305775"/>
    <w:rsid w:val="00306EA8"/>
    <w:rsid w:val="0031202D"/>
    <w:rsid w:val="00313379"/>
    <w:rsid w:val="00313EB7"/>
    <w:rsid w:val="003151BC"/>
    <w:rsid w:val="0031721E"/>
    <w:rsid w:val="00322F94"/>
    <w:rsid w:val="00326D6E"/>
    <w:rsid w:val="00327341"/>
    <w:rsid w:val="003350ED"/>
    <w:rsid w:val="00335B1B"/>
    <w:rsid w:val="00336E45"/>
    <w:rsid w:val="00337B1E"/>
    <w:rsid w:val="00340F26"/>
    <w:rsid w:val="00346B7E"/>
    <w:rsid w:val="003476B8"/>
    <w:rsid w:val="003530D9"/>
    <w:rsid w:val="003602B1"/>
    <w:rsid w:val="003635F4"/>
    <w:rsid w:val="003636DC"/>
    <w:rsid w:val="00367069"/>
    <w:rsid w:val="003671F3"/>
    <w:rsid w:val="003711D4"/>
    <w:rsid w:val="00371F8B"/>
    <w:rsid w:val="00380281"/>
    <w:rsid w:val="0038270D"/>
    <w:rsid w:val="00383CED"/>
    <w:rsid w:val="003A3D79"/>
    <w:rsid w:val="003A5A99"/>
    <w:rsid w:val="003A7455"/>
    <w:rsid w:val="003A79A4"/>
    <w:rsid w:val="003B6275"/>
    <w:rsid w:val="003C5768"/>
    <w:rsid w:val="003C5D46"/>
    <w:rsid w:val="003C76CA"/>
    <w:rsid w:val="003C7E96"/>
    <w:rsid w:val="003C7EF5"/>
    <w:rsid w:val="003D1C5F"/>
    <w:rsid w:val="003D7B42"/>
    <w:rsid w:val="003E08D3"/>
    <w:rsid w:val="003E3287"/>
    <w:rsid w:val="003E3D77"/>
    <w:rsid w:val="003E442D"/>
    <w:rsid w:val="003E4ECD"/>
    <w:rsid w:val="003F1930"/>
    <w:rsid w:val="003F5279"/>
    <w:rsid w:val="00401741"/>
    <w:rsid w:val="004054F3"/>
    <w:rsid w:val="0041209D"/>
    <w:rsid w:val="004127C1"/>
    <w:rsid w:val="00415C3B"/>
    <w:rsid w:val="004214DC"/>
    <w:rsid w:val="00421702"/>
    <w:rsid w:val="004237EC"/>
    <w:rsid w:val="0044060D"/>
    <w:rsid w:val="00440AFB"/>
    <w:rsid w:val="00441613"/>
    <w:rsid w:val="00441EC3"/>
    <w:rsid w:val="00445B71"/>
    <w:rsid w:val="00446DDB"/>
    <w:rsid w:val="004525DD"/>
    <w:rsid w:val="004638F2"/>
    <w:rsid w:val="004646F9"/>
    <w:rsid w:val="004724EE"/>
    <w:rsid w:val="0047356A"/>
    <w:rsid w:val="004767C6"/>
    <w:rsid w:val="00477E0A"/>
    <w:rsid w:val="00480954"/>
    <w:rsid w:val="00483C25"/>
    <w:rsid w:val="00487FE2"/>
    <w:rsid w:val="00490104"/>
    <w:rsid w:val="00494713"/>
    <w:rsid w:val="004959B4"/>
    <w:rsid w:val="004A04B7"/>
    <w:rsid w:val="004A1B0D"/>
    <w:rsid w:val="004A3712"/>
    <w:rsid w:val="004A4AF5"/>
    <w:rsid w:val="004A5DCF"/>
    <w:rsid w:val="004B592F"/>
    <w:rsid w:val="004B697D"/>
    <w:rsid w:val="004C2A37"/>
    <w:rsid w:val="004D39E7"/>
    <w:rsid w:val="004D45BE"/>
    <w:rsid w:val="004D4B91"/>
    <w:rsid w:val="004D6730"/>
    <w:rsid w:val="004E02FF"/>
    <w:rsid w:val="004E302C"/>
    <w:rsid w:val="004E32FA"/>
    <w:rsid w:val="004E525C"/>
    <w:rsid w:val="004F11A3"/>
    <w:rsid w:val="004F641E"/>
    <w:rsid w:val="00503789"/>
    <w:rsid w:val="00504021"/>
    <w:rsid w:val="00504757"/>
    <w:rsid w:val="00507E62"/>
    <w:rsid w:val="00517B4C"/>
    <w:rsid w:val="00521A9C"/>
    <w:rsid w:val="00533FA3"/>
    <w:rsid w:val="0053538E"/>
    <w:rsid w:val="0053781B"/>
    <w:rsid w:val="005534DB"/>
    <w:rsid w:val="00555E6D"/>
    <w:rsid w:val="00560D73"/>
    <w:rsid w:val="005610D1"/>
    <w:rsid w:val="00565045"/>
    <w:rsid w:val="005731FB"/>
    <w:rsid w:val="00574C10"/>
    <w:rsid w:val="00575D61"/>
    <w:rsid w:val="00576AD9"/>
    <w:rsid w:val="005816F3"/>
    <w:rsid w:val="005833F4"/>
    <w:rsid w:val="00584D33"/>
    <w:rsid w:val="00590F2C"/>
    <w:rsid w:val="00592ED0"/>
    <w:rsid w:val="005934E6"/>
    <w:rsid w:val="00593C83"/>
    <w:rsid w:val="00596FDF"/>
    <w:rsid w:val="005A3F01"/>
    <w:rsid w:val="005A6F21"/>
    <w:rsid w:val="005A7FF9"/>
    <w:rsid w:val="005B152C"/>
    <w:rsid w:val="005B6F08"/>
    <w:rsid w:val="005B74F5"/>
    <w:rsid w:val="005C63D5"/>
    <w:rsid w:val="005C66B7"/>
    <w:rsid w:val="005C7421"/>
    <w:rsid w:val="005C74D9"/>
    <w:rsid w:val="005D08C8"/>
    <w:rsid w:val="005D196E"/>
    <w:rsid w:val="005D5FA8"/>
    <w:rsid w:val="005E091D"/>
    <w:rsid w:val="005E1146"/>
    <w:rsid w:val="005E330A"/>
    <w:rsid w:val="005E4B47"/>
    <w:rsid w:val="005F4D5D"/>
    <w:rsid w:val="005F59C9"/>
    <w:rsid w:val="00614932"/>
    <w:rsid w:val="00614EDF"/>
    <w:rsid w:val="00615089"/>
    <w:rsid w:val="00615B38"/>
    <w:rsid w:val="00615CED"/>
    <w:rsid w:val="0062141A"/>
    <w:rsid w:val="00621CB9"/>
    <w:rsid w:val="006225C9"/>
    <w:rsid w:val="00622644"/>
    <w:rsid w:val="00623D5B"/>
    <w:rsid w:val="00627597"/>
    <w:rsid w:val="006303E3"/>
    <w:rsid w:val="00630E13"/>
    <w:rsid w:val="00634F63"/>
    <w:rsid w:val="006353A7"/>
    <w:rsid w:val="00640BD8"/>
    <w:rsid w:val="0064480F"/>
    <w:rsid w:val="0064504D"/>
    <w:rsid w:val="006459BE"/>
    <w:rsid w:val="00646FA8"/>
    <w:rsid w:val="0064732B"/>
    <w:rsid w:val="00655BE3"/>
    <w:rsid w:val="006604AA"/>
    <w:rsid w:val="00660F89"/>
    <w:rsid w:val="00662474"/>
    <w:rsid w:val="00662D89"/>
    <w:rsid w:val="006646BA"/>
    <w:rsid w:val="00665240"/>
    <w:rsid w:val="0067017A"/>
    <w:rsid w:val="00670664"/>
    <w:rsid w:val="0067079A"/>
    <w:rsid w:val="006709FA"/>
    <w:rsid w:val="006733C7"/>
    <w:rsid w:val="006757EF"/>
    <w:rsid w:val="0067716C"/>
    <w:rsid w:val="0068577C"/>
    <w:rsid w:val="00687598"/>
    <w:rsid w:val="00695026"/>
    <w:rsid w:val="00695F17"/>
    <w:rsid w:val="0069719C"/>
    <w:rsid w:val="006973EF"/>
    <w:rsid w:val="006A6DB6"/>
    <w:rsid w:val="006A780F"/>
    <w:rsid w:val="006B1CAE"/>
    <w:rsid w:val="006B272F"/>
    <w:rsid w:val="006B31DF"/>
    <w:rsid w:val="006B325C"/>
    <w:rsid w:val="006B395B"/>
    <w:rsid w:val="006B52B7"/>
    <w:rsid w:val="006C1C45"/>
    <w:rsid w:val="006C3921"/>
    <w:rsid w:val="006C4D48"/>
    <w:rsid w:val="006D2522"/>
    <w:rsid w:val="006D296D"/>
    <w:rsid w:val="006D3CE0"/>
    <w:rsid w:val="006E44EC"/>
    <w:rsid w:val="006F0D9E"/>
    <w:rsid w:val="007008F1"/>
    <w:rsid w:val="00707CE6"/>
    <w:rsid w:val="007170F3"/>
    <w:rsid w:val="00717257"/>
    <w:rsid w:val="00725250"/>
    <w:rsid w:val="00730501"/>
    <w:rsid w:val="00736344"/>
    <w:rsid w:val="00742624"/>
    <w:rsid w:val="00746AB9"/>
    <w:rsid w:val="00756390"/>
    <w:rsid w:val="007576DC"/>
    <w:rsid w:val="00757975"/>
    <w:rsid w:val="00770668"/>
    <w:rsid w:val="00774F65"/>
    <w:rsid w:val="00775BB7"/>
    <w:rsid w:val="007768CD"/>
    <w:rsid w:val="00780031"/>
    <w:rsid w:val="007819AD"/>
    <w:rsid w:val="00782B28"/>
    <w:rsid w:val="00786AAD"/>
    <w:rsid w:val="0079475E"/>
    <w:rsid w:val="00795A10"/>
    <w:rsid w:val="007A0CC6"/>
    <w:rsid w:val="007A78EB"/>
    <w:rsid w:val="007B47C6"/>
    <w:rsid w:val="007B52B1"/>
    <w:rsid w:val="007B5CF2"/>
    <w:rsid w:val="007B7287"/>
    <w:rsid w:val="007B764B"/>
    <w:rsid w:val="007C6B5E"/>
    <w:rsid w:val="007C79C4"/>
    <w:rsid w:val="007C7F27"/>
    <w:rsid w:val="007D0E75"/>
    <w:rsid w:val="007D1C11"/>
    <w:rsid w:val="007E03C2"/>
    <w:rsid w:val="007E2638"/>
    <w:rsid w:val="007E4645"/>
    <w:rsid w:val="007F344F"/>
    <w:rsid w:val="007F3CC6"/>
    <w:rsid w:val="007F3D7B"/>
    <w:rsid w:val="007F4864"/>
    <w:rsid w:val="007F6375"/>
    <w:rsid w:val="007F6F81"/>
    <w:rsid w:val="007F7FF6"/>
    <w:rsid w:val="00802544"/>
    <w:rsid w:val="00802A7D"/>
    <w:rsid w:val="00804222"/>
    <w:rsid w:val="00810B85"/>
    <w:rsid w:val="008147FA"/>
    <w:rsid w:val="00814E91"/>
    <w:rsid w:val="00817A31"/>
    <w:rsid w:val="00824882"/>
    <w:rsid w:val="008263E6"/>
    <w:rsid w:val="00832D45"/>
    <w:rsid w:val="00833627"/>
    <w:rsid w:val="008379E6"/>
    <w:rsid w:val="0084477B"/>
    <w:rsid w:val="0084518A"/>
    <w:rsid w:val="00853AF5"/>
    <w:rsid w:val="008548BD"/>
    <w:rsid w:val="00854973"/>
    <w:rsid w:val="0086154C"/>
    <w:rsid w:val="00865F8D"/>
    <w:rsid w:val="00867F6B"/>
    <w:rsid w:val="0087041F"/>
    <w:rsid w:val="00872CE2"/>
    <w:rsid w:val="00875FB0"/>
    <w:rsid w:val="00881DB8"/>
    <w:rsid w:val="00885DB6"/>
    <w:rsid w:val="00886124"/>
    <w:rsid w:val="008911CA"/>
    <w:rsid w:val="008937B3"/>
    <w:rsid w:val="008946D1"/>
    <w:rsid w:val="00895B5E"/>
    <w:rsid w:val="008A08DE"/>
    <w:rsid w:val="008A16C7"/>
    <w:rsid w:val="008B052F"/>
    <w:rsid w:val="008B076C"/>
    <w:rsid w:val="008B15A8"/>
    <w:rsid w:val="008B1F52"/>
    <w:rsid w:val="008B717D"/>
    <w:rsid w:val="008C25BE"/>
    <w:rsid w:val="008C3FAB"/>
    <w:rsid w:val="008D16FA"/>
    <w:rsid w:val="008D22AC"/>
    <w:rsid w:val="008D61AA"/>
    <w:rsid w:val="008E2493"/>
    <w:rsid w:val="008E416D"/>
    <w:rsid w:val="008F1848"/>
    <w:rsid w:val="008F6E2D"/>
    <w:rsid w:val="008F7A90"/>
    <w:rsid w:val="00900066"/>
    <w:rsid w:val="009019CA"/>
    <w:rsid w:val="009025E3"/>
    <w:rsid w:val="009031FC"/>
    <w:rsid w:val="00904DBA"/>
    <w:rsid w:val="0091053B"/>
    <w:rsid w:val="00912212"/>
    <w:rsid w:val="009149AC"/>
    <w:rsid w:val="009158AB"/>
    <w:rsid w:val="009161DD"/>
    <w:rsid w:val="00921936"/>
    <w:rsid w:val="00936C83"/>
    <w:rsid w:val="00936D2A"/>
    <w:rsid w:val="00941913"/>
    <w:rsid w:val="009431A0"/>
    <w:rsid w:val="0094436B"/>
    <w:rsid w:val="0095238C"/>
    <w:rsid w:val="00952CEF"/>
    <w:rsid w:val="00952D49"/>
    <w:rsid w:val="009573D6"/>
    <w:rsid w:val="00962691"/>
    <w:rsid w:val="00962A03"/>
    <w:rsid w:val="009703A2"/>
    <w:rsid w:val="009712CF"/>
    <w:rsid w:val="009720AB"/>
    <w:rsid w:val="00981E8A"/>
    <w:rsid w:val="009924B5"/>
    <w:rsid w:val="00992756"/>
    <w:rsid w:val="009A4073"/>
    <w:rsid w:val="009B1CE2"/>
    <w:rsid w:val="009B7437"/>
    <w:rsid w:val="009C10CB"/>
    <w:rsid w:val="009C182C"/>
    <w:rsid w:val="009C2E4D"/>
    <w:rsid w:val="009D2170"/>
    <w:rsid w:val="009D4050"/>
    <w:rsid w:val="009D4A92"/>
    <w:rsid w:val="009E6AA5"/>
    <w:rsid w:val="009F6A26"/>
    <w:rsid w:val="00A00C29"/>
    <w:rsid w:val="00A01964"/>
    <w:rsid w:val="00A02228"/>
    <w:rsid w:val="00A02650"/>
    <w:rsid w:val="00A055D8"/>
    <w:rsid w:val="00A11983"/>
    <w:rsid w:val="00A13B3A"/>
    <w:rsid w:val="00A25BCA"/>
    <w:rsid w:val="00A27F74"/>
    <w:rsid w:val="00A327C4"/>
    <w:rsid w:val="00A364FA"/>
    <w:rsid w:val="00A40FD1"/>
    <w:rsid w:val="00A43F85"/>
    <w:rsid w:val="00A449CB"/>
    <w:rsid w:val="00A46758"/>
    <w:rsid w:val="00A47ED0"/>
    <w:rsid w:val="00A50452"/>
    <w:rsid w:val="00A50A7B"/>
    <w:rsid w:val="00A548CE"/>
    <w:rsid w:val="00A54D3B"/>
    <w:rsid w:val="00A565DC"/>
    <w:rsid w:val="00A6449A"/>
    <w:rsid w:val="00A64D6D"/>
    <w:rsid w:val="00A658DC"/>
    <w:rsid w:val="00A708E2"/>
    <w:rsid w:val="00A70A65"/>
    <w:rsid w:val="00A7198F"/>
    <w:rsid w:val="00A86030"/>
    <w:rsid w:val="00A95336"/>
    <w:rsid w:val="00A95693"/>
    <w:rsid w:val="00A967C9"/>
    <w:rsid w:val="00A9782F"/>
    <w:rsid w:val="00AA1AC0"/>
    <w:rsid w:val="00AA3583"/>
    <w:rsid w:val="00AA512B"/>
    <w:rsid w:val="00AB08FB"/>
    <w:rsid w:val="00AB1E42"/>
    <w:rsid w:val="00AB2C1E"/>
    <w:rsid w:val="00AB30E9"/>
    <w:rsid w:val="00AB3B59"/>
    <w:rsid w:val="00AB725A"/>
    <w:rsid w:val="00AB78C4"/>
    <w:rsid w:val="00AC50D4"/>
    <w:rsid w:val="00AC731C"/>
    <w:rsid w:val="00AE1A7E"/>
    <w:rsid w:val="00AE6B1B"/>
    <w:rsid w:val="00AF5207"/>
    <w:rsid w:val="00AF6133"/>
    <w:rsid w:val="00B00D67"/>
    <w:rsid w:val="00B05977"/>
    <w:rsid w:val="00B05A4E"/>
    <w:rsid w:val="00B05C8D"/>
    <w:rsid w:val="00B06FD6"/>
    <w:rsid w:val="00B1040D"/>
    <w:rsid w:val="00B10A89"/>
    <w:rsid w:val="00B116DC"/>
    <w:rsid w:val="00B13F96"/>
    <w:rsid w:val="00B16B6B"/>
    <w:rsid w:val="00B170EA"/>
    <w:rsid w:val="00B2224D"/>
    <w:rsid w:val="00B246FF"/>
    <w:rsid w:val="00B319A8"/>
    <w:rsid w:val="00B409F1"/>
    <w:rsid w:val="00B4320D"/>
    <w:rsid w:val="00B4766E"/>
    <w:rsid w:val="00B538F7"/>
    <w:rsid w:val="00B553A6"/>
    <w:rsid w:val="00B55901"/>
    <w:rsid w:val="00B57281"/>
    <w:rsid w:val="00B801BD"/>
    <w:rsid w:val="00B80A82"/>
    <w:rsid w:val="00B81A63"/>
    <w:rsid w:val="00B833B4"/>
    <w:rsid w:val="00B83EDC"/>
    <w:rsid w:val="00B85109"/>
    <w:rsid w:val="00B86EE0"/>
    <w:rsid w:val="00B92791"/>
    <w:rsid w:val="00B941FC"/>
    <w:rsid w:val="00B94201"/>
    <w:rsid w:val="00B974D8"/>
    <w:rsid w:val="00B977C7"/>
    <w:rsid w:val="00BA4C7C"/>
    <w:rsid w:val="00BA5320"/>
    <w:rsid w:val="00BB18D1"/>
    <w:rsid w:val="00BB2119"/>
    <w:rsid w:val="00BB3A9E"/>
    <w:rsid w:val="00BB77AC"/>
    <w:rsid w:val="00BB7AF0"/>
    <w:rsid w:val="00BB7DFC"/>
    <w:rsid w:val="00BC06AA"/>
    <w:rsid w:val="00BC30E8"/>
    <w:rsid w:val="00BC38A4"/>
    <w:rsid w:val="00BC7DFF"/>
    <w:rsid w:val="00BD6AE3"/>
    <w:rsid w:val="00BD74CA"/>
    <w:rsid w:val="00BE4030"/>
    <w:rsid w:val="00BE4D6A"/>
    <w:rsid w:val="00BF16CA"/>
    <w:rsid w:val="00BF2E1C"/>
    <w:rsid w:val="00BF3C65"/>
    <w:rsid w:val="00BF73CF"/>
    <w:rsid w:val="00BF7521"/>
    <w:rsid w:val="00BF7D0B"/>
    <w:rsid w:val="00C006E5"/>
    <w:rsid w:val="00C00872"/>
    <w:rsid w:val="00C00E18"/>
    <w:rsid w:val="00C00E68"/>
    <w:rsid w:val="00C020EE"/>
    <w:rsid w:val="00C10534"/>
    <w:rsid w:val="00C12CDC"/>
    <w:rsid w:val="00C2260D"/>
    <w:rsid w:val="00C26265"/>
    <w:rsid w:val="00C2670C"/>
    <w:rsid w:val="00C2719A"/>
    <w:rsid w:val="00C31F11"/>
    <w:rsid w:val="00C322D8"/>
    <w:rsid w:val="00C33456"/>
    <w:rsid w:val="00C41E17"/>
    <w:rsid w:val="00C44F0B"/>
    <w:rsid w:val="00C47D3A"/>
    <w:rsid w:val="00C52ACF"/>
    <w:rsid w:val="00C56F20"/>
    <w:rsid w:val="00C57138"/>
    <w:rsid w:val="00C61DC7"/>
    <w:rsid w:val="00C638EF"/>
    <w:rsid w:val="00C65BFC"/>
    <w:rsid w:val="00C715B1"/>
    <w:rsid w:val="00C72594"/>
    <w:rsid w:val="00C7403B"/>
    <w:rsid w:val="00C7626B"/>
    <w:rsid w:val="00C80C60"/>
    <w:rsid w:val="00C86D9C"/>
    <w:rsid w:val="00C93054"/>
    <w:rsid w:val="00C93416"/>
    <w:rsid w:val="00C9584D"/>
    <w:rsid w:val="00CA6CE9"/>
    <w:rsid w:val="00CB0DEE"/>
    <w:rsid w:val="00CB3533"/>
    <w:rsid w:val="00CC5979"/>
    <w:rsid w:val="00CD1835"/>
    <w:rsid w:val="00CD2E1C"/>
    <w:rsid w:val="00CD2E85"/>
    <w:rsid w:val="00CD4EBB"/>
    <w:rsid w:val="00CD581A"/>
    <w:rsid w:val="00CD5A6A"/>
    <w:rsid w:val="00CD7878"/>
    <w:rsid w:val="00CE4105"/>
    <w:rsid w:val="00CF1111"/>
    <w:rsid w:val="00CF3A93"/>
    <w:rsid w:val="00CF531C"/>
    <w:rsid w:val="00CF5847"/>
    <w:rsid w:val="00CF5FAA"/>
    <w:rsid w:val="00CF60BB"/>
    <w:rsid w:val="00CF6286"/>
    <w:rsid w:val="00CF7008"/>
    <w:rsid w:val="00D00B2C"/>
    <w:rsid w:val="00D044E8"/>
    <w:rsid w:val="00D06256"/>
    <w:rsid w:val="00D12722"/>
    <w:rsid w:val="00D12C7E"/>
    <w:rsid w:val="00D12F24"/>
    <w:rsid w:val="00D136F8"/>
    <w:rsid w:val="00D13E7B"/>
    <w:rsid w:val="00D170B4"/>
    <w:rsid w:val="00D173FE"/>
    <w:rsid w:val="00D17E3D"/>
    <w:rsid w:val="00D17FA1"/>
    <w:rsid w:val="00D20298"/>
    <w:rsid w:val="00D228C3"/>
    <w:rsid w:val="00D239A6"/>
    <w:rsid w:val="00D241C2"/>
    <w:rsid w:val="00D27154"/>
    <w:rsid w:val="00D3207B"/>
    <w:rsid w:val="00D329EF"/>
    <w:rsid w:val="00D33162"/>
    <w:rsid w:val="00D41BF9"/>
    <w:rsid w:val="00D432D7"/>
    <w:rsid w:val="00D445C9"/>
    <w:rsid w:val="00D45120"/>
    <w:rsid w:val="00D51B28"/>
    <w:rsid w:val="00D5279B"/>
    <w:rsid w:val="00D558F9"/>
    <w:rsid w:val="00D56F5F"/>
    <w:rsid w:val="00D57E89"/>
    <w:rsid w:val="00D60D13"/>
    <w:rsid w:val="00D649D0"/>
    <w:rsid w:val="00D67299"/>
    <w:rsid w:val="00D803C2"/>
    <w:rsid w:val="00D80B85"/>
    <w:rsid w:val="00D80D73"/>
    <w:rsid w:val="00D812EC"/>
    <w:rsid w:val="00D90C34"/>
    <w:rsid w:val="00D93898"/>
    <w:rsid w:val="00D9430D"/>
    <w:rsid w:val="00DA41BE"/>
    <w:rsid w:val="00DA4E8A"/>
    <w:rsid w:val="00DA6A43"/>
    <w:rsid w:val="00DB11D1"/>
    <w:rsid w:val="00DB16F7"/>
    <w:rsid w:val="00DB1A56"/>
    <w:rsid w:val="00DB4974"/>
    <w:rsid w:val="00DB4F46"/>
    <w:rsid w:val="00DC3994"/>
    <w:rsid w:val="00DC4B07"/>
    <w:rsid w:val="00DC4C30"/>
    <w:rsid w:val="00DC5699"/>
    <w:rsid w:val="00DC5E75"/>
    <w:rsid w:val="00DD03D6"/>
    <w:rsid w:val="00DD0D58"/>
    <w:rsid w:val="00DD2EEA"/>
    <w:rsid w:val="00DD4891"/>
    <w:rsid w:val="00DD4E59"/>
    <w:rsid w:val="00DE23C1"/>
    <w:rsid w:val="00DE38BF"/>
    <w:rsid w:val="00DE7323"/>
    <w:rsid w:val="00DF006B"/>
    <w:rsid w:val="00DF018F"/>
    <w:rsid w:val="00DF16DD"/>
    <w:rsid w:val="00E033F5"/>
    <w:rsid w:val="00E037A1"/>
    <w:rsid w:val="00E050DD"/>
    <w:rsid w:val="00E107A8"/>
    <w:rsid w:val="00E16717"/>
    <w:rsid w:val="00E23518"/>
    <w:rsid w:val="00E23716"/>
    <w:rsid w:val="00E23B48"/>
    <w:rsid w:val="00E27DF4"/>
    <w:rsid w:val="00E30718"/>
    <w:rsid w:val="00E32A44"/>
    <w:rsid w:val="00E338E7"/>
    <w:rsid w:val="00E342EF"/>
    <w:rsid w:val="00E40340"/>
    <w:rsid w:val="00E40D20"/>
    <w:rsid w:val="00E44D3E"/>
    <w:rsid w:val="00E45403"/>
    <w:rsid w:val="00E45FBB"/>
    <w:rsid w:val="00E51F6E"/>
    <w:rsid w:val="00E64F8A"/>
    <w:rsid w:val="00E6644C"/>
    <w:rsid w:val="00E7038A"/>
    <w:rsid w:val="00E70E5E"/>
    <w:rsid w:val="00E70FCE"/>
    <w:rsid w:val="00E768F0"/>
    <w:rsid w:val="00E80541"/>
    <w:rsid w:val="00E81AC0"/>
    <w:rsid w:val="00E840FC"/>
    <w:rsid w:val="00E94714"/>
    <w:rsid w:val="00E95881"/>
    <w:rsid w:val="00EA0D02"/>
    <w:rsid w:val="00EA1F78"/>
    <w:rsid w:val="00EA480B"/>
    <w:rsid w:val="00EA5919"/>
    <w:rsid w:val="00EB0265"/>
    <w:rsid w:val="00EB1648"/>
    <w:rsid w:val="00EB1D73"/>
    <w:rsid w:val="00EB27B5"/>
    <w:rsid w:val="00EB35DE"/>
    <w:rsid w:val="00EB5919"/>
    <w:rsid w:val="00EB6A5C"/>
    <w:rsid w:val="00EC2B18"/>
    <w:rsid w:val="00EC344F"/>
    <w:rsid w:val="00EC3A38"/>
    <w:rsid w:val="00EC4973"/>
    <w:rsid w:val="00EC5C4C"/>
    <w:rsid w:val="00EC77F5"/>
    <w:rsid w:val="00EC7DCB"/>
    <w:rsid w:val="00ED26C4"/>
    <w:rsid w:val="00EE0CA9"/>
    <w:rsid w:val="00EF781B"/>
    <w:rsid w:val="00F05C2B"/>
    <w:rsid w:val="00F06293"/>
    <w:rsid w:val="00F06354"/>
    <w:rsid w:val="00F074FE"/>
    <w:rsid w:val="00F07DDA"/>
    <w:rsid w:val="00F10C1C"/>
    <w:rsid w:val="00F15515"/>
    <w:rsid w:val="00F16080"/>
    <w:rsid w:val="00F24AA4"/>
    <w:rsid w:val="00F30F25"/>
    <w:rsid w:val="00F31114"/>
    <w:rsid w:val="00F34357"/>
    <w:rsid w:val="00F40041"/>
    <w:rsid w:val="00F404DC"/>
    <w:rsid w:val="00F518D4"/>
    <w:rsid w:val="00F62442"/>
    <w:rsid w:val="00F7247F"/>
    <w:rsid w:val="00F741B8"/>
    <w:rsid w:val="00F76B70"/>
    <w:rsid w:val="00F813E1"/>
    <w:rsid w:val="00F82BE0"/>
    <w:rsid w:val="00F83755"/>
    <w:rsid w:val="00F87629"/>
    <w:rsid w:val="00F95901"/>
    <w:rsid w:val="00F960C1"/>
    <w:rsid w:val="00FA163E"/>
    <w:rsid w:val="00FA177A"/>
    <w:rsid w:val="00FA4476"/>
    <w:rsid w:val="00FB738F"/>
    <w:rsid w:val="00FB7BBA"/>
    <w:rsid w:val="00FB7C24"/>
    <w:rsid w:val="00FC7080"/>
    <w:rsid w:val="00FC7698"/>
    <w:rsid w:val="00FC7FF5"/>
    <w:rsid w:val="00FD6E0E"/>
    <w:rsid w:val="00FD6F4C"/>
    <w:rsid w:val="00FE3531"/>
    <w:rsid w:val="00FE69E7"/>
    <w:rsid w:val="00FF26BF"/>
    <w:rsid w:val="00FF287C"/>
    <w:rsid w:val="00FF38FB"/>
    <w:rsid w:val="00FF78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D7FBA1"/>
  <w15:chartTrackingRefBased/>
  <w15:docId w15:val="{5D2601B8-CC48-4932-9995-A18B61D2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AA"/>
    <w:pPr>
      <w:spacing w:after="200" w:line="276" w:lineRule="auto"/>
    </w:pPr>
    <w:rPr>
      <w:sz w:val="22"/>
      <w:szCs w:val="22"/>
      <w:lang w:eastAsia="en-US"/>
    </w:rPr>
  </w:style>
  <w:style w:type="paragraph" w:styleId="Titre2">
    <w:name w:val="heading 2"/>
    <w:basedOn w:val="Normal"/>
    <w:link w:val="Titre2Car"/>
    <w:uiPriority w:val="9"/>
    <w:qFormat/>
    <w:locked/>
    <w:rsid w:val="00D12722"/>
    <w:pPr>
      <w:spacing w:before="100" w:beforeAutospacing="1" w:after="100" w:afterAutospacing="1" w:line="240" w:lineRule="auto"/>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1D1"/>
    <w:pPr>
      <w:ind w:left="720"/>
      <w:contextualSpacing/>
    </w:pPr>
  </w:style>
  <w:style w:type="paragraph" w:styleId="Explorateurdedocuments">
    <w:name w:val="Document Map"/>
    <w:basedOn w:val="Normal"/>
    <w:link w:val="ExplorateurdedocumentsCar"/>
    <w:uiPriority w:val="99"/>
    <w:semiHidden/>
    <w:rsid w:val="00CD2E1C"/>
    <w:pPr>
      <w:shd w:val="clear" w:color="auto" w:fill="000080"/>
    </w:pPr>
    <w:rPr>
      <w:rFonts w:ascii="Tahoma" w:hAnsi="Tahoma" w:cs="Tahoma"/>
      <w:sz w:val="20"/>
      <w:szCs w:val="20"/>
    </w:rPr>
  </w:style>
  <w:style w:type="character" w:customStyle="1" w:styleId="ExplorateurdedocumentsCar">
    <w:name w:val="Explorateur de documents Car"/>
    <w:link w:val="Explorateurdedocuments"/>
    <w:uiPriority w:val="99"/>
    <w:semiHidden/>
    <w:rsid w:val="00666430"/>
    <w:rPr>
      <w:rFonts w:ascii="Times New Roman" w:hAnsi="Times New Roman"/>
      <w:sz w:val="0"/>
      <w:szCs w:val="0"/>
      <w:lang w:eastAsia="en-US"/>
    </w:rPr>
  </w:style>
  <w:style w:type="character" w:styleId="Lienhypertexte">
    <w:name w:val="Hyperlink"/>
    <w:uiPriority w:val="99"/>
    <w:rsid w:val="00CD2E1C"/>
    <w:rPr>
      <w:rFonts w:cs="Times New Roman"/>
      <w:color w:val="0000FF"/>
      <w:u w:val="single"/>
    </w:rPr>
  </w:style>
  <w:style w:type="paragraph" w:styleId="Textedebulles">
    <w:name w:val="Balloon Text"/>
    <w:basedOn w:val="Normal"/>
    <w:link w:val="TextedebullesCar"/>
    <w:uiPriority w:val="99"/>
    <w:semiHidden/>
    <w:unhideWhenUsed/>
    <w:rsid w:val="009149A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149AC"/>
    <w:rPr>
      <w:rFonts w:ascii="Tahoma" w:hAnsi="Tahoma" w:cs="Tahoma"/>
      <w:sz w:val="16"/>
      <w:szCs w:val="16"/>
      <w:lang w:eastAsia="en-US"/>
    </w:rPr>
  </w:style>
  <w:style w:type="paragraph" w:styleId="En-tte">
    <w:name w:val="header"/>
    <w:basedOn w:val="Normal"/>
    <w:link w:val="En-tteCar"/>
    <w:uiPriority w:val="99"/>
    <w:unhideWhenUsed/>
    <w:rsid w:val="00A02228"/>
    <w:pPr>
      <w:tabs>
        <w:tab w:val="center" w:pos="4536"/>
        <w:tab w:val="right" w:pos="9072"/>
      </w:tabs>
    </w:pPr>
  </w:style>
  <w:style w:type="character" w:customStyle="1" w:styleId="En-tteCar">
    <w:name w:val="En-tête Car"/>
    <w:link w:val="En-tte"/>
    <w:uiPriority w:val="99"/>
    <w:rsid w:val="00A02228"/>
    <w:rPr>
      <w:sz w:val="22"/>
      <w:szCs w:val="22"/>
      <w:lang w:eastAsia="en-US"/>
    </w:rPr>
  </w:style>
  <w:style w:type="paragraph" w:styleId="Pieddepage">
    <w:name w:val="footer"/>
    <w:basedOn w:val="Normal"/>
    <w:link w:val="PieddepageCar"/>
    <w:uiPriority w:val="99"/>
    <w:unhideWhenUsed/>
    <w:rsid w:val="00A02228"/>
    <w:pPr>
      <w:tabs>
        <w:tab w:val="center" w:pos="4536"/>
        <w:tab w:val="right" w:pos="9072"/>
      </w:tabs>
    </w:pPr>
  </w:style>
  <w:style w:type="character" w:customStyle="1" w:styleId="PieddepageCar">
    <w:name w:val="Pied de page Car"/>
    <w:link w:val="Pieddepage"/>
    <w:uiPriority w:val="99"/>
    <w:rsid w:val="00A02228"/>
    <w:rPr>
      <w:sz w:val="22"/>
      <w:szCs w:val="22"/>
      <w:lang w:eastAsia="en-US"/>
    </w:rPr>
  </w:style>
  <w:style w:type="paragraph" w:styleId="NormalWeb">
    <w:name w:val="Normal (Web)"/>
    <w:basedOn w:val="Normal"/>
    <w:uiPriority w:val="99"/>
    <w:unhideWhenUsed/>
    <w:rsid w:val="00D228C3"/>
    <w:pPr>
      <w:spacing w:before="100" w:beforeAutospacing="1" w:after="100" w:afterAutospacing="1" w:line="240" w:lineRule="auto"/>
    </w:pPr>
    <w:rPr>
      <w:rFonts w:ascii="Times New Roman" w:eastAsia="Times New Roman" w:hAnsi="Times New Roman"/>
      <w:sz w:val="24"/>
      <w:szCs w:val="24"/>
      <w:lang w:eastAsia="fr-FR"/>
    </w:rPr>
  </w:style>
  <w:style w:type="character" w:styleId="Marquedecommentaire">
    <w:name w:val="annotation reference"/>
    <w:uiPriority w:val="99"/>
    <w:semiHidden/>
    <w:unhideWhenUsed/>
    <w:rsid w:val="00DB1A56"/>
    <w:rPr>
      <w:sz w:val="16"/>
      <w:szCs w:val="16"/>
    </w:rPr>
  </w:style>
  <w:style w:type="paragraph" w:styleId="Commentaire">
    <w:name w:val="annotation text"/>
    <w:basedOn w:val="Normal"/>
    <w:link w:val="CommentaireCar"/>
    <w:uiPriority w:val="99"/>
    <w:semiHidden/>
    <w:unhideWhenUsed/>
    <w:rsid w:val="00DB1A56"/>
    <w:pPr>
      <w:spacing w:after="0" w:line="240" w:lineRule="auto"/>
      <w:jc w:val="both"/>
    </w:pPr>
    <w:rPr>
      <w:rFonts w:ascii="Arial" w:eastAsia="Times New Roman" w:hAnsi="Arial"/>
      <w:sz w:val="20"/>
      <w:szCs w:val="20"/>
    </w:rPr>
  </w:style>
  <w:style w:type="character" w:customStyle="1" w:styleId="CommentaireCar">
    <w:name w:val="Commentaire Car"/>
    <w:link w:val="Commentaire"/>
    <w:uiPriority w:val="99"/>
    <w:semiHidden/>
    <w:rsid w:val="00DB1A56"/>
    <w:rPr>
      <w:rFonts w:ascii="Arial" w:eastAsia="Times New Roman" w:hAnsi="Arial"/>
      <w:lang w:eastAsia="en-US"/>
    </w:rPr>
  </w:style>
  <w:style w:type="paragraph" w:styleId="Rvision">
    <w:name w:val="Revision"/>
    <w:hidden/>
    <w:uiPriority w:val="99"/>
    <w:semiHidden/>
    <w:rsid w:val="00032804"/>
    <w:rPr>
      <w:sz w:val="22"/>
      <w:szCs w:val="22"/>
      <w:lang w:eastAsia="en-US"/>
    </w:rPr>
  </w:style>
  <w:style w:type="paragraph" w:customStyle="1" w:styleId="Default">
    <w:name w:val="Default"/>
    <w:rsid w:val="00F76B70"/>
    <w:pPr>
      <w:autoSpaceDE w:val="0"/>
      <w:autoSpaceDN w:val="0"/>
      <w:adjustRightInd w:val="0"/>
    </w:pPr>
    <w:rPr>
      <w:rFonts w:ascii="Arial" w:hAnsi="Arial" w:cs="Arial"/>
      <w:color w:val="000000"/>
      <w:sz w:val="24"/>
      <w:szCs w:val="24"/>
    </w:rPr>
  </w:style>
  <w:style w:type="paragraph" w:styleId="Objetducommentaire">
    <w:name w:val="annotation subject"/>
    <w:basedOn w:val="Commentaire"/>
    <w:next w:val="Commentaire"/>
    <w:link w:val="ObjetducommentaireCar"/>
    <w:uiPriority w:val="99"/>
    <w:semiHidden/>
    <w:unhideWhenUsed/>
    <w:rsid w:val="007F4864"/>
    <w:pPr>
      <w:spacing w:after="200" w:line="276" w:lineRule="auto"/>
      <w:jc w:val="left"/>
    </w:pPr>
    <w:rPr>
      <w:rFonts w:ascii="Calibri" w:eastAsia="Calibri" w:hAnsi="Calibri"/>
      <w:b/>
      <w:bCs/>
    </w:rPr>
  </w:style>
  <w:style w:type="character" w:customStyle="1" w:styleId="ObjetducommentaireCar">
    <w:name w:val="Objet du commentaire Car"/>
    <w:link w:val="Objetducommentaire"/>
    <w:uiPriority w:val="99"/>
    <w:semiHidden/>
    <w:rsid w:val="007F4864"/>
    <w:rPr>
      <w:rFonts w:ascii="Arial" w:eastAsia="Times New Roman" w:hAnsi="Arial"/>
      <w:b/>
      <w:bCs/>
      <w:lang w:eastAsia="en-US"/>
    </w:rPr>
  </w:style>
  <w:style w:type="paragraph" w:styleId="Notedebasdepage">
    <w:name w:val="footnote text"/>
    <w:basedOn w:val="Normal"/>
    <w:link w:val="NotedebasdepageCar"/>
    <w:uiPriority w:val="99"/>
    <w:semiHidden/>
    <w:unhideWhenUsed/>
    <w:rsid w:val="00095258"/>
    <w:rPr>
      <w:sz w:val="20"/>
      <w:szCs w:val="20"/>
    </w:rPr>
  </w:style>
  <w:style w:type="character" w:customStyle="1" w:styleId="NotedebasdepageCar">
    <w:name w:val="Note de bas de page Car"/>
    <w:link w:val="Notedebasdepage"/>
    <w:uiPriority w:val="99"/>
    <w:semiHidden/>
    <w:rsid w:val="00095258"/>
    <w:rPr>
      <w:lang w:eastAsia="en-US"/>
    </w:rPr>
  </w:style>
  <w:style w:type="character" w:styleId="Appelnotedebasdep">
    <w:name w:val="footnote reference"/>
    <w:uiPriority w:val="99"/>
    <w:semiHidden/>
    <w:unhideWhenUsed/>
    <w:rsid w:val="00095258"/>
    <w:rPr>
      <w:vertAlign w:val="superscript"/>
    </w:rPr>
  </w:style>
  <w:style w:type="table" w:styleId="Grilledutableau">
    <w:name w:val="Table Grid"/>
    <w:basedOn w:val="TableauNormal"/>
    <w:locked/>
    <w:rsid w:val="0020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uiPriority w:val="9"/>
    <w:rsid w:val="00D12722"/>
    <w:rPr>
      <w:rFonts w:ascii="Times New Roman" w:eastAsia="Times New Roman" w:hAnsi="Times New Roman"/>
      <w:b/>
      <w:bCs/>
      <w:sz w:val="36"/>
      <w:szCs w:val="36"/>
    </w:rPr>
  </w:style>
  <w:style w:type="character" w:customStyle="1" w:styleId="Mentionnonrsolue1">
    <w:name w:val="Mention non résolue1"/>
    <w:uiPriority w:val="99"/>
    <w:semiHidden/>
    <w:unhideWhenUsed/>
    <w:rsid w:val="00A504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3645">
      <w:bodyDiv w:val="1"/>
      <w:marLeft w:val="0"/>
      <w:marRight w:val="0"/>
      <w:marTop w:val="0"/>
      <w:marBottom w:val="0"/>
      <w:divBdr>
        <w:top w:val="none" w:sz="0" w:space="0" w:color="auto"/>
        <w:left w:val="none" w:sz="0" w:space="0" w:color="auto"/>
        <w:bottom w:val="none" w:sz="0" w:space="0" w:color="auto"/>
        <w:right w:val="none" w:sz="0" w:space="0" w:color="auto"/>
      </w:divBdr>
    </w:div>
    <w:div w:id="136387991">
      <w:bodyDiv w:val="1"/>
      <w:marLeft w:val="0"/>
      <w:marRight w:val="0"/>
      <w:marTop w:val="0"/>
      <w:marBottom w:val="0"/>
      <w:divBdr>
        <w:top w:val="none" w:sz="0" w:space="0" w:color="auto"/>
        <w:left w:val="none" w:sz="0" w:space="0" w:color="auto"/>
        <w:bottom w:val="none" w:sz="0" w:space="0" w:color="auto"/>
        <w:right w:val="none" w:sz="0" w:space="0" w:color="auto"/>
      </w:divBdr>
    </w:div>
    <w:div w:id="159583205">
      <w:bodyDiv w:val="1"/>
      <w:marLeft w:val="0"/>
      <w:marRight w:val="0"/>
      <w:marTop w:val="0"/>
      <w:marBottom w:val="0"/>
      <w:divBdr>
        <w:top w:val="none" w:sz="0" w:space="0" w:color="auto"/>
        <w:left w:val="none" w:sz="0" w:space="0" w:color="auto"/>
        <w:bottom w:val="none" w:sz="0" w:space="0" w:color="auto"/>
        <w:right w:val="none" w:sz="0" w:space="0" w:color="auto"/>
      </w:divBdr>
    </w:div>
    <w:div w:id="167062117">
      <w:bodyDiv w:val="1"/>
      <w:marLeft w:val="0"/>
      <w:marRight w:val="0"/>
      <w:marTop w:val="0"/>
      <w:marBottom w:val="0"/>
      <w:divBdr>
        <w:top w:val="none" w:sz="0" w:space="0" w:color="auto"/>
        <w:left w:val="none" w:sz="0" w:space="0" w:color="auto"/>
        <w:bottom w:val="none" w:sz="0" w:space="0" w:color="auto"/>
        <w:right w:val="none" w:sz="0" w:space="0" w:color="auto"/>
      </w:divBdr>
    </w:div>
    <w:div w:id="186601282">
      <w:bodyDiv w:val="1"/>
      <w:marLeft w:val="0"/>
      <w:marRight w:val="0"/>
      <w:marTop w:val="0"/>
      <w:marBottom w:val="0"/>
      <w:divBdr>
        <w:top w:val="none" w:sz="0" w:space="0" w:color="auto"/>
        <w:left w:val="none" w:sz="0" w:space="0" w:color="auto"/>
        <w:bottom w:val="none" w:sz="0" w:space="0" w:color="auto"/>
        <w:right w:val="none" w:sz="0" w:space="0" w:color="auto"/>
      </w:divBdr>
    </w:div>
    <w:div w:id="269170811">
      <w:bodyDiv w:val="1"/>
      <w:marLeft w:val="0"/>
      <w:marRight w:val="0"/>
      <w:marTop w:val="0"/>
      <w:marBottom w:val="0"/>
      <w:divBdr>
        <w:top w:val="none" w:sz="0" w:space="0" w:color="auto"/>
        <w:left w:val="none" w:sz="0" w:space="0" w:color="auto"/>
        <w:bottom w:val="none" w:sz="0" w:space="0" w:color="auto"/>
        <w:right w:val="none" w:sz="0" w:space="0" w:color="auto"/>
      </w:divBdr>
    </w:div>
    <w:div w:id="289827540">
      <w:bodyDiv w:val="1"/>
      <w:marLeft w:val="0"/>
      <w:marRight w:val="0"/>
      <w:marTop w:val="0"/>
      <w:marBottom w:val="0"/>
      <w:divBdr>
        <w:top w:val="none" w:sz="0" w:space="0" w:color="auto"/>
        <w:left w:val="none" w:sz="0" w:space="0" w:color="auto"/>
        <w:bottom w:val="none" w:sz="0" w:space="0" w:color="auto"/>
        <w:right w:val="none" w:sz="0" w:space="0" w:color="auto"/>
      </w:divBdr>
    </w:div>
    <w:div w:id="342905723">
      <w:bodyDiv w:val="1"/>
      <w:marLeft w:val="0"/>
      <w:marRight w:val="0"/>
      <w:marTop w:val="0"/>
      <w:marBottom w:val="0"/>
      <w:divBdr>
        <w:top w:val="none" w:sz="0" w:space="0" w:color="auto"/>
        <w:left w:val="none" w:sz="0" w:space="0" w:color="auto"/>
        <w:bottom w:val="none" w:sz="0" w:space="0" w:color="auto"/>
        <w:right w:val="none" w:sz="0" w:space="0" w:color="auto"/>
      </w:divBdr>
    </w:div>
    <w:div w:id="384570277">
      <w:bodyDiv w:val="1"/>
      <w:marLeft w:val="0"/>
      <w:marRight w:val="0"/>
      <w:marTop w:val="0"/>
      <w:marBottom w:val="0"/>
      <w:divBdr>
        <w:top w:val="none" w:sz="0" w:space="0" w:color="auto"/>
        <w:left w:val="none" w:sz="0" w:space="0" w:color="auto"/>
        <w:bottom w:val="none" w:sz="0" w:space="0" w:color="auto"/>
        <w:right w:val="none" w:sz="0" w:space="0" w:color="auto"/>
      </w:divBdr>
    </w:div>
    <w:div w:id="597638552">
      <w:bodyDiv w:val="1"/>
      <w:marLeft w:val="0"/>
      <w:marRight w:val="0"/>
      <w:marTop w:val="0"/>
      <w:marBottom w:val="0"/>
      <w:divBdr>
        <w:top w:val="none" w:sz="0" w:space="0" w:color="auto"/>
        <w:left w:val="none" w:sz="0" w:space="0" w:color="auto"/>
        <w:bottom w:val="none" w:sz="0" w:space="0" w:color="auto"/>
        <w:right w:val="none" w:sz="0" w:space="0" w:color="auto"/>
      </w:divBdr>
    </w:div>
    <w:div w:id="759637609">
      <w:bodyDiv w:val="1"/>
      <w:marLeft w:val="0"/>
      <w:marRight w:val="0"/>
      <w:marTop w:val="0"/>
      <w:marBottom w:val="0"/>
      <w:divBdr>
        <w:top w:val="none" w:sz="0" w:space="0" w:color="auto"/>
        <w:left w:val="none" w:sz="0" w:space="0" w:color="auto"/>
        <w:bottom w:val="none" w:sz="0" w:space="0" w:color="auto"/>
        <w:right w:val="none" w:sz="0" w:space="0" w:color="auto"/>
      </w:divBdr>
    </w:div>
    <w:div w:id="785077551">
      <w:bodyDiv w:val="1"/>
      <w:marLeft w:val="0"/>
      <w:marRight w:val="0"/>
      <w:marTop w:val="0"/>
      <w:marBottom w:val="0"/>
      <w:divBdr>
        <w:top w:val="none" w:sz="0" w:space="0" w:color="auto"/>
        <w:left w:val="none" w:sz="0" w:space="0" w:color="auto"/>
        <w:bottom w:val="none" w:sz="0" w:space="0" w:color="auto"/>
        <w:right w:val="none" w:sz="0" w:space="0" w:color="auto"/>
      </w:divBdr>
    </w:div>
    <w:div w:id="898636130">
      <w:bodyDiv w:val="1"/>
      <w:marLeft w:val="0"/>
      <w:marRight w:val="0"/>
      <w:marTop w:val="0"/>
      <w:marBottom w:val="0"/>
      <w:divBdr>
        <w:top w:val="none" w:sz="0" w:space="0" w:color="auto"/>
        <w:left w:val="none" w:sz="0" w:space="0" w:color="auto"/>
        <w:bottom w:val="none" w:sz="0" w:space="0" w:color="auto"/>
        <w:right w:val="none" w:sz="0" w:space="0" w:color="auto"/>
      </w:divBdr>
    </w:div>
    <w:div w:id="921259005">
      <w:bodyDiv w:val="1"/>
      <w:marLeft w:val="0"/>
      <w:marRight w:val="0"/>
      <w:marTop w:val="0"/>
      <w:marBottom w:val="0"/>
      <w:divBdr>
        <w:top w:val="none" w:sz="0" w:space="0" w:color="auto"/>
        <w:left w:val="none" w:sz="0" w:space="0" w:color="auto"/>
        <w:bottom w:val="none" w:sz="0" w:space="0" w:color="auto"/>
        <w:right w:val="none" w:sz="0" w:space="0" w:color="auto"/>
      </w:divBdr>
    </w:div>
    <w:div w:id="954756074">
      <w:bodyDiv w:val="1"/>
      <w:marLeft w:val="0"/>
      <w:marRight w:val="0"/>
      <w:marTop w:val="0"/>
      <w:marBottom w:val="0"/>
      <w:divBdr>
        <w:top w:val="none" w:sz="0" w:space="0" w:color="auto"/>
        <w:left w:val="none" w:sz="0" w:space="0" w:color="auto"/>
        <w:bottom w:val="none" w:sz="0" w:space="0" w:color="auto"/>
        <w:right w:val="none" w:sz="0" w:space="0" w:color="auto"/>
      </w:divBdr>
    </w:div>
    <w:div w:id="1062675989">
      <w:bodyDiv w:val="1"/>
      <w:marLeft w:val="0"/>
      <w:marRight w:val="0"/>
      <w:marTop w:val="0"/>
      <w:marBottom w:val="0"/>
      <w:divBdr>
        <w:top w:val="none" w:sz="0" w:space="0" w:color="auto"/>
        <w:left w:val="none" w:sz="0" w:space="0" w:color="auto"/>
        <w:bottom w:val="none" w:sz="0" w:space="0" w:color="auto"/>
        <w:right w:val="none" w:sz="0" w:space="0" w:color="auto"/>
      </w:divBdr>
    </w:div>
    <w:div w:id="1124471390">
      <w:bodyDiv w:val="1"/>
      <w:marLeft w:val="0"/>
      <w:marRight w:val="0"/>
      <w:marTop w:val="0"/>
      <w:marBottom w:val="0"/>
      <w:divBdr>
        <w:top w:val="none" w:sz="0" w:space="0" w:color="auto"/>
        <w:left w:val="none" w:sz="0" w:space="0" w:color="auto"/>
        <w:bottom w:val="none" w:sz="0" w:space="0" w:color="auto"/>
        <w:right w:val="none" w:sz="0" w:space="0" w:color="auto"/>
      </w:divBdr>
    </w:div>
    <w:div w:id="1237327279">
      <w:bodyDiv w:val="1"/>
      <w:marLeft w:val="0"/>
      <w:marRight w:val="0"/>
      <w:marTop w:val="0"/>
      <w:marBottom w:val="0"/>
      <w:divBdr>
        <w:top w:val="none" w:sz="0" w:space="0" w:color="auto"/>
        <w:left w:val="none" w:sz="0" w:space="0" w:color="auto"/>
        <w:bottom w:val="none" w:sz="0" w:space="0" w:color="auto"/>
        <w:right w:val="none" w:sz="0" w:space="0" w:color="auto"/>
      </w:divBdr>
    </w:div>
    <w:div w:id="1274241074">
      <w:bodyDiv w:val="1"/>
      <w:marLeft w:val="0"/>
      <w:marRight w:val="0"/>
      <w:marTop w:val="0"/>
      <w:marBottom w:val="0"/>
      <w:divBdr>
        <w:top w:val="none" w:sz="0" w:space="0" w:color="auto"/>
        <w:left w:val="none" w:sz="0" w:space="0" w:color="auto"/>
        <w:bottom w:val="none" w:sz="0" w:space="0" w:color="auto"/>
        <w:right w:val="none" w:sz="0" w:space="0" w:color="auto"/>
      </w:divBdr>
      <w:divsChild>
        <w:div w:id="2002195232">
          <w:marLeft w:val="0"/>
          <w:marRight w:val="0"/>
          <w:marTop w:val="0"/>
          <w:marBottom w:val="0"/>
          <w:divBdr>
            <w:top w:val="none" w:sz="0" w:space="0" w:color="auto"/>
            <w:left w:val="none" w:sz="0" w:space="0" w:color="auto"/>
            <w:bottom w:val="none" w:sz="0" w:space="0" w:color="auto"/>
            <w:right w:val="none" w:sz="0" w:space="0" w:color="auto"/>
          </w:divBdr>
        </w:div>
      </w:divsChild>
    </w:div>
    <w:div w:id="1286885972">
      <w:bodyDiv w:val="1"/>
      <w:marLeft w:val="0"/>
      <w:marRight w:val="0"/>
      <w:marTop w:val="0"/>
      <w:marBottom w:val="0"/>
      <w:divBdr>
        <w:top w:val="none" w:sz="0" w:space="0" w:color="auto"/>
        <w:left w:val="none" w:sz="0" w:space="0" w:color="auto"/>
        <w:bottom w:val="none" w:sz="0" w:space="0" w:color="auto"/>
        <w:right w:val="none" w:sz="0" w:space="0" w:color="auto"/>
      </w:divBdr>
    </w:div>
    <w:div w:id="1306010744">
      <w:bodyDiv w:val="1"/>
      <w:marLeft w:val="0"/>
      <w:marRight w:val="0"/>
      <w:marTop w:val="0"/>
      <w:marBottom w:val="0"/>
      <w:divBdr>
        <w:top w:val="none" w:sz="0" w:space="0" w:color="auto"/>
        <w:left w:val="none" w:sz="0" w:space="0" w:color="auto"/>
        <w:bottom w:val="none" w:sz="0" w:space="0" w:color="auto"/>
        <w:right w:val="none" w:sz="0" w:space="0" w:color="auto"/>
      </w:divBdr>
    </w:div>
    <w:div w:id="1362239646">
      <w:bodyDiv w:val="1"/>
      <w:marLeft w:val="0"/>
      <w:marRight w:val="0"/>
      <w:marTop w:val="0"/>
      <w:marBottom w:val="0"/>
      <w:divBdr>
        <w:top w:val="none" w:sz="0" w:space="0" w:color="auto"/>
        <w:left w:val="none" w:sz="0" w:space="0" w:color="auto"/>
        <w:bottom w:val="none" w:sz="0" w:space="0" w:color="auto"/>
        <w:right w:val="none" w:sz="0" w:space="0" w:color="auto"/>
      </w:divBdr>
    </w:div>
    <w:div w:id="1515344327">
      <w:marLeft w:val="0"/>
      <w:marRight w:val="0"/>
      <w:marTop w:val="0"/>
      <w:marBottom w:val="0"/>
      <w:divBdr>
        <w:top w:val="none" w:sz="0" w:space="0" w:color="auto"/>
        <w:left w:val="none" w:sz="0" w:space="0" w:color="auto"/>
        <w:bottom w:val="none" w:sz="0" w:space="0" w:color="auto"/>
        <w:right w:val="none" w:sz="0" w:space="0" w:color="auto"/>
      </w:divBdr>
    </w:div>
    <w:div w:id="1515344328">
      <w:marLeft w:val="0"/>
      <w:marRight w:val="0"/>
      <w:marTop w:val="0"/>
      <w:marBottom w:val="0"/>
      <w:divBdr>
        <w:top w:val="none" w:sz="0" w:space="0" w:color="auto"/>
        <w:left w:val="none" w:sz="0" w:space="0" w:color="auto"/>
        <w:bottom w:val="none" w:sz="0" w:space="0" w:color="auto"/>
        <w:right w:val="none" w:sz="0" w:space="0" w:color="auto"/>
      </w:divBdr>
    </w:div>
    <w:div w:id="1515344329">
      <w:marLeft w:val="0"/>
      <w:marRight w:val="0"/>
      <w:marTop w:val="0"/>
      <w:marBottom w:val="0"/>
      <w:divBdr>
        <w:top w:val="none" w:sz="0" w:space="0" w:color="auto"/>
        <w:left w:val="none" w:sz="0" w:space="0" w:color="auto"/>
        <w:bottom w:val="none" w:sz="0" w:space="0" w:color="auto"/>
        <w:right w:val="none" w:sz="0" w:space="0" w:color="auto"/>
      </w:divBdr>
    </w:div>
    <w:div w:id="1515344330">
      <w:marLeft w:val="0"/>
      <w:marRight w:val="0"/>
      <w:marTop w:val="0"/>
      <w:marBottom w:val="0"/>
      <w:divBdr>
        <w:top w:val="none" w:sz="0" w:space="0" w:color="auto"/>
        <w:left w:val="none" w:sz="0" w:space="0" w:color="auto"/>
        <w:bottom w:val="none" w:sz="0" w:space="0" w:color="auto"/>
        <w:right w:val="none" w:sz="0" w:space="0" w:color="auto"/>
      </w:divBdr>
    </w:div>
    <w:div w:id="1515344331">
      <w:marLeft w:val="0"/>
      <w:marRight w:val="0"/>
      <w:marTop w:val="0"/>
      <w:marBottom w:val="0"/>
      <w:divBdr>
        <w:top w:val="none" w:sz="0" w:space="0" w:color="auto"/>
        <w:left w:val="none" w:sz="0" w:space="0" w:color="auto"/>
        <w:bottom w:val="none" w:sz="0" w:space="0" w:color="auto"/>
        <w:right w:val="none" w:sz="0" w:space="0" w:color="auto"/>
      </w:divBdr>
    </w:div>
    <w:div w:id="1515344332">
      <w:marLeft w:val="0"/>
      <w:marRight w:val="0"/>
      <w:marTop w:val="0"/>
      <w:marBottom w:val="0"/>
      <w:divBdr>
        <w:top w:val="none" w:sz="0" w:space="0" w:color="auto"/>
        <w:left w:val="none" w:sz="0" w:space="0" w:color="auto"/>
        <w:bottom w:val="none" w:sz="0" w:space="0" w:color="auto"/>
        <w:right w:val="none" w:sz="0" w:space="0" w:color="auto"/>
      </w:divBdr>
    </w:div>
    <w:div w:id="1574656610">
      <w:bodyDiv w:val="1"/>
      <w:marLeft w:val="0"/>
      <w:marRight w:val="0"/>
      <w:marTop w:val="0"/>
      <w:marBottom w:val="0"/>
      <w:divBdr>
        <w:top w:val="none" w:sz="0" w:space="0" w:color="auto"/>
        <w:left w:val="none" w:sz="0" w:space="0" w:color="auto"/>
        <w:bottom w:val="none" w:sz="0" w:space="0" w:color="auto"/>
        <w:right w:val="none" w:sz="0" w:space="0" w:color="auto"/>
      </w:divBdr>
    </w:div>
    <w:div w:id="1627930416">
      <w:bodyDiv w:val="1"/>
      <w:marLeft w:val="0"/>
      <w:marRight w:val="0"/>
      <w:marTop w:val="0"/>
      <w:marBottom w:val="0"/>
      <w:divBdr>
        <w:top w:val="none" w:sz="0" w:space="0" w:color="auto"/>
        <w:left w:val="none" w:sz="0" w:space="0" w:color="auto"/>
        <w:bottom w:val="none" w:sz="0" w:space="0" w:color="auto"/>
        <w:right w:val="none" w:sz="0" w:space="0" w:color="auto"/>
      </w:divBdr>
    </w:div>
    <w:div w:id="1668247178">
      <w:bodyDiv w:val="1"/>
      <w:marLeft w:val="0"/>
      <w:marRight w:val="0"/>
      <w:marTop w:val="0"/>
      <w:marBottom w:val="0"/>
      <w:divBdr>
        <w:top w:val="none" w:sz="0" w:space="0" w:color="auto"/>
        <w:left w:val="none" w:sz="0" w:space="0" w:color="auto"/>
        <w:bottom w:val="none" w:sz="0" w:space="0" w:color="auto"/>
        <w:right w:val="none" w:sz="0" w:space="0" w:color="auto"/>
      </w:divBdr>
    </w:div>
    <w:div w:id="1726219926">
      <w:bodyDiv w:val="1"/>
      <w:marLeft w:val="0"/>
      <w:marRight w:val="0"/>
      <w:marTop w:val="0"/>
      <w:marBottom w:val="0"/>
      <w:divBdr>
        <w:top w:val="none" w:sz="0" w:space="0" w:color="auto"/>
        <w:left w:val="none" w:sz="0" w:space="0" w:color="auto"/>
        <w:bottom w:val="none" w:sz="0" w:space="0" w:color="auto"/>
        <w:right w:val="none" w:sz="0" w:space="0" w:color="auto"/>
      </w:divBdr>
    </w:div>
    <w:div w:id="1757628356">
      <w:bodyDiv w:val="1"/>
      <w:marLeft w:val="0"/>
      <w:marRight w:val="0"/>
      <w:marTop w:val="0"/>
      <w:marBottom w:val="0"/>
      <w:divBdr>
        <w:top w:val="none" w:sz="0" w:space="0" w:color="auto"/>
        <w:left w:val="none" w:sz="0" w:space="0" w:color="auto"/>
        <w:bottom w:val="none" w:sz="0" w:space="0" w:color="auto"/>
        <w:right w:val="none" w:sz="0" w:space="0" w:color="auto"/>
      </w:divBdr>
    </w:div>
    <w:div w:id="1762487437">
      <w:bodyDiv w:val="1"/>
      <w:marLeft w:val="0"/>
      <w:marRight w:val="0"/>
      <w:marTop w:val="0"/>
      <w:marBottom w:val="0"/>
      <w:divBdr>
        <w:top w:val="none" w:sz="0" w:space="0" w:color="auto"/>
        <w:left w:val="none" w:sz="0" w:space="0" w:color="auto"/>
        <w:bottom w:val="none" w:sz="0" w:space="0" w:color="auto"/>
        <w:right w:val="none" w:sz="0" w:space="0" w:color="auto"/>
      </w:divBdr>
    </w:div>
    <w:div w:id="1795637122">
      <w:bodyDiv w:val="1"/>
      <w:marLeft w:val="0"/>
      <w:marRight w:val="0"/>
      <w:marTop w:val="0"/>
      <w:marBottom w:val="0"/>
      <w:divBdr>
        <w:top w:val="none" w:sz="0" w:space="0" w:color="auto"/>
        <w:left w:val="none" w:sz="0" w:space="0" w:color="auto"/>
        <w:bottom w:val="none" w:sz="0" w:space="0" w:color="auto"/>
        <w:right w:val="none" w:sz="0" w:space="0" w:color="auto"/>
      </w:divBdr>
    </w:div>
    <w:div w:id="1874951431">
      <w:bodyDiv w:val="1"/>
      <w:marLeft w:val="0"/>
      <w:marRight w:val="0"/>
      <w:marTop w:val="0"/>
      <w:marBottom w:val="0"/>
      <w:divBdr>
        <w:top w:val="none" w:sz="0" w:space="0" w:color="auto"/>
        <w:left w:val="none" w:sz="0" w:space="0" w:color="auto"/>
        <w:bottom w:val="none" w:sz="0" w:space="0" w:color="auto"/>
        <w:right w:val="none" w:sz="0" w:space="0" w:color="auto"/>
      </w:divBdr>
    </w:div>
    <w:div w:id="1938370219">
      <w:bodyDiv w:val="1"/>
      <w:marLeft w:val="0"/>
      <w:marRight w:val="0"/>
      <w:marTop w:val="0"/>
      <w:marBottom w:val="0"/>
      <w:divBdr>
        <w:top w:val="none" w:sz="0" w:space="0" w:color="auto"/>
        <w:left w:val="none" w:sz="0" w:space="0" w:color="auto"/>
        <w:bottom w:val="none" w:sz="0" w:space="0" w:color="auto"/>
        <w:right w:val="none" w:sz="0" w:space="0" w:color="auto"/>
      </w:divBdr>
    </w:div>
    <w:div w:id="212704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9CD2-7524-4ACB-8C61-D433F07D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2418</Words>
  <Characters>12362</Characters>
  <Application>Microsoft Office Word</Application>
  <DocSecurity>4</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Aymeric LE COTTIER</cp:lastModifiedBy>
  <cp:revision>2</cp:revision>
  <cp:lastPrinted>2019-11-07T10:51:00Z</cp:lastPrinted>
  <dcterms:created xsi:type="dcterms:W3CDTF">2024-01-07T00:24:00Z</dcterms:created>
  <dcterms:modified xsi:type="dcterms:W3CDTF">2024-01-07T00:24:00Z</dcterms:modified>
</cp:coreProperties>
</file>