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0" w:type="dxa"/>
        <w:tblInd w:w="-5" w:type="dxa"/>
        <w:tblLook w:val="04A0" w:firstRow="1" w:lastRow="0" w:firstColumn="1" w:lastColumn="0" w:noHBand="0" w:noVBand="1"/>
      </w:tblPr>
      <w:tblGrid>
        <w:gridCol w:w="390"/>
        <w:gridCol w:w="2937"/>
        <w:gridCol w:w="3284"/>
        <w:gridCol w:w="2669"/>
      </w:tblGrid>
      <w:tr w:rsidR="00397B32" w:rsidRPr="00BD0A32" w14:paraId="36F45C5D" w14:textId="77777777" w:rsidTr="00731450">
        <w:trPr>
          <w:trHeight w:val="22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38A7" w14:textId="77777777" w:rsidR="00397B32" w:rsidRPr="00E620D1" w:rsidRDefault="00397B32" w:rsidP="00991B47">
            <w:pPr>
              <w:jc w:val="both"/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t>1.</w:t>
            </w:r>
          </w:p>
        </w:tc>
        <w:tc>
          <w:tcPr>
            <w:tcW w:w="8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3D75" w14:textId="77777777" w:rsidR="00397B32" w:rsidRPr="00E620D1" w:rsidRDefault="00397B32" w:rsidP="00991B47">
            <w:pPr>
              <w:jc w:val="both"/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t>Details of the person discharging managerial responsibilities/person closely associated</w:t>
            </w:r>
          </w:p>
        </w:tc>
      </w:tr>
      <w:tr w:rsidR="00397B32" w:rsidRPr="00C4383A" w14:paraId="0F6FB723" w14:textId="77777777" w:rsidTr="00731450">
        <w:trPr>
          <w:trHeight w:val="2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31BA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a)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9386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452F" w14:textId="26DD3802" w:rsidR="00397B32" w:rsidRPr="001C203D" w:rsidRDefault="001C203D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1C203D">
              <w:rPr>
                <w:rFonts w:cstheme="minorHAnsi"/>
                <w:sz w:val="16"/>
                <w:szCs w:val="16"/>
                <w:lang w:eastAsia="en-GB"/>
              </w:rPr>
              <w:t>Haakon Sandborg</w:t>
            </w:r>
          </w:p>
          <w:p w14:paraId="7D1AFD2E" w14:textId="1F109A8B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</w:p>
        </w:tc>
      </w:tr>
      <w:tr w:rsidR="00397B32" w:rsidRPr="00C4383A" w14:paraId="3F9E1CB6" w14:textId="77777777" w:rsidTr="00731450">
        <w:trPr>
          <w:trHeight w:val="222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18312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</w:p>
        </w:tc>
      </w:tr>
      <w:tr w:rsidR="00397B32" w:rsidRPr="00C4383A" w14:paraId="2F52D273" w14:textId="77777777" w:rsidTr="00731450">
        <w:trPr>
          <w:trHeight w:val="22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3D6C" w14:textId="77777777" w:rsidR="00397B32" w:rsidRPr="00E620D1" w:rsidRDefault="00397B32" w:rsidP="00991B47">
            <w:pPr>
              <w:jc w:val="both"/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t>2.</w:t>
            </w:r>
          </w:p>
        </w:tc>
        <w:tc>
          <w:tcPr>
            <w:tcW w:w="8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20C3" w14:textId="77777777" w:rsidR="00397B32" w:rsidRPr="00E620D1" w:rsidRDefault="00397B32" w:rsidP="00991B47">
            <w:pPr>
              <w:jc w:val="both"/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t>Reason for the notification</w:t>
            </w:r>
          </w:p>
        </w:tc>
      </w:tr>
      <w:tr w:rsidR="00397B32" w:rsidRPr="00C4383A" w14:paraId="42E7C64F" w14:textId="77777777" w:rsidTr="00731450">
        <w:trPr>
          <w:trHeight w:val="2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5820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a)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8F00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Position / status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E8DD" w14:textId="4243561B" w:rsidR="00397B32" w:rsidRPr="00731450" w:rsidRDefault="00731450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  <w:lang w:eastAsia="en-GB"/>
              </w:rPr>
              <w:t>Chief Financial Officer</w:t>
            </w:r>
          </w:p>
          <w:p w14:paraId="1B3E5FA4" w14:textId="2184641D" w:rsidR="00397B32" w:rsidRPr="00E620D1" w:rsidRDefault="00397B32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</w:p>
        </w:tc>
      </w:tr>
      <w:tr w:rsidR="00397B32" w:rsidRPr="00C4383A" w14:paraId="4F31D5D4" w14:textId="77777777" w:rsidTr="00731450">
        <w:trPr>
          <w:trHeight w:val="45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9339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b)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D954" w14:textId="77777777" w:rsidR="00397B32" w:rsidRPr="00E620D1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  <w:r w:rsidRPr="00063635">
              <w:rPr>
                <w:rFonts w:cstheme="minorHAnsi"/>
                <w:sz w:val="16"/>
                <w:szCs w:val="16"/>
                <w:lang w:eastAsia="en-GB"/>
              </w:rPr>
              <w:t>Initial notification</w:t>
            </w:r>
            <w:r w:rsidRPr="00E620D1">
              <w:rPr>
                <w:rFonts w:cstheme="minorHAnsi"/>
                <w:sz w:val="16"/>
                <w:szCs w:val="16"/>
                <w:lang w:eastAsia="en-GB"/>
              </w:rPr>
              <w:t xml:space="preserve"> / amendment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73BC" w14:textId="4C83EC8C" w:rsidR="00397B32" w:rsidRPr="00E620D1" w:rsidRDefault="00063635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Initial notification</w:t>
            </w:r>
          </w:p>
        </w:tc>
      </w:tr>
      <w:tr w:rsidR="00397B32" w:rsidRPr="00C4383A" w14:paraId="7C666FAB" w14:textId="77777777" w:rsidTr="00731450">
        <w:trPr>
          <w:trHeight w:val="222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4FA63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</w:p>
        </w:tc>
      </w:tr>
      <w:tr w:rsidR="00397B32" w:rsidRPr="00BD0A32" w14:paraId="603CE38E" w14:textId="77777777" w:rsidTr="00731450">
        <w:trPr>
          <w:trHeight w:val="4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ECCF" w14:textId="77777777" w:rsidR="00397B32" w:rsidRPr="00E620D1" w:rsidRDefault="00397B32" w:rsidP="00991B47">
            <w:pPr>
              <w:jc w:val="both"/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t>3.</w:t>
            </w:r>
          </w:p>
        </w:tc>
        <w:tc>
          <w:tcPr>
            <w:tcW w:w="8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7413" w14:textId="77777777" w:rsidR="00397B32" w:rsidRPr="00E620D1" w:rsidRDefault="00397B32" w:rsidP="00991B47">
            <w:pPr>
              <w:jc w:val="both"/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:rsidR="00397B32" w:rsidRPr="00C4383A" w14:paraId="28F5B35D" w14:textId="77777777" w:rsidTr="00731450">
        <w:trPr>
          <w:trHeight w:val="2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9E0C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a)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F591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AB941" w14:textId="6BE7FF29" w:rsidR="00397B32" w:rsidRPr="00397B32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397B32">
              <w:rPr>
                <w:rFonts w:cstheme="minorHAnsi"/>
                <w:sz w:val="16"/>
                <w:szCs w:val="16"/>
                <w:lang w:eastAsia="en-GB"/>
              </w:rPr>
              <w:t>DNO ASA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DCF0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 </w:t>
            </w:r>
          </w:p>
        </w:tc>
      </w:tr>
      <w:tr w:rsidR="00397B32" w:rsidRPr="00C4383A" w14:paraId="05E7618F" w14:textId="77777777" w:rsidTr="00731450">
        <w:trPr>
          <w:trHeight w:val="2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B7E5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b)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C67A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LEI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FA95" w14:textId="364D8212" w:rsidR="00397B32" w:rsidRPr="00E620D1" w:rsidRDefault="00397B32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  <w:r>
              <w:t>5967007LIEEXZXH3K072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EBCF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 </w:t>
            </w:r>
          </w:p>
        </w:tc>
      </w:tr>
      <w:tr w:rsidR="00397B32" w:rsidRPr="00C4383A" w14:paraId="5B07B4E6" w14:textId="77777777" w:rsidTr="00731450">
        <w:trPr>
          <w:trHeight w:val="222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65A02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</w:p>
        </w:tc>
      </w:tr>
      <w:tr w:rsidR="00397B32" w:rsidRPr="00BD0A32" w14:paraId="68239DEA" w14:textId="77777777" w:rsidTr="00731450">
        <w:trPr>
          <w:trHeight w:val="6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C1E8" w14:textId="77777777" w:rsidR="00397B32" w:rsidRPr="00E620D1" w:rsidRDefault="00397B32" w:rsidP="00991B47">
            <w:pPr>
              <w:jc w:val="both"/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t>4.</w:t>
            </w:r>
          </w:p>
        </w:tc>
        <w:tc>
          <w:tcPr>
            <w:tcW w:w="8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BFC3" w14:textId="77777777" w:rsidR="00397B32" w:rsidRPr="00E620D1" w:rsidRDefault="00397B32" w:rsidP="00991B47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t>Details of the transaction(s)</w:t>
            </w:r>
            <w:r w:rsidRPr="00E620D1">
              <w:rPr>
                <w:rFonts w:cstheme="minorHAnsi"/>
                <w:b/>
                <w:bCs/>
                <w:sz w:val="16"/>
                <w:szCs w:val="16"/>
                <w:lang w:eastAsia="en-GB"/>
              </w:rPr>
              <w:br/>
              <w:t>section to be repeated for (i) each type of instrument; (ii) each type of transaction; (iii) each date; and (iv) each place where transactions have been conducted</w:t>
            </w:r>
          </w:p>
        </w:tc>
      </w:tr>
      <w:tr w:rsidR="00397B32" w:rsidRPr="00BD0A32" w14:paraId="6DFEA049" w14:textId="77777777" w:rsidTr="00731450">
        <w:trPr>
          <w:trHeight w:val="458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006F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a)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87C7" w14:textId="77777777" w:rsidR="00397B32" w:rsidRPr="00063635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  <w:r w:rsidRPr="00063635">
              <w:rPr>
                <w:rFonts w:cstheme="minorHAnsi"/>
                <w:sz w:val="16"/>
                <w:szCs w:val="16"/>
                <w:lang w:eastAsia="en-GB"/>
              </w:rPr>
              <w:t xml:space="preserve">Description of the financial instrument, type of instrument </w:t>
            </w:r>
          </w:p>
          <w:p w14:paraId="244CB4E3" w14:textId="77777777" w:rsidR="00397B32" w:rsidRPr="00E620D1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  <w:r w:rsidRPr="00063635">
              <w:rPr>
                <w:rFonts w:cstheme="minorHAnsi"/>
                <w:sz w:val="16"/>
                <w:szCs w:val="16"/>
                <w:lang w:eastAsia="en-GB"/>
              </w:rPr>
              <w:t>Identification code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4262" w14:textId="7E6E5F81" w:rsidR="00397B32" w:rsidRPr="00E620D1" w:rsidRDefault="00705B74" w:rsidP="00063635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Synthetic </w:t>
            </w:r>
            <w:r w:rsidR="00063635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shares pursuant to share incentive program for executive management of DNO ASA</w:t>
            </w:r>
            <w:r w:rsidR="00272203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. </w:t>
            </w:r>
            <w:r w:rsidR="00063635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The </w:t>
            </w:r>
            <w:r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synthetic </w:t>
            </w:r>
            <w:r w:rsidR="00063635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shares have no separate identification code and are linked to the ordinary shares of DNO ASA, with ISIN </w:t>
            </w:r>
            <w:r w:rsidR="00063635" w:rsidRPr="00063635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NO0003921009</w:t>
            </w:r>
            <w:r w:rsidR="00063635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.</w:t>
            </w:r>
          </w:p>
        </w:tc>
      </w:tr>
      <w:tr w:rsidR="00397B32" w:rsidRPr="00C4383A" w14:paraId="78CA63E7" w14:textId="77777777" w:rsidTr="00731450">
        <w:trPr>
          <w:trHeight w:val="2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05EE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b)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6D94" w14:textId="77777777" w:rsidR="00397B32" w:rsidRPr="00063635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063635">
              <w:rPr>
                <w:rFonts w:cstheme="minorHAnsi"/>
                <w:sz w:val="16"/>
                <w:szCs w:val="16"/>
                <w:lang w:eastAsia="en-GB"/>
              </w:rPr>
              <w:t>Nature of the transaction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92BE" w14:textId="5D2B385F" w:rsidR="00397B32" w:rsidRPr="00E620D1" w:rsidRDefault="00D00A2A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Award </w:t>
            </w:r>
            <w:r w:rsidR="00063635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of </w:t>
            </w:r>
            <w:r w:rsidR="00705B74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synthetic</w:t>
            </w:r>
            <w:r w:rsidR="00063635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 shares pursuant to share incentive program for executive management of DNO ASA.</w:t>
            </w:r>
          </w:p>
        </w:tc>
      </w:tr>
      <w:tr w:rsidR="00397B32" w:rsidRPr="00C4383A" w14:paraId="1DA8CACF" w14:textId="77777777" w:rsidTr="00731450">
        <w:trPr>
          <w:trHeight w:val="22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8FCE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c)</w:t>
            </w:r>
          </w:p>
        </w:tc>
        <w:tc>
          <w:tcPr>
            <w:tcW w:w="2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811E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063635">
              <w:rPr>
                <w:rFonts w:cstheme="minorHAnsi"/>
                <w:sz w:val="16"/>
                <w:szCs w:val="16"/>
                <w:lang w:eastAsia="en-GB"/>
              </w:rPr>
              <w:t>Price(s) and volume(s)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26F9" w14:textId="77777777" w:rsidR="00397B32" w:rsidRPr="00E620D1" w:rsidRDefault="00397B32" w:rsidP="00991B47">
            <w:pPr>
              <w:jc w:val="center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Price(s)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1ECF" w14:textId="77777777" w:rsidR="00397B32" w:rsidRPr="00E620D1" w:rsidRDefault="00397B32" w:rsidP="00991B47">
            <w:pPr>
              <w:jc w:val="center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Volume(s)</w:t>
            </w:r>
          </w:p>
        </w:tc>
      </w:tr>
      <w:tr w:rsidR="00397B32" w:rsidRPr="00C4383A" w14:paraId="136ED286" w14:textId="77777777" w:rsidTr="00731450">
        <w:trPr>
          <w:trHeight w:val="22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3858" w14:textId="77777777" w:rsidR="00397B32" w:rsidRPr="00E620D1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7D4F" w14:textId="77777777" w:rsidR="00397B32" w:rsidRPr="00E620D1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1DEA" w14:textId="1B4B80A7" w:rsidR="00397B32" w:rsidRDefault="005A3274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866628">
              <w:rPr>
                <w:rFonts w:cstheme="minorHAnsi"/>
                <w:sz w:val="16"/>
                <w:szCs w:val="16"/>
                <w:lang w:eastAsia="en-GB"/>
              </w:rPr>
              <w:t xml:space="preserve">NOK </w:t>
            </w:r>
            <w:r w:rsidR="00FE1122" w:rsidRPr="00866628">
              <w:rPr>
                <w:rFonts w:cstheme="minorHAnsi"/>
                <w:sz w:val="16"/>
                <w:szCs w:val="16"/>
                <w:lang w:eastAsia="en-GB"/>
              </w:rPr>
              <w:t>0</w:t>
            </w:r>
          </w:p>
          <w:p w14:paraId="219B048F" w14:textId="06AC3FAE" w:rsidR="0021199C" w:rsidRPr="0021199C" w:rsidRDefault="0021199C" w:rsidP="0021199C">
            <w:pPr>
              <w:pStyle w:val="BodyText"/>
              <w:rPr>
                <w:lang w:eastAsia="en-GB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AAD7" w14:textId="4A551AB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 </w:t>
            </w:r>
            <w:r w:rsidR="00250687">
              <w:rPr>
                <w:rFonts w:cstheme="minorHAnsi"/>
                <w:sz w:val="16"/>
                <w:szCs w:val="16"/>
                <w:lang w:eastAsia="en-GB"/>
              </w:rPr>
              <w:t>143</w:t>
            </w:r>
            <w:r w:rsidR="00696FAC">
              <w:rPr>
                <w:rFonts w:cstheme="minorHAnsi"/>
                <w:sz w:val="16"/>
                <w:szCs w:val="16"/>
                <w:lang w:eastAsia="en-GB"/>
              </w:rPr>
              <w:t>,</w:t>
            </w:r>
            <w:r w:rsidR="00250687">
              <w:rPr>
                <w:rFonts w:cstheme="minorHAnsi"/>
                <w:sz w:val="16"/>
                <w:szCs w:val="16"/>
                <w:lang w:eastAsia="en-GB"/>
              </w:rPr>
              <w:t>429</w:t>
            </w:r>
          </w:p>
        </w:tc>
      </w:tr>
      <w:tr w:rsidR="00397B32" w:rsidRPr="00C4383A" w14:paraId="3E65B942" w14:textId="77777777" w:rsidTr="00731450">
        <w:trPr>
          <w:trHeight w:val="222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1F0C" w14:textId="77777777" w:rsidR="00397B32" w:rsidRPr="00E620D1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C3F6" w14:textId="77777777" w:rsidR="00397B32" w:rsidRPr="00E620D1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7B7A" w14:textId="1E1EF2D4" w:rsidR="00397B32" w:rsidRPr="00E620D1" w:rsidRDefault="00397B32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</w:p>
        </w:tc>
      </w:tr>
      <w:tr w:rsidR="00397B32" w:rsidRPr="00C4383A" w14:paraId="57CF3189" w14:textId="77777777" w:rsidTr="00731450">
        <w:trPr>
          <w:trHeight w:val="22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ECD2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d)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A17F1" w14:textId="77777777" w:rsidR="00397B32" w:rsidRPr="0021199C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21199C">
              <w:rPr>
                <w:rFonts w:cstheme="minorHAnsi"/>
                <w:sz w:val="16"/>
                <w:szCs w:val="16"/>
                <w:lang w:eastAsia="en-GB"/>
              </w:rPr>
              <w:t>Aggregated information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4E4568B8" w14:textId="77777777" w:rsidR="00397B32" w:rsidRPr="00E620D1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E620D1">
              <w:rPr>
                <w:rFonts w:cstheme="minorHAnsi"/>
                <w:sz w:val="16"/>
                <w:szCs w:val="16"/>
                <w:lang w:eastAsia="en-GB"/>
              </w:rPr>
              <w:t> </w:t>
            </w:r>
          </w:p>
        </w:tc>
      </w:tr>
      <w:tr w:rsidR="00397B32" w:rsidRPr="00C4383A" w14:paraId="3D5FA665" w14:textId="77777777" w:rsidTr="00731450">
        <w:trPr>
          <w:trHeight w:val="248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34AE" w14:textId="77777777" w:rsidR="00397B32" w:rsidRPr="00E620D1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BDDE" w14:textId="77777777" w:rsidR="00397B32" w:rsidRPr="0021199C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21199C">
              <w:rPr>
                <w:rFonts w:cstheme="minorHAnsi"/>
                <w:sz w:val="16"/>
                <w:szCs w:val="16"/>
                <w:lang w:eastAsia="en-GB"/>
              </w:rPr>
              <w:t>— Aggregated volume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6A28" w14:textId="18D98C3C" w:rsidR="00397B32" w:rsidRPr="00E620D1" w:rsidRDefault="0021199C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N/A transaction relates to </w:t>
            </w:r>
            <w:r w:rsidR="005A3274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award </w:t>
            </w:r>
            <w:r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of </w:t>
            </w:r>
            <w:r w:rsidR="00857039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synthetic</w:t>
            </w:r>
            <w:r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 shares</w:t>
            </w:r>
          </w:p>
          <w:p w14:paraId="021D695C" w14:textId="77777777" w:rsidR="00397B32" w:rsidRPr="00E620D1" w:rsidRDefault="00397B32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</w:p>
        </w:tc>
      </w:tr>
      <w:tr w:rsidR="00397B32" w:rsidRPr="00C4383A" w14:paraId="0DF20742" w14:textId="77777777" w:rsidTr="00731450">
        <w:trPr>
          <w:trHeight w:val="248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3E79" w14:textId="77777777" w:rsidR="00397B32" w:rsidRPr="00E620D1" w:rsidRDefault="00397B32" w:rsidP="00991B47">
            <w:pPr>
              <w:rPr>
                <w:rFonts w:cstheme="minorHAnsi"/>
                <w:sz w:val="16"/>
                <w:szCs w:val="16"/>
                <w:lang w:eastAsia="en-GB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60E7" w14:textId="77777777" w:rsidR="00397B32" w:rsidRPr="00397B32" w:rsidRDefault="00397B32" w:rsidP="00991B47">
            <w:pPr>
              <w:jc w:val="both"/>
              <w:rPr>
                <w:rFonts w:cstheme="minorHAnsi"/>
                <w:sz w:val="16"/>
                <w:szCs w:val="16"/>
                <w:highlight w:val="green"/>
                <w:lang w:eastAsia="en-GB"/>
              </w:rPr>
            </w:pPr>
            <w:r w:rsidRPr="0021199C">
              <w:rPr>
                <w:rFonts w:cstheme="minorHAnsi"/>
                <w:sz w:val="16"/>
                <w:szCs w:val="16"/>
                <w:lang w:eastAsia="en-GB"/>
              </w:rPr>
              <w:t>— Price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02A6" w14:textId="6CE58FBE" w:rsidR="0021199C" w:rsidRPr="00866628" w:rsidRDefault="0021199C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  <w:r w:rsidRPr="00866628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Price: </w:t>
            </w:r>
            <w:r w:rsidR="005A3274" w:rsidRPr="00866628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NOK 0</w:t>
            </w:r>
          </w:p>
          <w:p w14:paraId="324AC5B8" w14:textId="54B0E01D" w:rsidR="0021199C" w:rsidRPr="000171F9" w:rsidRDefault="00472C96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472C96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Volume:</w:t>
            </w:r>
            <w:r>
              <w:rPr>
                <w:rFonts w:cstheme="minorHAnsi"/>
                <w:sz w:val="16"/>
                <w:szCs w:val="16"/>
                <w:lang w:eastAsia="en-GB"/>
              </w:rPr>
              <w:t xml:space="preserve"> </w:t>
            </w:r>
            <w:r w:rsidR="000B0EF8" w:rsidRPr="000171F9">
              <w:rPr>
                <w:rFonts w:cstheme="minorHAnsi"/>
                <w:sz w:val="16"/>
                <w:szCs w:val="16"/>
                <w:lang w:eastAsia="en-GB"/>
              </w:rPr>
              <w:t>14</w:t>
            </w:r>
            <w:r w:rsidR="008E3089" w:rsidRPr="000171F9">
              <w:rPr>
                <w:rFonts w:cstheme="minorHAnsi"/>
                <w:sz w:val="16"/>
                <w:szCs w:val="16"/>
                <w:lang w:eastAsia="en-GB"/>
              </w:rPr>
              <w:t>3</w:t>
            </w:r>
            <w:r w:rsidR="00696FAC">
              <w:rPr>
                <w:rFonts w:cstheme="minorHAnsi"/>
                <w:sz w:val="16"/>
                <w:szCs w:val="16"/>
                <w:lang w:eastAsia="en-GB"/>
              </w:rPr>
              <w:t>,</w:t>
            </w:r>
            <w:r w:rsidR="008E3089" w:rsidRPr="000171F9">
              <w:rPr>
                <w:rFonts w:cstheme="minorHAnsi"/>
                <w:sz w:val="16"/>
                <w:szCs w:val="16"/>
                <w:lang w:eastAsia="en-GB"/>
              </w:rPr>
              <w:t>429</w:t>
            </w:r>
          </w:p>
          <w:p w14:paraId="46999B92" w14:textId="47FA8CF8" w:rsidR="00397B32" w:rsidRPr="00E620D1" w:rsidRDefault="0021199C" w:rsidP="00D00A2A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  <w:r w:rsidRPr="00FE1122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Total value</w:t>
            </w:r>
            <w:r w:rsidR="00472C96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: </w:t>
            </w:r>
            <w:r w:rsidR="00D00A2A" w:rsidRPr="00FE1122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N/A</w:t>
            </w:r>
            <w:r w:rsidR="00397B32" w:rsidRPr="00E620D1"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397B32" w:rsidRPr="00C4383A" w14:paraId="77A33094" w14:textId="77777777" w:rsidTr="00731450">
        <w:trPr>
          <w:trHeight w:val="2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32F0" w14:textId="77777777" w:rsidR="00397B32" w:rsidRPr="0021199C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21199C">
              <w:rPr>
                <w:rFonts w:cstheme="minorHAnsi"/>
                <w:sz w:val="16"/>
                <w:szCs w:val="16"/>
                <w:lang w:eastAsia="en-GB"/>
              </w:rPr>
              <w:t>e)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F15D" w14:textId="77777777" w:rsidR="00397B32" w:rsidRPr="0021199C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21199C">
              <w:rPr>
                <w:rFonts w:cstheme="minorHAnsi"/>
                <w:sz w:val="16"/>
                <w:szCs w:val="16"/>
                <w:lang w:eastAsia="en-GB"/>
              </w:rPr>
              <w:t>Date of the transaction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3DE5" w14:textId="3FF4584C" w:rsidR="00397B32" w:rsidRPr="00081703" w:rsidRDefault="00764BF7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081703">
              <w:rPr>
                <w:rFonts w:cstheme="minorHAnsi"/>
                <w:sz w:val="16"/>
                <w:szCs w:val="16"/>
                <w:lang w:eastAsia="en-GB"/>
              </w:rPr>
              <w:t>2021</w:t>
            </w:r>
            <w:r w:rsidR="00081703">
              <w:rPr>
                <w:rFonts w:cstheme="minorHAnsi"/>
                <w:sz w:val="16"/>
                <w:szCs w:val="16"/>
                <w:lang w:eastAsia="en-GB"/>
              </w:rPr>
              <w:t>-</w:t>
            </w:r>
            <w:r w:rsidR="00081703" w:rsidRPr="00081703">
              <w:rPr>
                <w:rFonts w:cstheme="minorHAnsi"/>
                <w:sz w:val="16"/>
                <w:szCs w:val="16"/>
                <w:lang w:eastAsia="en-GB"/>
              </w:rPr>
              <w:t>05</w:t>
            </w:r>
            <w:r w:rsidR="00081703">
              <w:rPr>
                <w:rFonts w:cstheme="minorHAnsi"/>
                <w:sz w:val="16"/>
                <w:szCs w:val="16"/>
                <w:lang w:eastAsia="en-GB"/>
              </w:rPr>
              <w:t>-</w:t>
            </w:r>
            <w:r w:rsidR="00081703" w:rsidRPr="00081703">
              <w:rPr>
                <w:rFonts w:cstheme="minorHAnsi"/>
                <w:sz w:val="16"/>
                <w:szCs w:val="16"/>
                <w:lang w:eastAsia="en-GB"/>
              </w:rPr>
              <w:t>21</w:t>
            </w:r>
            <w:r w:rsidR="00DB325E">
              <w:rPr>
                <w:rFonts w:cstheme="minorHAnsi"/>
                <w:sz w:val="16"/>
                <w:szCs w:val="16"/>
                <w:lang w:eastAsia="en-GB"/>
              </w:rPr>
              <w:t>, 8:22 CEST</w:t>
            </w:r>
          </w:p>
          <w:p w14:paraId="418A7479" w14:textId="476CF689" w:rsidR="00397B32" w:rsidRPr="00E620D1" w:rsidRDefault="00397B32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</w:p>
        </w:tc>
      </w:tr>
      <w:tr w:rsidR="00397B32" w:rsidRPr="00C4383A" w14:paraId="17159EAF" w14:textId="77777777" w:rsidTr="00731450">
        <w:trPr>
          <w:trHeight w:val="2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89D0" w14:textId="77777777" w:rsidR="00397B32" w:rsidRPr="0021199C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21199C">
              <w:rPr>
                <w:rFonts w:cstheme="minorHAnsi"/>
                <w:sz w:val="16"/>
                <w:szCs w:val="16"/>
                <w:lang w:eastAsia="en-GB"/>
              </w:rPr>
              <w:t>f)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C7B4" w14:textId="77777777" w:rsidR="00397B32" w:rsidRPr="0021199C" w:rsidRDefault="00397B32" w:rsidP="00991B47">
            <w:pPr>
              <w:jc w:val="both"/>
              <w:rPr>
                <w:rFonts w:cstheme="minorHAnsi"/>
                <w:sz w:val="16"/>
                <w:szCs w:val="16"/>
                <w:lang w:eastAsia="en-GB"/>
              </w:rPr>
            </w:pPr>
            <w:r w:rsidRPr="0021199C">
              <w:rPr>
                <w:rFonts w:cstheme="minorHAnsi"/>
                <w:sz w:val="16"/>
                <w:szCs w:val="16"/>
                <w:lang w:eastAsia="en-GB"/>
              </w:rPr>
              <w:t>Place of the transaction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27BF" w14:textId="3A8DA70B" w:rsidR="00397B32" w:rsidRPr="00E620D1" w:rsidRDefault="0021199C" w:rsidP="00991B47">
            <w:pPr>
              <w:jc w:val="both"/>
              <w:rPr>
                <w:rFonts w:cstheme="minorHAnsi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cstheme="minorHAnsi"/>
                <w:i/>
                <w:iCs/>
                <w:sz w:val="16"/>
                <w:szCs w:val="16"/>
                <w:lang w:eastAsia="en-GB"/>
              </w:rPr>
              <w:t>Outside a trading venue</w:t>
            </w:r>
          </w:p>
        </w:tc>
      </w:tr>
    </w:tbl>
    <w:p w14:paraId="33756050" w14:textId="77777777" w:rsidR="00397B32" w:rsidRDefault="00397B32" w:rsidP="00397B32">
      <w:pPr>
        <w:pStyle w:val="BodyText"/>
        <w:rPr>
          <w:bCs/>
          <w:lang w:val="en-US"/>
        </w:rPr>
      </w:pPr>
    </w:p>
    <w:p w14:paraId="38FCB481" w14:textId="77777777" w:rsidR="00397B32" w:rsidRDefault="00397B32" w:rsidP="00397B32">
      <w:pPr>
        <w:pStyle w:val="BodyText"/>
        <w:rPr>
          <w:bCs/>
          <w:lang w:val="en-US"/>
        </w:rPr>
      </w:pPr>
    </w:p>
    <w:p w14:paraId="51A591BA" w14:textId="77777777" w:rsidR="00397B32" w:rsidRDefault="00397B32" w:rsidP="00397B32">
      <w:pPr>
        <w:pStyle w:val="BodyText"/>
        <w:rPr>
          <w:bCs/>
          <w:lang w:val="en-US"/>
        </w:rPr>
      </w:pPr>
    </w:p>
    <w:p w14:paraId="57D476BE" w14:textId="77777777" w:rsidR="00397B32" w:rsidRPr="00433B0F" w:rsidRDefault="00397B32" w:rsidP="00397B32">
      <w:pPr>
        <w:pStyle w:val="BodyText"/>
      </w:pPr>
    </w:p>
    <w:sectPr w:rsidR="00397B32" w:rsidRPr="00433B0F" w:rsidSect="00DB697A">
      <w:footerReference w:type="default" r:id="rId6"/>
      <w:headerReference w:type="first" r:id="rId7"/>
      <w:pgSz w:w="11906" w:h="16838"/>
      <w:pgMar w:top="1247" w:right="1134" w:bottom="153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7275E" w14:textId="77777777" w:rsidR="0036774E" w:rsidRDefault="0036774E">
      <w:pPr>
        <w:spacing w:after="0"/>
      </w:pPr>
      <w:r>
        <w:separator/>
      </w:r>
    </w:p>
  </w:endnote>
  <w:endnote w:type="continuationSeparator" w:id="0">
    <w:p w14:paraId="4153F7BA" w14:textId="77777777" w:rsidR="0036774E" w:rsidRDefault="003677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8DCAA" w14:textId="77777777" w:rsidR="00AC6E90" w:rsidRPr="0085108F" w:rsidRDefault="00DB325E" w:rsidP="0085108F">
    <w:pPr>
      <w:pStyle w:val="Footer"/>
      <w:ind w:left="-567" w:right="-567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FBDFC" w14:textId="77777777" w:rsidR="0036774E" w:rsidRDefault="0036774E">
      <w:pPr>
        <w:spacing w:after="0"/>
      </w:pPr>
      <w:r>
        <w:separator/>
      </w:r>
    </w:p>
  </w:footnote>
  <w:footnote w:type="continuationSeparator" w:id="0">
    <w:p w14:paraId="76884643" w14:textId="77777777" w:rsidR="0036774E" w:rsidRDefault="003677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E5365" w14:textId="77777777" w:rsidR="00AC6E90" w:rsidRDefault="00397B32">
    <w:pPr>
      <w:pStyle w:val="Header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04819C" wp14:editId="74ED02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447925" cy="1638000"/>
              <wp:effectExtent l="0" t="0" r="0" b="635"/>
              <wp:wrapSquare wrapText="bothSides"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7925" cy="163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7F786" id="Rektangel 5" o:spid="_x0000_s1026" style="position:absolute;margin-left:0;margin-top:0;width:192.75pt;height:129pt;z-index:251659264;visibility:visible;mso-wrap-style:square;mso-width-percent:100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" filled="f" stroked="f" strokeweight="1pt">
              <w10:wrap type="square" anchorx="page" anchory="page"/>
            </v:rect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251660288" behindDoc="0" locked="0" layoutInCell="1" allowOverlap="1" wp14:anchorId="437B72FE" wp14:editId="71F740EE">
          <wp:simplePos x="0" y="0"/>
          <wp:positionH relativeFrom="column">
            <wp:posOffset>2604135</wp:posOffset>
          </wp:positionH>
          <wp:positionV relativeFrom="paragraph">
            <wp:posOffset>-450215</wp:posOffset>
          </wp:positionV>
          <wp:extent cx="921385" cy="1047115"/>
          <wp:effectExtent l="0" t="0" r="0" b="63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sid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32"/>
    <w:rsid w:val="000171F9"/>
    <w:rsid w:val="00056911"/>
    <w:rsid w:val="00063635"/>
    <w:rsid w:val="00081703"/>
    <w:rsid w:val="000B0EF8"/>
    <w:rsid w:val="000D309C"/>
    <w:rsid w:val="001C203D"/>
    <w:rsid w:val="0021199C"/>
    <w:rsid w:val="00250687"/>
    <w:rsid w:val="00272203"/>
    <w:rsid w:val="002D2EA2"/>
    <w:rsid w:val="002F0CCC"/>
    <w:rsid w:val="0031100F"/>
    <w:rsid w:val="00353B64"/>
    <w:rsid w:val="0036774E"/>
    <w:rsid w:val="00397B32"/>
    <w:rsid w:val="0044041C"/>
    <w:rsid w:val="00472C96"/>
    <w:rsid w:val="005A3274"/>
    <w:rsid w:val="00696FAC"/>
    <w:rsid w:val="00704C92"/>
    <w:rsid w:val="00705B74"/>
    <w:rsid w:val="00731450"/>
    <w:rsid w:val="00764BF7"/>
    <w:rsid w:val="00857039"/>
    <w:rsid w:val="00866628"/>
    <w:rsid w:val="008E3089"/>
    <w:rsid w:val="00914396"/>
    <w:rsid w:val="009500D6"/>
    <w:rsid w:val="009A577B"/>
    <w:rsid w:val="00C62044"/>
    <w:rsid w:val="00D00A2A"/>
    <w:rsid w:val="00DA498E"/>
    <w:rsid w:val="00DB325E"/>
    <w:rsid w:val="00DD44E1"/>
    <w:rsid w:val="00E239F2"/>
    <w:rsid w:val="00FE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EA33"/>
  <w15:chartTrackingRefBased/>
  <w15:docId w15:val="{E4E882E4-5919-4C48-95B6-D1881DE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rsid w:val="00397B32"/>
    <w:pPr>
      <w:spacing w:after="180" w:line="240" w:lineRule="auto"/>
    </w:pPr>
    <w:rPr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7B3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B32"/>
    <w:rPr>
      <w:sz w:val="18"/>
      <w:lang w:val="en-GB"/>
    </w:rPr>
  </w:style>
  <w:style w:type="paragraph" w:styleId="Footer">
    <w:name w:val="footer"/>
    <w:basedOn w:val="Normal"/>
    <w:link w:val="FooterChar"/>
    <w:uiPriority w:val="99"/>
    <w:rsid w:val="00397B3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7B32"/>
    <w:rPr>
      <w:sz w:val="18"/>
      <w:lang w:val="en-GB"/>
    </w:rPr>
  </w:style>
  <w:style w:type="table" w:customStyle="1" w:styleId="DNO">
    <w:name w:val="DNO"/>
    <w:basedOn w:val="TableNormal"/>
    <w:uiPriority w:val="99"/>
    <w:rsid w:val="00397B32"/>
    <w:pPr>
      <w:spacing w:after="0" w:line="240" w:lineRule="auto"/>
    </w:pPr>
    <w:rPr>
      <w:rFonts w:ascii="Arial" w:hAnsi="Arial"/>
      <w:sz w:val="24"/>
    </w:rPr>
    <w:tblPr>
      <w:jc w:val="center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left"/>
      </w:pPr>
      <w:rPr>
        <w:b/>
      </w:rPr>
      <w:tblPr/>
      <w:tcPr>
        <w:shd w:val="clear" w:color="auto" w:fill="000000" w:themeFill="text1"/>
      </w:tcPr>
    </w:tblStylePr>
  </w:style>
  <w:style w:type="character" w:styleId="PlaceholderText">
    <w:name w:val="Placeholder Text"/>
    <w:basedOn w:val="DefaultParagraphFont"/>
    <w:uiPriority w:val="99"/>
    <w:semiHidden/>
    <w:rsid w:val="00397B32"/>
    <w:rPr>
      <w:color w:val="808080"/>
    </w:rPr>
  </w:style>
  <w:style w:type="paragraph" w:styleId="BodyText">
    <w:name w:val="Body Text"/>
    <w:basedOn w:val="Normal"/>
    <w:link w:val="BodyTextChar"/>
    <w:uiPriority w:val="99"/>
    <w:qFormat/>
    <w:rsid w:val="00397B32"/>
  </w:style>
  <w:style w:type="character" w:customStyle="1" w:styleId="BodyTextChar">
    <w:name w:val="Body Text Char"/>
    <w:basedOn w:val="DefaultParagraphFont"/>
    <w:link w:val="BodyText"/>
    <w:uiPriority w:val="99"/>
    <w:rsid w:val="00397B32"/>
    <w:rPr>
      <w:sz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63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63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6363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A3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27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27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A2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A2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Kaurin</dc:creator>
  <cp:keywords/>
  <dc:description/>
  <cp:lastModifiedBy>Kjersti Kaurin</cp:lastModifiedBy>
  <cp:revision>2</cp:revision>
  <dcterms:created xsi:type="dcterms:W3CDTF">2021-05-21T10:25:00Z</dcterms:created>
  <dcterms:modified xsi:type="dcterms:W3CDTF">2021-05-21T10:25:00Z</dcterms:modified>
</cp:coreProperties>
</file>