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22AB7" w14:textId="3FE84F55" w:rsidR="00541CC3" w:rsidRPr="00202DC6" w:rsidRDefault="00B60F23" w:rsidP="00541CC3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31</w:t>
      </w:r>
      <w:r w:rsidR="00880227">
        <w:rPr>
          <w:rFonts w:asciiTheme="minorHAnsi" w:hAnsiTheme="minorHAnsi" w:cstheme="minorBidi"/>
          <w:color w:val="auto"/>
          <w:sz w:val="22"/>
          <w:szCs w:val="22"/>
        </w:rPr>
        <w:t xml:space="preserve"> March</w:t>
      </w:r>
      <w:r w:rsidR="00335099">
        <w:rPr>
          <w:rFonts w:asciiTheme="minorHAnsi" w:hAnsiTheme="minorHAnsi" w:cstheme="minorBidi"/>
          <w:color w:val="auto"/>
          <w:sz w:val="22"/>
          <w:szCs w:val="22"/>
        </w:rPr>
        <w:t xml:space="preserve"> 202</w:t>
      </w:r>
      <w:r w:rsidR="004165B7">
        <w:rPr>
          <w:rFonts w:asciiTheme="minorHAnsi" w:hAnsiTheme="minorHAnsi" w:cstheme="minorBidi"/>
          <w:color w:val="auto"/>
          <w:sz w:val="22"/>
          <w:szCs w:val="22"/>
        </w:rPr>
        <w:t>6</w:t>
      </w:r>
    </w:p>
    <w:p w14:paraId="35E6F381" w14:textId="77777777" w:rsidR="00A85EB2" w:rsidRPr="00202DC6" w:rsidRDefault="00A85EB2" w:rsidP="00317EC6"/>
    <w:p w14:paraId="60F6B18E" w14:textId="3C737F49" w:rsidR="00656653" w:rsidRPr="00202DC6" w:rsidRDefault="009712C0" w:rsidP="00317EC6">
      <w:pPr>
        <w:rPr>
          <w:rFonts w:ascii="Calibri" w:eastAsia="Times New Roman" w:hAnsi="Calibri" w:cs="Calibri"/>
          <w:lang w:eastAsia="en-GB"/>
        </w:rPr>
      </w:pPr>
      <w:r w:rsidRPr="00202DC6">
        <w:t xml:space="preserve">LEI: </w:t>
      </w:r>
      <w:r w:rsidRPr="00202DC6">
        <w:rPr>
          <w:rFonts w:ascii="Calibri" w:eastAsia="Times New Roman" w:hAnsi="Calibri" w:cs="Calibri"/>
          <w:lang w:eastAsia="en-GB"/>
        </w:rPr>
        <w:t>2138003QW2ZAYZODBU23</w:t>
      </w:r>
    </w:p>
    <w:p w14:paraId="586578AB" w14:textId="087A1597" w:rsidR="00541CC3" w:rsidRPr="00202DC6" w:rsidRDefault="00B346C6" w:rsidP="00DD69C7">
      <w:pPr>
        <w:pStyle w:val="Default"/>
        <w:jc w:val="center"/>
        <w:rPr>
          <w:rFonts w:asciiTheme="minorHAnsi" w:hAnsiTheme="minorHAnsi" w:cstheme="minorBidi"/>
          <w:b/>
          <w:color w:val="auto"/>
          <w:sz w:val="22"/>
          <w:szCs w:val="22"/>
        </w:rPr>
      </w:pPr>
      <w:r w:rsidRPr="00202DC6">
        <w:rPr>
          <w:rFonts w:asciiTheme="minorHAnsi" w:hAnsiTheme="minorHAnsi" w:cstheme="minorBidi"/>
          <w:b/>
          <w:color w:val="auto"/>
          <w:sz w:val="22"/>
          <w:szCs w:val="22"/>
        </w:rPr>
        <w:t xml:space="preserve">WISDOMTREE MULTI ASSET </w:t>
      </w:r>
      <w:r w:rsidR="00541CC3" w:rsidRPr="00202DC6">
        <w:rPr>
          <w:rFonts w:asciiTheme="minorHAnsi" w:hAnsiTheme="minorHAnsi" w:cstheme="minorBidi"/>
          <w:b/>
          <w:color w:val="auto"/>
          <w:sz w:val="22"/>
          <w:szCs w:val="22"/>
        </w:rPr>
        <w:t>ISSUER PUBLIC LIMITED COMPANY</w:t>
      </w:r>
      <w:r w:rsidR="00411B36" w:rsidRPr="00202DC6">
        <w:rPr>
          <w:rFonts w:asciiTheme="minorHAnsi" w:hAnsiTheme="minorHAnsi" w:cstheme="minorBidi"/>
          <w:b/>
          <w:color w:val="auto"/>
          <w:sz w:val="22"/>
          <w:szCs w:val="22"/>
        </w:rPr>
        <w:t xml:space="preserve"> (THE “ISSUER”)</w:t>
      </w:r>
    </w:p>
    <w:p w14:paraId="47D3218C" w14:textId="77777777" w:rsidR="00541CC3" w:rsidRPr="00202DC6" w:rsidRDefault="00541CC3" w:rsidP="00DD69C7">
      <w:pPr>
        <w:pStyle w:val="Default"/>
        <w:jc w:val="center"/>
        <w:rPr>
          <w:rFonts w:asciiTheme="minorHAnsi" w:hAnsiTheme="minorHAnsi" w:cstheme="minorBidi"/>
          <w:i/>
          <w:color w:val="auto"/>
          <w:sz w:val="22"/>
          <w:szCs w:val="22"/>
        </w:rPr>
      </w:pPr>
      <w:r w:rsidRPr="00202DC6">
        <w:rPr>
          <w:rFonts w:asciiTheme="minorHAnsi" w:hAnsiTheme="minorHAnsi" w:cstheme="minorBidi"/>
          <w:i/>
          <w:color w:val="auto"/>
          <w:sz w:val="22"/>
          <w:szCs w:val="22"/>
        </w:rPr>
        <w:t>(a public company incorporated with limited liability in Ireland)</w:t>
      </w:r>
    </w:p>
    <w:p w14:paraId="2EECA4F8" w14:textId="77777777" w:rsidR="009951FA" w:rsidRPr="00202DC6" w:rsidRDefault="009951FA" w:rsidP="004F5264">
      <w:pPr>
        <w:pStyle w:val="Default"/>
        <w:jc w:val="center"/>
        <w:rPr>
          <w:rFonts w:asciiTheme="minorHAnsi" w:hAnsiTheme="minorHAnsi" w:cstheme="minorBidi"/>
          <w:i/>
          <w:color w:val="auto"/>
          <w:sz w:val="22"/>
          <w:szCs w:val="22"/>
        </w:rPr>
      </w:pPr>
    </w:p>
    <w:p w14:paraId="0BC25738" w14:textId="25C20645" w:rsidR="00335099" w:rsidRDefault="00BA5B7A" w:rsidP="004F5264">
      <w:pPr>
        <w:pStyle w:val="Default"/>
        <w:ind w:left="1080"/>
        <w:jc w:val="center"/>
        <w:rPr>
          <w:rFonts w:asciiTheme="minorHAnsi" w:hAnsiTheme="minorHAnsi" w:cstheme="minorHAnsi"/>
          <w:b/>
          <w:caps/>
        </w:rPr>
      </w:pPr>
      <w:r>
        <w:rPr>
          <w:rFonts w:asciiTheme="minorHAnsi" w:hAnsiTheme="minorHAnsi" w:cstheme="minorHAnsi"/>
          <w:b/>
          <w:caps/>
        </w:rPr>
        <w:t xml:space="preserve">1) </w:t>
      </w:r>
      <w:r w:rsidR="00C97430" w:rsidRPr="00202DC6">
        <w:rPr>
          <w:rFonts w:asciiTheme="minorHAnsi" w:hAnsiTheme="minorHAnsi" w:cstheme="minorHAnsi"/>
          <w:b/>
          <w:caps/>
        </w:rPr>
        <w:t xml:space="preserve">WisdomTree </w:t>
      </w:r>
      <w:r w:rsidR="004D7860" w:rsidRPr="00202DC6">
        <w:rPr>
          <w:rFonts w:asciiTheme="minorHAnsi" w:hAnsiTheme="minorHAnsi" w:cstheme="minorHAnsi"/>
          <w:b/>
          <w:caps/>
        </w:rPr>
        <w:t>S&amp;P 500 3x</w:t>
      </w:r>
      <w:r w:rsidR="00C97430" w:rsidRPr="00202DC6">
        <w:rPr>
          <w:rFonts w:asciiTheme="minorHAnsi" w:hAnsiTheme="minorHAnsi" w:cstheme="minorHAnsi"/>
          <w:b/>
          <w:caps/>
        </w:rPr>
        <w:t xml:space="preserve"> Daily Leveraged </w:t>
      </w:r>
      <w:r w:rsidR="000D0C47" w:rsidRPr="00202DC6">
        <w:rPr>
          <w:rFonts w:asciiTheme="minorHAnsi" w:hAnsiTheme="minorHAnsi" w:cstheme="minorHAnsi"/>
          <w:b/>
          <w:caps/>
        </w:rPr>
        <w:t xml:space="preserve">(Isin: </w:t>
      </w:r>
      <w:r w:rsidR="004D7860" w:rsidRPr="00202DC6">
        <w:rPr>
          <w:rFonts w:asciiTheme="minorHAnsi" w:hAnsiTheme="minorHAnsi" w:cstheme="minorHAnsi"/>
          <w:b/>
          <w:caps/>
        </w:rPr>
        <w:t>IE00B7Y34M31</w:t>
      </w:r>
      <w:r w:rsidR="00E51BBA" w:rsidRPr="00202DC6">
        <w:rPr>
          <w:rFonts w:asciiTheme="minorHAnsi" w:hAnsiTheme="minorHAnsi" w:cstheme="minorHAnsi"/>
          <w:b/>
          <w:caps/>
        </w:rPr>
        <w:t>)</w:t>
      </w:r>
    </w:p>
    <w:p w14:paraId="5AE50DAE" w14:textId="41C429D4" w:rsidR="00677E75" w:rsidRDefault="00677E75" w:rsidP="004F5264">
      <w:pPr>
        <w:pStyle w:val="Default"/>
        <w:ind w:left="1080"/>
        <w:jc w:val="center"/>
        <w:rPr>
          <w:rFonts w:asciiTheme="minorHAnsi" w:hAnsiTheme="minorHAnsi" w:cstheme="minorHAnsi"/>
          <w:b/>
          <w:caps/>
        </w:rPr>
      </w:pPr>
      <w:r>
        <w:rPr>
          <w:rFonts w:asciiTheme="minorHAnsi" w:hAnsiTheme="minorHAnsi" w:cstheme="minorHAnsi"/>
          <w:b/>
          <w:caps/>
        </w:rPr>
        <w:t xml:space="preserve">2) </w:t>
      </w:r>
      <w:r w:rsidR="008E2F7D" w:rsidRPr="008E2F7D">
        <w:rPr>
          <w:rFonts w:asciiTheme="minorHAnsi" w:hAnsiTheme="minorHAnsi" w:cstheme="minorHAnsi"/>
          <w:b/>
          <w:caps/>
        </w:rPr>
        <w:t>WisdomTree NASDAQ 100 3x Daily Leveraged</w:t>
      </w:r>
      <w:r w:rsidR="008E2F7D">
        <w:rPr>
          <w:rFonts w:asciiTheme="minorHAnsi" w:hAnsiTheme="minorHAnsi" w:cstheme="minorHAnsi"/>
          <w:b/>
          <w:caps/>
        </w:rPr>
        <w:t xml:space="preserve"> </w:t>
      </w:r>
      <w:r w:rsidR="00773160">
        <w:rPr>
          <w:rFonts w:asciiTheme="minorHAnsi" w:hAnsiTheme="minorHAnsi" w:cstheme="minorHAnsi"/>
          <w:b/>
          <w:caps/>
        </w:rPr>
        <w:t xml:space="preserve">(ISIN: </w:t>
      </w:r>
      <w:r w:rsidR="00773160" w:rsidRPr="00773160">
        <w:rPr>
          <w:rFonts w:asciiTheme="minorHAnsi" w:hAnsiTheme="minorHAnsi" w:cstheme="minorHAnsi"/>
          <w:b/>
          <w:caps/>
        </w:rPr>
        <w:t>IE00BLRPRL42</w:t>
      </w:r>
      <w:r w:rsidR="00773160">
        <w:rPr>
          <w:rFonts w:asciiTheme="minorHAnsi" w:hAnsiTheme="minorHAnsi" w:cstheme="minorHAnsi"/>
          <w:b/>
          <w:caps/>
        </w:rPr>
        <w:t>)</w:t>
      </w:r>
    </w:p>
    <w:p w14:paraId="00639ADA" w14:textId="392C925C" w:rsidR="00773160" w:rsidRDefault="00773160" w:rsidP="004F5264">
      <w:pPr>
        <w:pStyle w:val="Default"/>
        <w:ind w:left="1080"/>
        <w:jc w:val="center"/>
        <w:rPr>
          <w:rFonts w:asciiTheme="minorHAnsi" w:hAnsiTheme="minorHAnsi" w:cstheme="minorHAnsi"/>
          <w:b/>
          <w:caps/>
        </w:rPr>
      </w:pPr>
      <w:r>
        <w:rPr>
          <w:rFonts w:asciiTheme="minorHAnsi" w:hAnsiTheme="minorHAnsi" w:cstheme="minorHAnsi"/>
          <w:b/>
          <w:caps/>
        </w:rPr>
        <w:t xml:space="preserve">3) </w:t>
      </w:r>
      <w:r w:rsidR="000C03C0" w:rsidRPr="000C03C0">
        <w:rPr>
          <w:rFonts w:asciiTheme="minorHAnsi" w:hAnsiTheme="minorHAnsi" w:cstheme="minorHAnsi"/>
          <w:b/>
          <w:caps/>
        </w:rPr>
        <w:t>WisdomTree Magnificent 7 3x Daily Leveraged</w:t>
      </w:r>
      <w:r w:rsidR="000C03C0">
        <w:rPr>
          <w:rFonts w:asciiTheme="minorHAnsi" w:hAnsiTheme="minorHAnsi" w:cstheme="minorHAnsi"/>
          <w:b/>
          <w:caps/>
        </w:rPr>
        <w:t xml:space="preserve"> (ISIN: </w:t>
      </w:r>
      <w:r w:rsidR="004F5264" w:rsidRPr="004F5264">
        <w:rPr>
          <w:rFonts w:asciiTheme="minorHAnsi" w:hAnsiTheme="minorHAnsi" w:cstheme="minorHAnsi"/>
          <w:b/>
          <w:caps/>
        </w:rPr>
        <w:t>XS3091654114</w:t>
      </w:r>
      <w:r w:rsidR="004F5264">
        <w:rPr>
          <w:rFonts w:asciiTheme="minorHAnsi" w:hAnsiTheme="minorHAnsi" w:cstheme="minorHAnsi"/>
          <w:b/>
          <w:caps/>
        </w:rPr>
        <w:t>)</w:t>
      </w:r>
    </w:p>
    <w:p w14:paraId="0092B0D0" w14:textId="12715B0E" w:rsidR="004F5264" w:rsidRDefault="004F5264" w:rsidP="004F5264">
      <w:pPr>
        <w:pStyle w:val="Default"/>
        <w:ind w:left="1080"/>
        <w:jc w:val="center"/>
        <w:rPr>
          <w:rFonts w:asciiTheme="minorHAnsi" w:hAnsiTheme="minorHAnsi" w:cstheme="minorHAnsi"/>
          <w:b/>
          <w:caps/>
        </w:rPr>
      </w:pPr>
      <w:r>
        <w:rPr>
          <w:rFonts w:asciiTheme="minorHAnsi" w:hAnsiTheme="minorHAnsi" w:cstheme="minorHAnsi"/>
          <w:b/>
          <w:caps/>
        </w:rPr>
        <w:t>4)</w:t>
      </w:r>
      <w:r w:rsidR="000C4F70" w:rsidRPr="000C4F70">
        <w:t xml:space="preserve"> </w:t>
      </w:r>
      <w:r w:rsidR="000C4F70" w:rsidRPr="000C4F70">
        <w:rPr>
          <w:rFonts w:asciiTheme="minorHAnsi" w:hAnsiTheme="minorHAnsi" w:cstheme="minorHAnsi"/>
          <w:b/>
          <w:caps/>
        </w:rPr>
        <w:t>WisdomTree PHLX Semiconductor 3x Daily Leveraged</w:t>
      </w:r>
      <w:r w:rsidR="000C4F70">
        <w:rPr>
          <w:rFonts w:asciiTheme="minorHAnsi" w:hAnsiTheme="minorHAnsi" w:cstheme="minorHAnsi"/>
          <w:b/>
          <w:caps/>
        </w:rPr>
        <w:t xml:space="preserve"> (ISIN: </w:t>
      </w:r>
      <w:r w:rsidR="006A020E" w:rsidRPr="006A020E">
        <w:rPr>
          <w:rFonts w:asciiTheme="minorHAnsi" w:hAnsiTheme="minorHAnsi" w:cstheme="minorHAnsi"/>
          <w:b/>
          <w:caps/>
        </w:rPr>
        <w:t>XS3091657729</w:t>
      </w:r>
      <w:r w:rsidR="006A020E">
        <w:rPr>
          <w:rFonts w:asciiTheme="minorHAnsi" w:hAnsiTheme="minorHAnsi" w:cstheme="minorHAnsi"/>
          <w:b/>
          <w:caps/>
        </w:rPr>
        <w:t>)</w:t>
      </w:r>
    </w:p>
    <w:p w14:paraId="4AFA648D" w14:textId="719CE28B" w:rsidR="00636A38" w:rsidRDefault="00636A38" w:rsidP="004F5264">
      <w:pPr>
        <w:pStyle w:val="Default"/>
        <w:ind w:left="1080"/>
        <w:jc w:val="center"/>
        <w:rPr>
          <w:rFonts w:asciiTheme="minorHAnsi" w:hAnsiTheme="minorHAnsi" w:cstheme="minorHAnsi"/>
          <w:b/>
          <w:caps/>
        </w:rPr>
      </w:pPr>
      <w:r>
        <w:rPr>
          <w:rFonts w:asciiTheme="minorHAnsi" w:hAnsiTheme="minorHAnsi" w:cstheme="minorHAnsi"/>
          <w:b/>
          <w:caps/>
        </w:rPr>
        <w:t>(TOGETHER THE “fs aFFECTED SECURITIES”)</w:t>
      </w:r>
    </w:p>
    <w:p w14:paraId="363AFDE2" w14:textId="6B58CEB7" w:rsidR="006A020E" w:rsidRDefault="006A020E" w:rsidP="004F5264">
      <w:pPr>
        <w:pStyle w:val="Default"/>
        <w:ind w:left="1080"/>
        <w:jc w:val="center"/>
        <w:rPr>
          <w:rFonts w:asciiTheme="minorHAnsi" w:hAnsiTheme="minorHAnsi" w:cstheme="minorHAnsi"/>
          <w:b/>
          <w:caps/>
        </w:rPr>
      </w:pPr>
      <w:r>
        <w:rPr>
          <w:rFonts w:asciiTheme="minorHAnsi" w:hAnsiTheme="minorHAnsi" w:cstheme="minorHAnsi"/>
          <w:b/>
          <w:caps/>
        </w:rPr>
        <w:t xml:space="preserve">5) </w:t>
      </w:r>
      <w:r w:rsidR="002D6353" w:rsidRPr="002D6353">
        <w:rPr>
          <w:rFonts w:asciiTheme="minorHAnsi" w:hAnsiTheme="minorHAnsi" w:cstheme="minorHAnsi"/>
          <w:b/>
          <w:caps/>
        </w:rPr>
        <w:t>WisdomTree S&amp;P 500 3x Daily Short</w:t>
      </w:r>
      <w:r w:rsidR="00A95B82">
        <w:rPr>
          <w:rFonts w:asciiTheme="minorHAnsi" w:hAnsiTheme="minorHAnsi" w:cstheme="minorHAnsi"/>
          <w:b/>
          <w:caps/>
        </w:rPr>
        <w:t xml:space="preserve"> (ISIN: </w:t>
      </w:r>
      <w:r w:rsidR="00F07BEC" w:rsidRPr="00F07BEC">
        <w:rPr>
          <w:rFonts w:asciiTheme="minorHAnsi" w:hAnsiTheme="minorHAnsi" w:cstheme="minorHAnsi"/>
          <w:b/>
          <w:caps/>
        </w:rPr>
        <w:t>IE00B8K7KM88</w:t>
      </w:r>
      <w:r w:rsidR="00F07BEC">
        <w:rPr>
          <w:rFonts w:asciiTheme="minorHAnsi" w:hAnsiTheme="minorHAnsi" w:cstheme="minorHAnsi"/>
          <w:b/>
          <w:caps/>
        </w:rPr>
        <w:t xml:space="preserve">) </w:t>
      </w:r>
    </w:p>
    <w:p w14:paraId="2C647DF3" w14:textId="57BB070E" w:rsidR="00F07BEC" w:rsidRDefault="00D149EA" w:rsidP="004F5264">
      <w:pPr>
        <w:pStyle w:val="Default"/>
        <w:ind w:left="1080"/>
        <w:jc w:val="center"/>
        <w:rPr>
          <w:rFonts w:asciiTheme="minorHAnsi" w:hAnsiTheme="minorHAnsi" w:cstheme="minorHAnsi"/>
          <w:b/>
          <w:caps/>
        </w:rPr>
      </w:pPr>
      <w:r>
        <w:rPr>
          <w:rFonts w:asciiTheme="minorHAnsi" w:hAnsiTheme="minorHAnsi" w:cstheme="minorHAnsi"/>
          <w:b/>
          <w:caps/>
        </w:rPr>
        <w:t>6</w:t>
      </w:r>
      <w:r w:rsidR="00DA5583">
        <w:rPr>
          <w:rFonts w:asciiTheme="minorHAnsi" w:hAnsiTheme="minorHAnsi" w:cstheme="minorHAnsi"/>
          <w:b/>
          <w:caps/>
        </w:rPr>
        <w:t xml:space="preserve">) </w:t>
      </w:r>
      <w:r w:rsidR="00DA5583" w:rsidRPr="00DA5583">
        <w:rPr>
          <w:rFonts w:asciiTheme="minorHAnsi" w:hAnsiTheme="minorHAnsi" w:cstheme="minorHAnsi"/>
          <w:b/>
          <w:caps/>
        </w:rPr>
        <w:t>WisdomTree NASDAQ 100 3x Daily Short</w:t>
      </w:r>
      <w:r w:rsidR="00DA5583">
        <w:rPr>
          <w:rFonts w:asciiTheme="minorHAnsi" w:hAnsiTheme="minorHAnsi" w:cstheme="minorHAnsi"/>
          <w:b/>
          <w:caps/>
        </w:rPr>
        <w:t xml:space="preserve"> (ISIN: </w:t>
      </w:r>
      <w:r w:rsidRPr="00D149EA">
        <w:rPr>
          <w:rFonts w:asciiTheme="minorHAnsi" w:hAnsiTheme="minorHAnsi" w:cstheme="minorHAnsi"/>
          <w:b/>
          <w:caps/>
        </w:rPr>
        <w:t>IE00BLRPRJ20</w:t>
      </w:r>
      <w:r>
        <w:rPr>
          <w:rFonts w:asciiTheme="minorHAnsi" w:hAnsiTheme="minorHAnsi" w:cstheme="minorHAnsi"/>
          <w:b/>
          <w:caps/>
        </w:rPr>
        <w:t>)</w:t>
      </w:r>
    </w:p>
    <w:p w14:paraId="497D507F" w14:textId="4F31D959" w:rsidR="00D149EA" w:rsidRDefault="00D149EA" w:rsidP="004F5264">
      <w:pPr>
        <w:pStyle w:val="Default"/>
        <w:ind w:left="1080"/>
        <w:jc w:val="center"/>
        <w:rPr>
          <w:rFonts w:asciiTheme="minorHAnsi" w:hAnsiTheme="minorHAnsi" w:cstheme="minorHAnsi"/>
          <w:b/>
          <w:caps/>
        </w:rPr>
      </w:pPr>
      <w:r>
        <w:rPr>
          <w:rFonts w:asciiTheme="minorHAnsi" w:hAnsiTheme="minorHAnsi" w:cstheme="minorHAnsi"/>
          <w:b/>
          <w:caps/>
        </w:rPr>
        <w:t xml:space="preserve">7) </w:t>
      </w:r>
      <w:r w:rsidR="004203F5" w:rsidRPr="004203F5">
        <w:rPr>
          <w:rFonts w:asciiTheme="minorHAnsi" w:hAnsiTheme="minorHAnsi" w:cstheme="minorHAnsi"/>
          <w:b/>
          <w:caps/>
        </w:rPr>
        <w:t>WisdomTree Magnificent 7 3x Daily Short</w:t>
      </w:r>
      <w:r w:rsidR="004203F5">
        <w:rPr>
          <w:rFonts w:asciiTheme="minorHAnsi" w:hAnsiTheme="minorHAnsi" w:cstheme="minorHAnsi"/>
          <w:b/>
          <w:caps/>
        </w:rPr>
        <w:t xml:space="preserve"> (ISIN: </w:t>
      </w:r>
      <w:r w:rsidR="00881A3C" w:rsidRPr="00881A3C">
        <w:rPr>
          <w:rFonts w:asciiTheme="minorHAnsi" w:hAnsiTheme="minorHAnsi" w:cstheme="minorHAnsi"/>
          <w:b/>
          <w:caps/>
        </w:rPr>
        <w:t>XS3091657307</w:t>
      </w:r>
      <w:r w:rsidR="00881A3C">
        <w:rPr>
          <w:rFonts w:asciiTheme="minorHAnsi" w:hAnsiTheme="minorHAnsi" w:cstheme="minorHAnsi"/>
          <w:b/>
          <w:caps/>
        </w:rPr>
        <w:t xml:space="preserve">) </w:t>
      </w:r>
    </w:p>
    <w:p w14:paraId="72C38786" w14:textId="472D3D8F" w:rsidR="00881A3C" w:rsidRDefault="00881A3C" w:rsidP="004F5264">
      <w:pPr>
        <w:pStyle w:val="Default"/>
        <w:ind w:left="1080"/>
        <w:jc w:val="center"/>
        <w:rPr>
          <w:rFonts w:asciiTheme="minorHAnsi" w:hAnsiTheme="minorHAnsi" w:cstheme="minorHAnsi"/>
          <w:b/>
          <w:caps/>
        </w:rPr>
      </w:pPr>
      <w:r>
        <w:rPr>
          <w:rFonts w:asciiTheme="minorHAnsi" w:hAnsiTheme="minorHAnsi" w:cstheme="minorHAnsi"/>
          <w:b/>
          <w:caps/>
        </w:rPr>
        <w:t xml:space="preserve">8) </w:t>
      </w:r>
      <w:r w:rsidR="004B4DF4" w:rsidRPr="004B4DF4">
        <w:rPr>
          <w:rFonts w:asciiTheme="minorHAnsi" w:hAnsiTheme="minorHAnsi" w:cstheme="minorHAnsi"/>
          <w:b/>
          <w:caps/>
        </w:rPr>
        <w:t>WisdomTree PHLX Semiconductor 3x Daily Short</w:t>
      </w:r>
      <w:r w:rsidR="004B4DF4">
        <w:rPr>
          <w:rFonts w:asciiTheme="minorHAnsi" w:hAnsiTheme="minorHAnsi" w:cstheme="minorHAnsi"/>
          <w:b/>
          <w:caps/>
        </w:rPr>
        <w:t xml:space="preserve"> (ISIN: </w:t>
      </w:r>
      <w:r w:rsidR="00560D27" w:rsidRPr="00560D27">
        <w:rPr>
          <w:rFonts w:asciiTheme="minorHAnsi" w:hAnsiTheme="minorHAnsi" w:cstheme="minorHAnsi"/>
          <w:b/>
          <w:caps/>
        </w:rPr>
        <w:t>XS3091646797</w:t>
      </w:r>
      <w:r w:rsidR="00560D27">
        <w:rPr>
          <w:rFonts w:asciiTheme="minorHAnsi" w:hAnsiTheme="minorHAnsi" w:cstheme="minorHAnsi"/>
          <w:b/>
          <w:caps/>
        </w:rPr>
        <w:t>)</w:t>
      </w:r>
    </w:p>
    <w:p w14:paraId="7708EAAA" w14:textId="77777777" w:rsidR="009D5B77" w:rsidRDefault="00636A38" w:rsidP="00560D27">
      <w:pPr>
        <w:pStyle w:val="Default"/>
        <w:ind w:left="1080"/>
        <w:jc w:val="center"/>
        <w:rPr>
          <w:rFonts w:asciiTheme="minorHAnsi" w:hAnsiTheme="minorHAnsi" w:cstheme="minorHAnsi"/>
          <w:b/>
          <w:caps/>
        </w:rPr>
      </w:pPr>
      <w:r>
        <w:rPr>
          <w:rFonts w:asciiTheme="minorHAnsi" w:hAnsiTheme="minorHAnsi" w:cstheme="minorHAnsi"/>
          <w:b/>
          <w:caps/>
        </w:rPr>
        <w:t xml:space="preserve">(THE </w:t>
      </w:r>
      <w:r w:rsidR="004318AC">
        <w:rPr>
          <w:rFonts w:asciiTheme="minorHAnsi" w:hAnsiTheme="minorHAnsi" w:cstheme="minorHAnsi"/>
          <w:b/>
          <w:caps/>
        </w:rPr>
        <w:t>“sbr AFFECTED SECURITIES”</w:t>
      </w:r>
      <w:r w:rsidR="009D5B77">
        <w:rPr>
          <w:rFonts w:asciiTheme="minorHAnsi" w:hAnsiTheme="minorHAnsi" w:cstheme="minorHAnsi"/>
          <w:b/>
          <w:caps/>
        </w:rPr>
        <w:t>)</w:t>
      </w:r>
    </w:p>
    <w:p w14:paraId="2BA8BC50" w14:textId="2AA55A60" w:rsidR="009D5B77" w:rsidRDefault="009D5B77" w:rsidP="00560D27">
      <w:pPr>
        <w:pStyle w:val="Default"/>
        <w:ind w:left="1080"/>
        <w:jc w:val="center"/>
        <w:rPr>
          <w:rFonts w:asciiTheme="minorHAnsi" w:hAnsiTheme="minorHAnsi" w:cstheme="minorHAnsi"/>
          <w:b/>
          <w:caps/>
        </w:rPr>
      </w:pPr>
      <w:r>
        <w:rPr>
          <w:rFonts w:asciiTheme="minorHAnsi" w:hAnsiTheme="minorHAnsi" w:cstheme="minorHAnsi"/>
          <w:b/>
          <w:caps/>
        </w:rPr>
        <w:t xml:space="preserve">9) </w:t>
      </w:r>
      <w:r w:rsidR="00CF7B9F" w:rsidRPr="00CF7B9F">
        <w:rPr>
          <w:rFonts w:asciiTheme="minorHAnsi" w:hAnsiTheme="minorHAnsi" w:cstheme="minorHAnsi"/>
          <w:b/>
          <w:caps/>
        </w:rPr>
        <w:t>WisdomTree Copper IE (ISIN: XS2602441086)</w:t>
      </w:r>
    </w:p>
    <w:p w14:paraId="710CE268" w14:textId="18039258" w:rsidR="002D3157" w:rsidRPr="00202DC6" w:rsidRDefault="00C10D40" w:rsidP="00560D27">
      <w:pPr>
        <w:pStyle w:val="Default"/>
        <w:ind w:left="1080"/>
        <w:jc w:val="center"/>
        <w:rPr>
          <w:rFonts w:asciiTheme="minorHAnsi" w:hAnsiTheme="minorHAnsi" w:cstheme="minorHAnsi"/>
          <w:b/>
          <w:caps/>
          <w:color w:val="auto"/>
        </w:rPr>
      </w:pPr>
      <w:r>
        <w:rPr>
          <w:rFonts w:asciiTheme="minorHAnsi" w:hAnsiTheme="minorHAnsi" w:cstheme="minorHAnsi"/>
          <w:b/>
          <w:caps/>
        </w:rPr>
        <w:t>(The “STH affected securities</w:t>
      </w:r>
      <w:proofErr w:type="gramStart"/>
      <w:r>
        <w:rPr>
          <w:rFonts w:asciiTheme="minorHAnsi" w:hAnsiTheme="minorHAnsi" w:cstheme="minorHAnsi"/>
          <w:b/>
          <w:caps/>
        </w:rPr>
        <w:t>”,</w:t>
      </w:r>
      <w:r w:rsidR="004318AC">
        <w:rPr>
          <w:rFonts w:asciiTheme="minorHAnsi" w:hAnsiTheme="minorHAnsi" w:cstheme="minorHAnsi"/>
          <w:b/>
          <w:caps/>
        </w:rPr>
        <w:t>TOGETHER</w:t>
      </w:r>
      <w:proofErr w:type="gramEnd"/>
      <w:r w:rsidR="004318AC">
        <w:rPr>
          <w:rFonts w:asciiTheme="minorHAnsi" w:hAnsiTheme="minorHAnsi" w:cstheme="minorHAnsi"/>
          <w:b/>
          <w:caps/>
        </w:rPr>
        <w:t xml:space="preserve"> WITH THE FS AFFECTED SECURITIES,</w:t>
      </w:r>
      <w:r w:rsidR="00165B90">
        <w:rPr>
          <w:rFonts w:asciiTheme="minorHAnsi" w:hAnsiTheme="minorHAnsi" w:cstheme="minorHAnsi"/>
          <w:b/>
          <w:caps/>
        </w:rPr>
        <w:t xml:space="preserve"> the sbr affected securities,</w:t>
      </w:r>
      <w:r w:rsidR="004318AC">
        <w:rPr>
          <w:rFonts w:asciiTheme="minorHAnsi" w:hAnsiTheme="minorHAnsi" w:cstheme="minorHAnsi"/>
          <w:b/>
          <w:caps/>
        </w:rPr>
        <w:t xml:space="preserve"> </w:t>
      </w:r>
      <w:r w:rsidR="00931BC8" w:rsidRPr="00202DC6">
        <w:rPr>
          <w:rFonts w:asciiTheme="minorHAnsi" w:hAnsiTheme="minorHAnsi" w:cstheme="minorHAnsi"/>
          <w:b/>
          <w:caps/>
          <w:color w:val="auto"/>
        </w:rPr>
        <w:t>the</w:t>
      </w:r>
      <w:r w:rsidR="002D3157" w:rsidRPr="00202DC6">
        <w:rPr>
          <w:rFonts w:asciiTheme="minorHAnsi" w:hAnsiTheme="minorHAnsi" w:cstheme="minorHAnsi"/>
          <w:b/>
          <w:caps/>
          <w:color w:val="auto"/>
        </w:rPr>
        <w:t xml:space="preserve"> “</w:t>
      </w:r>
      <w:r w:rsidR="002D3157" w:rsidRPr="00560D27">
        <w:rPr>
          <w:rFonts w:asciiTheme="minorHAnsi" w:hAnsiTheme="minorHAnsi" w:cstheme="minorHAnsi"/>
          <w:b/>
          <w:caps/>
        </w:rPr>
        <w:t>Affected</w:t>
      </w:r>
      <w:r w:rsidR="002D3157" w:rsidRPr="00202DC6">
        <w:rPr>
          <w:rFonts w:asciiTheme="minorHAnsi" w:hAnsiTheme="minorHAnsi" w:cstheme="minorHAnsi"/>
          <w:b/>
          <w:caps/>
          <w:color w:val="auto"/>
        </w:rPr>
        <w:t xml:space="preserve"> Securities”)</w:t>
      </w:r>
    </w:p>
    <w:p w14:paraId="45C655CB" w14:textId="77777777" w:rsidR="00AD0EFA" w:rsidRPr="00202DC6" w:rsidRDefault="00AD0EFA" w:rsidP="00AD0EFA">
      <w:pPr>
        <w:pStyle w:val="Default"/>
        <w:jc w:val="center"/>
        <w:rPr>
          <w:rFonts w:asciiTheme="minorHAnsi" w:hAnsiTheme="minorHAnsi" w:cstheme="minorBidi"/>
          <w:b/>
          <w:caps/>
          <w:color w:val="auto"/>
          <w:sz w:val="22"/>
          <w:szCs w:val="22"/>
        </w:rPr>
      </w:pPr>
    </w:p>
    <w:p w14:paraId="3D61230A" w14:textId="0D4908F2" w:rsidR="009F5632" w:rsidRPr="00202DC6" w:rsidRDefault="006754F8" w:rsidP="00AD0EFA">
      <w:pPr>
        <w:pStyle w:val="Default"/>
        <w:jc w:val="center"/>
        <w:rPr>
          <w:rFonts w:asciiTheme="minorHAnsi" w:hAnsiTheme="minorHAnsi" w:cstheme="minorBidi"/>
          <w:b/>
          <w:color w:val="auto"/>
          <w:sz w:val="22"/>
          <w:szCs w:val="22"/>
        </w:rPr>
      </w:pPr>
      <w:r w:rsidRPr="00202DC6">
        <w:rPr>
          <w:rFonts w:asciiTheme="minorHAnsi" w:hAnsiTheme="minorHAnsi" w:cstheme="minorBidi"/>
          <w:b/>
          <w:color w:val="auto"/>
          <w:sz w:val="22"/>
          <w:szCs w:val="22"/>
        </w:rPr>
        <w:t xml:space="preserve">NOTIFICATION OF CHANGE </w:t>
      </w:r>
      <w:r w:rsidR="003E412E">
        <w:rPr>
          <w:rFonts w:asciiTheme="minorHAnsi" w:hAnsiTheme="minorHAnsi" w:cstheme="minorBidi"/>
          <w:b/>
          <w:color w:val="auto"/>
          <w:sz w:val="22"/>
          <w:szCs w:val="22"/>
        </w:rPr>
        <w:t>OF</w:t>
      </w:r>
      <w:r w:rsidR="00F94BBD" w:rsidRPr="00202DC6">
        <w:rPr>
          <w:rFonts w:asciiTheme="minorHAnsi" w:hAnsiTheme="minorHAnsi" w:cstheme="minorBidi"/>
          <w:b/>
          <w:color w:val="auto"/>
          <w:sz w:val="22"/>
          <w:szCs w:val="22"/>
        </w:rPr>
        <w:t xml:space="preserve"> </w:t>
      </w:r>
      <w:r w:rsidR="004956FF">
        <w:rPr>
          <w:rFonts w:asciiTheme="minorHAnsi" w:hAnsiTheme="minorHAnsi" w:cstheme="minorBidi"/>
          <w:b/>
          <w:color w:val="auto"/>
          <w:sz w:val="22"/>
          <w:szCs w:val="22"/>
        </w:rPr>
        <w:t xml:space="preserve">THE </w:t>
      </w:r>
      <w:r w:rsidR="00165B90">
        <w:rPr>
          <w:rFonts w:asciiTheme="minorHAnsi" w:hAnsiTheme="minorHAnsi" w:cstheme="minorBidi"/>
          <w:b/>
          <w:color w:val="auto"/>
          <w:sz w:val="22"/>
          <w:szCs w:val="22"/>
        </w:rPr>
        <w:t>STOCK BORROW RATE,</w:t>
      </w:r>
      <w:r w:rsidR="004956FF">
        <w:rPr>
          <w:rFonts w:asciiTheme="minorHAnsi" w:hAnsiTheme="minorHAnsi" w:cstheme="minorBidi"/>
          <w:b/>
          <w:color w:val="auto"/>
          <w:sz w:val="22"/>
          <w:szCs w:val="22"/>
        </w:rPr>
        <w:t xml:space="preserve"> FUNDING SPREAD</w:t>
      </w:r>
      <w:r w:rsidR="00165B90">
        <w:rPr>
          <w:rFonts w:asciiTheme="minorHAnsi" w:hAnsiTheme="minorHAnsi" w:cstheme="minorBidi"/>
          <w:b/>
          <w:color w:val="auto"/>
          <w:sz w:val="22"/>
          <w:szCs w:val="22"/>
        </w:rPr>
        <w:t xml:space="preserve"> AND </w:t>
      </w:r>
      <w:r w:rsidR="004B4122">
        <w:rPr>
          <w:rFonts w:asciiTheme="minorHAnsi" w:hAnsiTheme="minorHAnsi" w:cstheme="minorBidi"/>
          <w:b/>
          <w:color w:val="auto"/>
          <w:sz w:val="22"/>
          <w:szCs w:val="22"/>
        </w:rPr>
        <w:t>STANDARD TRADING HOURS</w:t>
      </w:r>
      <w:r w:rsidR="00E85FB4">
        <w:rPr>
          <w:rFonts w:asciiTheme="minorHAnsi" w:hAnsiTheme="minorHAnsi" w:cstheme="minorBidi"/>
          <w:b/>
          <w:color w:val="auto"/>
          <w:sz w:val="22"/>
          <w:szCs w:val="22"/>
        </w:rPr>
        <w:t xml:space="preserve"> </w:t>
      </w:r>
      <w:r w:rsidR="009F5632" w:rsidRPr="00202DC6">
        <w:rPr>
          <w:rFonts w:asciiTheme="minorHAnsi" w:hAnsiTheme="minorHAnsi" w:cstheme="minorBidi"/>
          <w:b/>
          <w:color w:val="auto"/>
          <w:sz w:val="22"/>
          <w:szCs w:val="22"/>
        </w:rPr>
        <w:t xml:space="preserve">OF THE AFFECTED SECURITIES </w:t>
      </w:r>
    </w:p>
    <w:p w14:paraId="3BD9A83C" w14:textId="58F435E0" w:rsidR="007F78DC" w:rsidRDefault="007F78DC" w:rsidP="00431F75">
      <w:pPr>
        <w:autoSpaceDE w:val="0"/>
        <w:autoSpaceDN w:val="0"/>
        <w:adjustRightInd w:val="0"/>
        <w:spacing w:before="240" w:after="0" w:line="240" w:lineRule="auto"/>
        <w:jc w:val="both"/>
      </w:pPr>
      <w:r w:rsidRPr="00202DC6">
        <w:t xml:space="preserve">Terms not defined in this notice shall have the meaning ascribed to them in the </w:t>
      </w:r>
      <w:r w:rsidR="000C338B" w:rsidRPr="00202DC6">
        <w:t xml:space="preserve">Issuer’s Base Prospectus dated </w:t>
      </w:r>
      <w:r w:rsidR="00B543DF">
        <w:t>2</w:t>
      </w:r>
      <w:r w:rsidR="00D526FC">
        <w:t>5 September</w:t>
      </w:r>
      <w:r w:rsidR="00335099">
        <w:t xml:space="preserve"> 202</w:t>
      </w:r>
      <w:r w:rsidR="00B543DF">
        <w:t>5</w:t>
      </w:r>
      <w:r w:rsidR="000B597A" w:rsidRPr="00202DC6">
        <w:t xml:space="preserve">. </w:t>
      </w:r>
    </w:p>
    <w:p w14:paraId="5279D2CA" w14:textId="77777777" w:rsidR="00F43C16" w:rsidRDefault="00DE2F19" w:rsidP="00DE2F19">
      <w:pPr>
        <w:autoSpaceDE w:val="0"/>
        <w:autoSpaceDN w:val="0"/>
        <w:adjustRightInd w:val="0"/>
        <w:spacing w:before="240" w:after="0" w:line="240" w:lineRule="auto"/>
        <w:jc w:val="both"/>
      </w:pPr>
      <w:r>
        <w:t>BNP Paribas acts as Swap Provider for the Affected Securities</w:t>
      </w:r>
      <w:r w:rsidR="00F43C16">
        <w:t>.</w:t>
      </w:r>
    </w:p>
    <w:p w14:paraId="20390F53" w14:textId="596C5711" w:rsidR="006B1AD8" w:rsidRDefault="002E6F2D" w:rsidP="00D25389">
      <w:pPr>
        <w:autoSpaceDE w:val="0"/>
        <w:autoSpaceDN w:val="0"/>
        <w:adjustRightInd w:val="0"/>
        <w:spacing w:before="240" w:after="0" w:line="240" w:lineRule="auto"/>
        <w:jc w:val="both"/>
      </w:pPr>
      <w:r>
        <w:t>A</w:t>
      </w:r>
      <w:r w:rsidRPr="00202DC6">
        <w:t>s permitted under paragraph 2.2(iii) of Annex A of the Conditions of the Affected Securities</w:t>
      </w:r>
      <w:r>
        <w:t>, t</w:t>
      </w:r>
      <w:r w:rsidRPr="00202DC6">
        <w:t xml:space="preserve">he Swap Provider </w:t>
      </w:r>
      <w:r>
        <w:t xml:space="preserve">has </w:t>
      </w:r>
      <w:r w:rsidRPr="00202DC6">
        <w:t>notified the Issuer of its intention to</w:t>
      </w:r>
      <w:r w:rsidR="006E3A59">
        <w:t xml:space="preserve"> amend</w:t>
      </w:r>
      <w:r w:rsidRPr="00202DC6">
        <w:t xml:space="preserve"> </w:t>
      </w:r>
      <w:proofErr w:type="spellStart"/>
      <w:r w:rsidR="006E3A59">
        <w:t>i</w:t>
      </w:r>
      <w:proofErr w:type="spellEnd"/>
      <w:r w:rsidR="006E3A59">
        <w:t xml:space="preserve">) </w:t>
      </w:r>
      <w:r w:rsidRPr="00202DC6">
        <w:t>the Funding Spread</w:t>
      </w:r>
      <w:r w:rsidR="00094A1A">
        <w:t xml:space="preserve"> in respect of the </w:t>
      </w:r>
      <w:r w:rsidR="006E3A59">
        <w:t xml:space="preserve">FS Affected Securities and ii) </w:t>
      </w:r>
      <w:r w:rsidR="00D25389">
        <w:t>Stock Borrow rate in respect of the SBR Affected Securities (the “</w:t>
      </w:r>
      <w:r w:rsidR="00D25389" w:rsidRPr="00D25389">
        <w:rPr>
          <w:b/>
          <w:bCs/>
        </w:rPr>
        <w:t>Rate Changes</w:t>
      </w:r>
      <w:r w:rsidR="00D25389">
        <w:t xml:space="preserve">”).  </w:t>
      </w:r>
      <w:r w:rsidR="008642B0">
        <w:t xml:space="preserve"> </w:t>
      </w:r>
      <w:r w:rsidR="00D47046">
        <w:t xml:space="preserve"> </w:t>
      </w:r>
      <w:r w:rsidR="006B1AD8">
        <w:t xml:space="preserve"> </w:t>
      </w:r>
    </w:p>
    <w:p w14:paraId="683B7B6A" w14:textId="1C9F2572" w:rsidR="002E6F2D" w:rsidRDefault="00D25389" w:rsidP="00DE2F19">
      <w:pPr>
        <w:autoSpaceDE w:val="0"/>
        <w:autoSpaceDN w:val="0"/>
        <w:adjustRightInd w:val="0"/>
        <w:spacing w:before="240" w:after="0" w:line="240" w:lineRule="auto"/>
        <w:jc w:val="both"/>
      </w:pPr>
      <w:r>
        <w:t xml:space="preserve">The Rate Changes are detailed at Annex 1 hereto. </w:t>
      </w:r>
    </w:p>
    <w:p w14:paraId="2C57539F" w14:textId="469229AE" w:rsidR="00657040" w:rsidRPr="00202DC6" w:rsidRDefault="007E2EE7" w:rsidP="00431F75">
      <w:pPr>
        <w:autoSpaceDE w:val="0"/>
        <w:autoSpaceDN w:val="0"/>
        <w:adjustRightInd w:val="0"/>
        <w:spacing w:before="240" w:after="0" w:line="240" w:lineRule="auto"/>
        <w:jc w:val="both"/>
      </w:pPr>
      <w:r w:rsidRPr="00202DC6">
        <w:t>T</w:t>
      </w:r>
      <w:r w:rsidR="00ED4A03" w:rsidRPr="00202DC6">
        <w:t>he Trustee</w:t>
      </w:r>
      <w:r w:rsidR="003B21EB" w:rsidRPr="00202DC6">
        <w:t>, the Manager</w:t>
      </w:r>
      <w:r w:rsidR="00ED4A03" w:rsidRPr="00202DC6">
        <w:t xml:space="preserve"> and the Issuer </w:t>
      </w:r>
      <w:r w:rsidR="003B21EB" w:rsidRPr="00202DC6">
        <w:t>have</w:t>
      </w:r>
      <w:r w:rsidR="00ED4A03" w:rsidRPr="00202DC6">
        <w:t xml:space="preserve"> </w:t>
      </w:r>
      <w:proofErr w:type="gramStart"/>
      <w:r w:rsidR="003B21EB" w:rsidRPr="00202DC6">
        <w:t>entered into</w:t>
      </w:r>
      <w:proofErr w:type="gramEnd"/>
      <w:r w:rsidR="00506E1C" w:rsidRPr="00202DC6">
        <w:t xml:space="preserve"> an amendment to the</w:t>
      </w:r>
      <w:r w:rsidR="003B21EB" w:rsidRPr="00202DC6">
        <w:t xml:space="preserve"> supplemental trust deed for</w:t>
      </w:r>
      <w:r w:rsidR="00565800">
        <w:t xml:space="preserve"> each class of</w:t>
      </w:r>
      <w:r w:rsidR="00223E4D" w:rsidRPr="00202DC6">
        <w:t xml:space="preserve"> Affected Securities </w:t>
      </w:r>
      <w:r w:rsidRPr="00202DC6">
        <w:t xml:space="preserve">to </w:t>
      </w:r>
      <w:proofErr w:type="gramStart"/>
      <w:r w:rsidRPr="00202DC6">
        <w:t>effect</w:t>
      </w:r>
      <w:proofErr w:type="gramEnd"/>
      <w:r w:rsidRPr="00202DC6">
        <w:t xml:space="preserve"> </w:t>
      </w:r>
      <w:r w:rsidR="00802645">
        <w:t xml:space="preserve">the </w:t>
      </w:r>
      <w:r w:rsidR="00CB27C1">
        <w:t>Rate Changes</w:t>
      </w:r>
      <w:r w:rsidR="00E81DE3">
        <w:t xml:space="preserve"> </w:t>
      </w:r>
      <w:r w:rsidR="005270CE" w:rsidRPr="00202DC6">
        <w:t>(the “</w:t>
      </w:r>
      <w:r w:rsidR="005270CE" w:rsidRPr="00202DC6">
        <w:rPr>
          <w:b/>
          <w:bCs/>
        </w:rPr>
        <w:t>Affected Securities Amendment</w:t>
      </w:r>
      <w:r w:rsidR="00565800">
        <w:rPr>
          <w:b/>
          <w:bCs/>
        </w:rPr>
        <w:t>s</w:t>
      </w:r>
      <w:r w:rsidR="005270CE" w:rsidRPr="00202DC6">
        <w:t>”).  The effective date of the Affected Securities Amendment</w:t>
      </w:r>
      <w:r w:rsidR="00565800">
        <w:t>s</w:t>
      </w:r>
      <w:r w:rsidR="005270CE" w:rsidRPr="00202DC6">
        <w:t xml:space="preserve"> shall be</w:t>
      </w:r>
      <w:r w:rsidR="00616F65" w:rsidRPr="00202DC6">
        <w:t xml:space="preserve"> </w:t>
      </w:r>
      <w:r w:rsidR="009E56DF">
        <w:t>1 April 2026</w:t>
      </w:r>
      <w:r w:rsidR="005270CE" w:rsidRPr="00202DC6">
        <w:t xml:space="preserve">. </w:t>
      </w:r>
    </w:p>
    <w:p w14:paraId="4675D301" w14:textId="39C96B9D" w:rsidR="00CB27C1" w:rsidRDefault="00A1581E" w:rsidP="00F94BBD">
      <w:pPr>
        <w:autoSpaceDE w:val="0"/>
        <w:autoSpaceDN w:val="0"/>
        <w:adjustRightInd w:val="0"/>
        <w:spacing w:before="240" w:after="0" w:line="240" w:lineRule="auto"/>
        <w:jc w:val="both"/>
      </w:pPr>
      <w:r w:rsidRPr="00202DC6">
        <w:t xml:space="preserve">For further information, please </w:t>
      </w:r>
      <w:r w:rsidR="00E937D0" w:rsidRPr="00202DC6">
        <w:t xml:space="preserve">contact: </w:t>
      </w:r>
      <w:hyperlink r:id="rId30" w:history="1">
        <w:r w:rsidR="00E937D0" w:rsidRPr="00202DC6">
          <w:rPr>
            <w:rStyle w:val="Hyperlink"/>
          </w:rPr>
          <w:t>europesupport@wisdomtree.com</w:t>
        </w:r>
      </w:hyperlink>
      <w:r w:rsidR="00E937D0" w:rsidRPr="00202DC6">
        <w:t xml:space="preserve"> </w:t>
      </w:r>
    </w:p>
    <w:p w14:paraId="7F32433E" w14:textId="77777777" w:rsidR="00CB27C1" w:rsidRDefault="00CB27C1">
      <w:r>
        <w:br w:type="page"/>
      </w:r>
    </w:p>
    <w:p w14:paraId="14ED333B" w14:textId="77777777" w:rsidR="00CB27C1" w:rsidRDefault="00CB27C1" w:rsidP="00F94BBD">
      <w:pPr>
        <w:autoSpaceDE w:val="0"/>
        <w:autoSpaceDN w:val="0"/>
        <w:adjustRightInd w:val="0"/>
        <w:spacing w:before="240" w:after="0" w:line="240" w:lineRule="auto"/>
        <w:jc w:val="both"/>
        <w:sectPr w:rsidR="00CB27C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C906041" w14:textId="61466EBC" w:rsidR="00394407" w:rsidRDefault="00CB27C1" w:rsidP="00CB27C1">
      <w:pPr>
        <w:autoSpaceDE w:val="0"/>
        <w:autoSpaceDN w:val="0"/>
        <w:adjustRightInd w:val="0"/>
        <w:spacing w:before="240"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Annex 1</w:t>
      </w:r>
    </w:p>
    <w:p w14:paraId="44E4CF1C" w14:textId="7203B332" w:rsidR="00755F77" w:rsidRDefault="00CB27C1" w:rsidP="001F2CAD">
      <w:pPr>
        <w:autoSpaceDE w:val="0"/>
        <w:autoSpaceDN w:val="0"/>
        <w:adjustRightInd w:val="0"/>
        <w:spacing w:before="240"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The Rate Changes</w:t>
      </w:r>
    </w:p>
    <w:p w14:paraId="2928CA2A" w14:textId="2370888E" w:rsidR="001F2CAD" w:rsidRDefault="001F2CAD" w:rsidP="001F2CAD">
      <w:pPr>
        <w:autoSpaceDE w:val="0"/>
        <w:autoSpaceDN w:val="0"/>
        <w:adjustRightInd w:val="0"/>
        <w:spacing w:before="240"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FS Affected Securities </w:t>
      </w:r>
    </w:p>
    <w:p w14:paraId="284EFDA1" w14:textId="77777777" w:rsidR="001F2CAD" w:rsidRDefault="001F2CAD" w:rsidP="00CB27C1">
      <w:pPr>
        <w:autoSpaceDE w:val="0"/>
        <w:autoSpaceDN w:val="0"/>
        <w:adjustRightInd w:val="0"/>
        <w:spacing w:before="240" w:after="0" w:line="240" w:lineRule="auto"/>
        <w:jc w:val="center"/>
        <w:rPr>
          <w:b/>
          <w:bCs/>
          <w:u w:val="single"/>
        </w:rPr>
      </w:pPr>
    </w:p>
    <w:tbl>
      <w:tblPr>
        <w:tblW w:w="9917" w:type="dxa"/>
        <w:tblLayout w:type="fixed"/>
        <w:tblLook w:val="04A0" w:firstRow="1" w:lastRow="0" w:firstColumn="1" w:lastColumn="0" w:noHBand="0" w:noVBand="1"/>
      </w:tblPr>
      <w:tblGrid>
        <w:gridCol w:w="438"/>
        <w:gridCol w:w="1365"/>
        <w:gridCol w:w="2753"/>
        <w:gridCol w:w="1818"/>
        <w:gridCol w:w="1559"/>
        <w:gridCol w:w="1984"/>
      </w:tblGrid>
      <w:tr w:rsidR="00755F77" w:rsidRPr="00F874D7" w14:paraId="3AFB10D6" w14:textId="77777777" w:rsidTr="001F2CAD">
        <w:trPr>
          <w:trHeight w:val="1192"/>
          <w:tblHeader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647873" w14:textId="77777777" w:rsidR="00755F77" w:rsidRPr="009F5A13" w:rsidRDefault="00755F77" w:rsidP="00D43701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46D8C7F" w14:textId="77777777" w:rsidR="00755F77" w:rsidRPr="00F874D7" w:rsidRDefault="00755F77" w:rsidP="00D43701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9F5A13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(A) </w:t>
            </w:r>
            <w:r w:rsidRPr="00F874D7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Primary Ticker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9B3D13C" w14:textId="77777777" w:rsidR="00755F77" w:rsidRPr="00F874D7" w:rsidRDefault="00755F77" w:rsidP="00D43701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9F5A13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(B) Name of Impacted Security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26EB041" w14:textId="77777777" w:rsidR="00755F77" w:rsidRPr="00F874D7" w:rsidRDefault="00755F77" w:rsidP="00D43701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9F5A13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(C) </w:t>
            </w:r>
            <w:r w:rsidRPr="00F874D7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ISIN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13A33B5" w14:textId="77777777" w:rsidR="00755F77" w:rsidRDefault="00755F77" w:rsidP="00D43701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9F5A13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(F) </w:t>
            </w:r>
            <w:r w:rsidRPr="00F874D7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Current </w:t>
            </w:r>
          </w:p>
          <w:p w14:paraId="20DE7847" w14:textId="77777777" w:rsidR="00755F77" w:rsidRDefault="00755F77" w:rsidP="00D43701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Funding </w:t>
            </w:r>
          </w:p>
          <w:p w14:paraId="11B90740" w14:textId="77777777" w:rsidR="00755F77" w:rsidRPr="00F874D7" w:rsidRDefault="00755F77" w:rsidP="00D43701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Spread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257D25C" w14:textId="77777777" w:rsidR="00755F77" w:rsidRDefault="00755F77" w:rsidP="00D43701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9F5A13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(G) </w:t>
            </w:r>
            <w:r w:rsidRPr="00F874D7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New </w:t>
            </w:r>
          </w:p>
          <w:p w14:paraId="7E2DB80F" w14:textId="77777777" w:rsidR="00755F77" w:rsidRPr="00F874D7" w:rsidRDefault="00755F77" w:rsidP="00D43701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Funding Spread</w:t>
            </w:r>
          </w:p>
        </w:tc>
      </w:tr>
      <w:tr w:rsidR="009E56DF" w:rsidRPr="00AD77D5" w14:paraId="11D3D3B1" w14:textId="77777777" w:rsidTr="001F2CAD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C1B630" w14:textId="77777777" w:rsidR="009E56DF" w:rsidRPr="00AD77D5" w:rsidRDefault="009E56DF" w:rsidP="009E56DF">
            <w:pP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AD77D5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71E1D" w14:textId="77777777" w:rsidR="009E56DF" w:rsidRPr="00AD77D5" w:rsidRDefault="009E56DF" w:rsidP="009E56DF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CA04EE">
              <w:t>3USL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B0DBB" w14:textId="77777777" w:rsidR="009E56DF" w:rsidRPr="00AD77D5" w:rsidRDefault="009E56DF" w:rsidP="009E56DF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56FEA">
              <w:t>WisdomTree S&amp;P 500 3x Daily Leveraged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ABEE9" w14:textId="77777777" w:rsidR="009E56DF" w:rsidRPr="00AD77D5" w:rsidRDefault="009E56DF" w:rsidP="009E56DF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081F4B">
              <w:t>IE00B7Y34M31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A5EAD" w14:textId="7055D92A" w:rsidR="009E56DF" w:rsidRPr="00AD77D5" w:rsidRDefault="009E56DF" w:rsidP="009E56DF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t>1.29</w:t>
            </w:r>
            <w:r w:rsidRPr="00B67A62"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EE929" w14:textId="2879221C" w:rsidR="009E56DF" w:rsidRPr="00AD77D5" w:rsidRDefault="000479D6" w:rsidP="009E56DF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t>0.864</w:t>
            </w:r>
            <w:r w:rsidR="009E56DF" w:rsidRPr="00B67A62">
              <w:t>%</w:t>
            </w:r>
          </w:p>
        </w:tc>
      </w:tr>
      <w:tr w:rsidR="009E56DF" w:rsidRPr="00AD77D5" w14:paraId="7B9CFD88" w14:textId="77777777" w:rsidTr="001F2CAD">
        <w:trPr>
          <w:trHeight w:val="4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6CE247" w14:textId="77777777" w:rsidR="009E56DF" w:rsidRPr="00AD77D5" w:rsidRDefault="009E56DF" w:rsidP="009E56DF">
            <w:pP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318162" w14:textId="77777777" w:rsidR="009E56DF" w:rsidRDefault="009E56DF" w:rsidP="009E56DF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CA04EE">
              <w:t>QQQ3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D39EE" w14:textId="77777777" w:rsidR="009E56DF" w:rsidRPr="00AD77D5" w:rsidRDefault="009E56DF" w:rsidP="009E56DF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56FEA">
              <w:t>WisdomTree NASDAQ 100 3x Daily Leveraged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45B8A" w14:textId="77777777" w:rsidR="009E56DF" w:rsidRPr="009C4927" w:rsidRDefault="009E56DF" w:rsidP="009E56DF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081F4B">
              <w:t>IE00BLRPRL42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18AEC5" w14:textId="4A1E5DC5" w:rsidR="009E56DF" w:rsidRDefault="009E56DF" w:rsidP="009E56DF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t>1.29</w:t>
            </w:r>
            <w:r w:rsidRPr="00B67A62"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58932" w14:textId="0A0020FE" w:rsidR="009E56DF" w:rsidRDefault="000479D6" w:rsidP="009E56DF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t>0.864</w:t>
            </w:r>
            <w:r w:rsidR="009E56DF" w:rsidRPr="00B67A62">
              <w:t>%</w:t>
            </w:r>
          </w:p>
        </w:tc>
      </w:tr>
      <w:tr w:rsidR="009E56DF" w:rsidRPr="00AD77D5" w14:paraId="4D5CF856" w14:textId="77777777" w:rsidTr="001F2CAD">
        <w:trPr>
          <w:trHeight w:val="4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B7375A" w14:textId="77777777" w:rsidR="009E56DF" w:rsidRPr="00AD77D5" w:rsidRDefault="009E56DF" w:rsidP="009E56DF">
            <w:pP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D355BC" w14:textId="77777777" w:rsidR="009E56DF" w:rsidRDefault="009E56DF" w:rsidP="009E56DF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CA04EE">
              <w:t>3MG7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CBF34" w14:textId="77777777" w:rsidR="009E56DF" w:rsidRPr="00AD77D5" w:rsidRDefault="009E56DF" w:rsidP="009E56DF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56FEA">
              <w:t>WisdomTree Magnificent 7 3x Daily Leveraged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FE050" w14:textId="77777777" w:rsidR="009E56DF" w:rsidRPr="009C4927" w:rsidRDefault="009E56DF" w:rsidP="009E56DF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081F4B">
              <w:t>XS3091654114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5BAF9A" w14:textId="41FE5C42" w:rsidR="009E56DF" w:rsidRDefault="009E56DF" w:rsidP="009E56DF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t>1.29</w:t>
            </w:r>
            <w:r w:rsidRPr="00B67A62"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C5746" w14:textId="56261B5A" w:rsidR="009E56DF" w:rsidRDefault="000479D6" w:rsidP="009E56DF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t>0.864</w:t>
            </w:r>
            <w:r w:rsidR="009E56DF" w:rsidRPr="00B67A62">
              <w:t>%</w:t>
            </w:r>
          </w:p>
        </w:tc>
      </w:tr>
      <w:tr w:rsidR="009E56DF" w:rsidRPr="00AD77D5" w14:paraId="4FDF5E85" w14:textId="77777777" w:rsidTr="001F2CAD">
        <w:trPr>
          <w:trHeight w:val="4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AFE844" w14:textId="77777777" w:rsidR="009E56DF" w:rsidRPr="00AD77D5" w:rsidRDefault="009E56DF" w:rsidP="009E56DF">
            <w:pP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E3732" w14:textId="77777777" w:rsidR="009E56DF" w:rsidRPr="00AD77D5" w:rsidRDefault="009E56DF" w:rsidP="009E56DF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CA04EE">
              <w:t>3SEM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83F5F" w14:textId="77777777" w:rsidR="009E56DF" w:rsidRPr="00AD77D5" w:rsidRDefault="009E56DF" w:rsidP="009E56DF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56FEA">
              <w:t>WisdomTree PHLX Semiconductor 3x Daily Leveraged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417EC" w14:textId="77777777" w:rsidR="009E56DF" w:rsidRPr="00AD77D5" w:rsidRDefault="009E56DF" w:rsidP="009E56DF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081F4B">
              <w:t>XS3091657729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93A6FA" w14:textId="0EF44190" w:rsidR="009E56DF" w:rsidRPr="00AD77D5" w:rsidRDefault="009E56DF" w:rsidP="009E56DF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t>1.29</w:t>
            </w:r>
            <w:r w:rsidRPr="00B67A62"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9A5ED" w14:textId="4B83DA13" w:rsidR="009E56DF" w:rsidRPr="00AD77D5" w:rsidRDefault="000479D6" w:rsidP="009E56DF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t>0.864</w:t>
            </w:r>
            <w:r w:rsidR="009E56DF" w:rsidRPr="00B67A62">
              <w:t>%</w:t>
            </w:r>
          </w:p>
        </w:tc>
      </w:tr>
    </w:tbl>
    <w:p w14:paraId="2C810214" w14:textId="77777777" w:rsidR="007D160D" w:rsidRDefault="007D160D" w:rsidP="00A0244E">
      <w:pPr>
        <w:autoSpaceDE w:val="0"/>
        <w:autoSpaceDN w:val="0"/>
        <w:adjustRightInd w:val="0"/>
        <w:spacing w:before="240" w:after="0" w:line="240" w:lineRule="auto"/>
        <w:rPr>
          <w:b/>
          <w:bCs/>
          <w:u w:val="single"/>
        </w:rPr>
      </w:pPr>
    </w:p>
    <w:p w14:paraId="7596FDF4" w14:textId="77777777" w:rsidR="007D160D" w:rsidRDefault="007D160D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61B2A905" w14:textId="6C398457" w:rsidR="00A0244E" w:rsidRDefault="00A0244E" w:rsidP="00A0244E">
      <w:pPr>
        <w:autoSpaceDE w:val="0"/>
        <w:autoSpaceDN w:val="0"/>
        <w:adjustRightInd w:val="0"/>
        <w:spacing w:before="240"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SBR Affected Securities </w:t>
      </w:r>
    </w:p>
    <w:p w14:paraId="2EBCE27B" w14:textId="77777777" w:rsidR="007D160D" w:rsidRDefault="007D160D" w:rsidP="00A0244E">
      <w:pPr>
        <w:autoSpaceDE w:val="0"/>
        <w:autoSpaceDN w:val="0"/>
        <w:adjustRightInd w:val="0"/>
        <w:spacing w:before="240" w:after="0" w:line="240" w:lineRule="auto"/>
        <w:rPr>
          <w:b/>
          <w:bCs/>
          <w:u w:val="single"/>
        </w:rPr>
      </w:pP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435"/>
        <w:gridCol w:w="1357"/>
        <w:gridCol w:w="2739"/>
        <w:gridCol w:w="2127"/>
        <w:gridCol w:w="1559"/>
        <w:gridCol w:w="1984"/>
      </w:tblGrid>
      <w:tr w:rsidR="007D160D" w:rsidRPr="00F874D7" w14:paraId="0B6B4129" w14:textId="77777777" w:rsidTr="007D160D">
        <w:trPr>
          <w:trHeight w:val="1289"/>
          <w:tblHeader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620B60" w14:textId="77777777" w:rsidR="007D160D" w:rsidRPr="009F5A13" w:rsidRDefault="007D160D" w:rsidP="00D43701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A5B17D2" w14:textId="77777777" w:rsidR="007D160D" w:rsidRPr="00F874D7" w:rsidRDefault="007D160D" w:rsidP="00D43701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9F5A13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(A) </w:t>
            </w:r>
            <w:r w:rsidRPr="00F874D7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Primary Ticker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3ADCB1A" w14:textId="77777777" w:rsidR="007D160D" w:rsidRPr="00F874D7" w:rsidRDefault="007D160D" w:rsidP="00D43701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9F5A13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(B) Name of Impacted Security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D556902" w14:textId="77777777" w:rsidR="007D160D" w:rsidRPr="00F874D7" w:rsidRDefault="007D160D" w:rsidP="00D43701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(C)</w:t>
            </w:r>
            <w:r w:rsidRPr="009F5A13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F874D7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ISIN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D03C171" w14:textId="25498ED4" w:rsidR="007D160D" w:rsidRPr="00F874D7" w:rsidRDefault="007D160D" w:rsidP="00D43701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9F5A13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(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D</w:t>
            </w:r>
            <w:r w:rsidRPr="009F5A13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) </w:t>
            </w:r>
            <w:r w:rsidRPr="00F874D7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Current </w:t>
            </w:r>
            <w:r w:rsidRPr="00E96467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Stock Borrow Rate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420DA80" w14:textId="11095A88" w:rsidR="007D160D" w:rsidRPr="00F874D7" w:rsidRDefault="007D160D" w:rsidP="00D43701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9F5A13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(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E</w:t>
            </w:r>
            <w:r w:rsidRPr="009F5A13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) </w:t>
            </w:r>
            <w:r w:rsidRPr="00F874D7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New </w:t>
            </w:r>
            <w:r w:rsidRPr="00386A89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Stock Borrow Rate</w:t>
            </w:r>
          </w:p>
        </w:tc>
      </w:tr>
      <w:tr w:rsidR="000479D6" w:rsidRPr="00AD77D5" w14:paraId="4D3C286B" w14:textId="77777777" w:rsidTr="007D160D">
        <w:trPr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AF8183" w14:textId="77777777" w:rsidR="000479D6" w:rsidRPr="00AD77D5" w:rsidRDefault="000479D6" w:rsidP="000479D6">
            <w:pP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AD77D5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83A3B" w14:textId="77777777" w:rsidR="000479D6" w:rsidRPr="00AD77D5" w:rsidRDefault="000479D6" w:rsidP="000479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4C25CD">
              <w:t>3USS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ED9C1" w14:textId="77777777" w:rsidR="000479D6" w:rsidRPr="00AD77D5" w:rsidRDefault="000479D6" w:rsidP="000479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E75FAC">
              <w:t>WisdomTree S&amp;P 500 3x Daily Short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E47F4F" w14:textId="77777777" w:rsidR="000479D6" w:rsidRPr="00AD77D5" w:rsidRDefault="000479D6" w:rsidP="000479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A84502">
              <w:t>IE00B8K7KM88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CF478C" w14:textId="1C51DD8D" w:rsidR="000479D6" w:rsidRPr="00AD77D5" w:rsidRDefault="000479D6" w:rsidP="000479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t>0.07</w:t>
            </w:r>
            <w:r w:rsidRPr="00165BFF"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F88CBF" w14:textId="0BAD2B1D" w:rsidR="000479D6" w:rsidRPr="00AD77D5" w:rsidRDefault="003C0A6B" w:rsidP="000479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t>0.496</w:t>
            </w:r>
            <w:r w:rsidR="000479D6" w:rsidRPr="00165BFF">
              <w:t>%</w:t>
            </w:r>
          </w:p>
        </w:tc>
      </w:tr>
      <w:tr w:rsidR="000479D6" w:rsidRPr="00AD77D5" w14:paraId="72BCBDB3" w14:textId="77777777" w:rsidTr="007D160D">
        <w:trPr>
          <w:trHeight w:val="41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E77115" w14:textId="77777777" w:rsidR="000479D6" w:rsidRPr="00AD77D5" w:rsidRDefault="000479D6" w:rsidP="000479D6">
            <w:pP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E9EECC" w14:textId="77777777" w:rsidR="000479D6" w:rsidRDefault="000479D6" w:rsidP="000479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4C25CD">
              <w:t>QQQS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ADC7B" w14:textId="77777777" w:rsidR="000479D6" w:rsidRPr="00AD77D5" w:rsidRDefault="000479D6" w:rsidP="000479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E75FAC">
              <w:t>WisdomTree NASDAQ 100 3x Daily Short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92264" w14:textId="77777777" w:rsidR="000479D6" w:rsidRPr="009C4927" w:rsidRDefault="000479D6" w:rsidP="000479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A84502">
              <w:t>IE00BLRPRJ20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922125" w14:textId="0D5BB68E" w:rsidR="000479D6" w:rsidRDefault="000479D6" w:rsidP="000479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t>0.07</w:t>
            </w:r>
            <w:r w:rsidRPr="00165BFF"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E82CD" w14:textId="12770FD9" w:rsidR="000479D6" w:rsidRDefault="003C0A6B" w:rsidP="000479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t>0.496</w:t>
            </w:r>
            <w:r w:rsidR="000479D6" w:rsidRPr="00165BFF">
              <w:t>%</w:t>
            </w:r>
          </w:p>
        </w:tc>
      </w:tr>
      <w:tr w:rsidR="000479D6" w:rsidRPr="00AD77D5" w14:paraId="1BB643B3" w14:textId="77777777" w:rsidTr="007D160D">
        <w:trPr>
          <w:trHeight w:val="41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C663F4" w14:textId="77777777" w:rsidR="000479D6" w:rsidRPr="00AD77D5" w:rsidRDefault="000479D6" w:rsidP="000479D6">
            <w:pP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F55F15" w14:textId="77777777" w:rsidR="000479D6" w:rsidRDefault="000479D6" w:rsidP="000479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4C25CD">
              <w:t>3M7S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D817F" w14:textId="77777777" w:rsidR="000479D6" w:rsidRPr="00AD77D5" w:rsidRDefault="000479D6" w:rsidP="000479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E75FAC">
              <w:t>WisdomTree Magnificent 7 3x Daily Short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6DA8F2" w14:textId="77777777" w:rsidR="000479D6" w:rsidRPr="009C4927" w:rsidRDefault="000479D6" w:rsidP="000479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A84502">
              <w:t>XS3091657307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EF2ADF" w14:textId="7CA7BC63" w:rsidR="000479D6" w:rsidRDefault="000479D6" w:rsidP="000479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t>0.07</w:t>
            </w:r>
            <w:r w:rsidRPr="00165BFF"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C7878" w14:textId="49F329E2" w:rsidR="000479D6" w:rsidRDefault="003C0A6B" w:rsidP="000479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t>0.496</w:t>
            </w:r>
            <w:r w:rsidR="000479D6" w:rsidRPr="00165BFF">
              <w:t>%</w:t>
            </w:r>
          </w:p>
        </w:tc>
      </w:tr>
      <w:tr w:rsidR="000479D6" w:rsidRPr="00AD77D5" w14:paraId="7FF4C711" w14:textId="77777777" w:rsidTr="007D160D">
        <w:trPr>
          <w:trHeight w:val="41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4FF508" w14:textId="77777777" w:rsidR="000479D6" w:rsidRPr="00AD77D5" w:rsidRDefault="000479D6" w:rsidP="000479D6">
            <w:pP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806EE" w14:textId="77777777" w:rsidR="000479D6" w:rsidRPr="00AD77D5" w:rsidRDefault="000479D6" w:rsidP="000479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4C25CD">
              <w:t>SC3S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E95D4" w14:textId="77777777" w:rsidR="000479D6" w:rsidRPr="00AD77D5" w:rsidRDefault="000479D6" w:rsidP="000479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E75FAC">
              <w:t>WisdomTree PHLX Semiconductor 3x Daily Short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6B6CB" w14:textId="77777777" w:rsidR="000479D6" w:rsidRPr="00AD77D5" w:rsidRDefault="000479D6" w:rsidP="000479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A84502">
              <w:t>XS3091646797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112A58" w14:textId="109AB020" w:rsidR="000479D6" w:rsidRPr="00AD77D5" w:rsidRDefault="000479D6" w:rsidP="000479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t>0.07</w:t>
            </w:r>
            <w:r w:rsidRPr="00165BFF"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241D8" w14:textId="19637A1E" w:rsidR="000479D6" w:rsidRPr="00AD77D5" w:rsidRDefault="003C0A6B" w:rsidP="000479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t>0.496</w:t>
            </w:r>
            <w:r w:rsidR="000479D6" w:rsidRPr="00165BFF">
              <w:t>%</w:t>
            </w:r>
          </w:p>
        </w:tc>
      </w:tr>
    </w:tbl>
    <w:p w14:paraId="5E2C40BA" w14:textId="7DD3F9EF" w:rsidR="00B46E84" w:rsidRDefault="00B46E84" w:rsidP="007D160D">
      <w:pPr>
        <w:autoSpaceDE w:val="0"/>
        <w:autoSpaceDN w:val="0"/>
        <w:adjustRightInd w:val="0"/>
        <w:spacing w:before="240" w:after="0" w:line="240" w:lineRule="auto"/>
        <w:rPr>
          <w:b/>
          <w:bCs/>
          <w:u w:val="single"/>
        </w:rPr>
      </w:pPr>
    </w:p>
    <w:p w14:paraId="664EF32D" w14:textId="254307A6" w:rsidR="00A0244E" w:rsidRPr="00A0244E" w:rsidRDefault="00A0244E" w:rsidP="00B60F23">
      <w:pPr>
        <w:rPr>
          <w:b/>
          <w:bCs/>
          <w:u w:val="single"/>
        </w:rPr>
      </w:pPr>
    </w:p>
    <w:sectPr w:rsidR="00A0244E" w:rsidRPr="00A0244E" w:rsidSect="00803922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27A44"/>
    <w:multiLevelType w:val="hybridMultilevel"/>
    <w:tmpl w:val="17684D78"/>
    <w:lvl w:ilvl="0" w:tplc="B66CDFC4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E48EF"/>
    <w:multiLevelType w:val="hybridMultilevel"/>
    <w:tmpl w:val="ECC036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62BF8"/>
    <w:multiLevelType w:val="hybridMultilevel"/>
    <w:tmpl w:val="4AA2B764"/>
    <w:lvl w:ilvl="0" w:tplc="302C8B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790070"/>
    <w:multiLevelType w:val="hybridMultilevel"/>
    <w:tmpl w:val="D12AB1B0"/>
    <w:lvl w:ilvl="0" w:tplc="2994703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D690281"/>
    <w:multiLevelType w:val="hybridMultilevel"/>
    <w:tmpl w:val="681A22CE"/>
    <w:lvl w:ilvl="0" w:tplc="487E7B0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D312FE"/>
    <w:multiLevelType w:val="hybridMultilevel"/>
    <w:tmpl w:val="808E5BB8"/>
    <w:lvl w:ilvl="0" w:tplc="92068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9563CB4">
      <w:start w:val="1"/>
      <w:numFmt w:val="decimal"/>
      <w:lvlText w:val="(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7835008">
    <w:abstractNumId w:val="5"/>
  </w:num>
  <w:num w:numId="2" w16cid:durableId="985663438">
    <w:abstractNumId w:val="1"/>
  </w:num>
  <w:num w:numId="3" w16cid:durableId="1638491723">
    <w:abstractNumId w:val="0"/>
  </w:num>
  <w:num w:numId="4" w16cid:durableId="1569070793">
    <w:abstractNumId w:val="3"/>
  </w:num>
  <w:num w:numId="5" w16cid:durableId="422335003">
    <w:abstractNumId w:val="2"/>
  </w:num>
  <w:num w:numId="6" w16cid:durableId="7063005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CC3"/>
    <w:rsid w:val="00002D07"/>
    <w:rsid w:val="00040C51"/>
    <w:rsid w:val="000479D6"/>
    <w:rsid w:val="00057C6B"/>
    <w:rsid w:val="0007740F"/>
    <w:rsid w:val="00082D87"/>
    <w:rsid w:val="00083F2A"/>
    <w:rsid w:val="0009341B"/>
    <w:rsid w:val="0009479E"/>
    <w:rsid w:val="00094A1A"/>
    <w:rsid w:val="000B1B8C"/>
    <w:rsid w:val="000B597A"/>
    <w:rsid w:val="000C03C0"/>
    <w:rsid w:val="000C31BE"/>
    <w:rsid w:val="000C338B"/>
    <w:rsid w:val="000C4F70"/>
    <w:rsid w:val="000D0C47"/>
    <w:rsid w:val="000D2526"/>
    <w:rsid w:val="000E3E60"/>
    <w:rsid w:val="000E5942"/>
    <w:rsid w:val="000E6BD1"/>
    <w:rsid w:val="00102A3F"/>
    <w:rsid w:val="00104B9A"/>
    <w:rsid w:val="00110850"/>
    <w:rsid w:val="00112A69"/>
    <w:rsid w:val="00115CF3"/>
    <w:rsid w:val="0012463B"/>
    <w:rsid w:val="0012787E"/>
    <w:rsid w:val="00134424"/>
    <w:rsid w:val="00141C09"/>
    <w:rsid w:val="00142B73"/>
    <w:rsid w:val="00156A09"/>
    <w:rsid w:val="00165B90"/>
    <w:rsid w:val="0017309E"/>
    <w:rsid w:val="001A4DFD"/>
    <w:rsid w:val="001B3A0A"/>
    <w:rsid w:val="001C2AB8"/>
    <w:rsid w:val="001C3933"/>
    <w:rsid w:val="001C3F61"/>
    <w:rsid w:val="001E6D67"/>
    <w:rsid w:val="001F12F2"/>
    <w:rsid w:val="001F2CAD"/>
    <w:rsid w:val="00202DC6"/>
    <w:rsid w:val="00203A58"/>
    <w:rsid w:val="00211A0D"/>
    <w:rsid w:val="00223B84"/>
    <w:rsid w:val="00223E4D"/>
    <w:rsid w:val="00246868"/>
    <w:rsid w:val="00251E3F"/>
    <w:rsid w:val="00282646"/>
    <w:rsid w:val="002B06C2"/>
    <w:rsid w:val="002B4167"/>
    <w:rsid w:val="002C0D77"/>
    <w:rsid w:val="002C2640"/>
    <w:rsid w:val="002D3157"/>
    <w:rsid w:val="002D4A67"/>
    <w:rsid w:val="002D6353"/>
    <w:rsid w:val="002E585F"/>
    <w:rsid w:val="002E6F2D"/>
    <w:rsid w:val="002F74A7"/>
    <w:rsid w:val="00301673"/>
    <w:rsid w:val="00301823"/>
    <w:rsid w:val="0030438E"/>
    <w:rsid w:val="00306BFF"/>
    <w:rsid w:val="00317EC6"/>
    <w:rsid w:val="00335099"/>
    <w:rsid w:val="003355D4"/>
    <w:rsid w:val="003411D9"/>
    <w:rsid w:val="00371504"/>
    <w:rsid w:val="0037777E"/>
    <w:rsid w:val="00394407"/>
    <w:rsid w:val="003A24C6"/>
    <w:rsid w:val="003A2FC8"/>
    <w:rsid w:val="003B21EB"/>
    <w:rsid w:val="003C0A6B"/>
    <w:rsid w:val="003C5BBC"/>
    <w:rsid w:val="003E168B"/>
    <w:rsid w:val="003E2207"/>
    <w:rsid w:val="003E412E"/>
    <w:rsid w:val="003F7969"/>
    <w:rsid w:val="004036B5"/>
    <w:rsid w:val="00411B36"/>
    <w:rsid w:val="0041234F"/>
    <w:rsid w:val="004165B7"/>
    <w:rsid w:val="004203F5"/>
    <w:rsid w:val="00421F2A"/>
    <w:rsid w:val="00427E2F"/>
    <w:rsid w:val="004318AC"/>
    <w:rsid w:val="00431A66"/>
    <w:rsid w:val="00431F75"/>
    <w:rsid w:val="00465FA9"/>
    <w:rsid w:val="0047168D"/>
    <w:rsid w:val="0049254A"/>
    <w:rsid w:val="004956FF"/>
    <w:rsid w:val="00497863"/>
    <w:rsid w:val="004A6B22"/>
    <w:rsid w:val="004A7738"/>
    <w:rsid w:val="004B4122"/>
    <w:rsid w:val="004B4DF4"/>
    <w:rsid w:val="004B5211"/>
    <w:rsid w:val="004D03A8"/>
    <w:rsid w:val="004D7860"/>
    <w:rsid w:val="004F5264"/>
    <w:rsid w:val="004F7B59"/>
    <w:rsid w:val="00505E67"/>
    <w:rsid w:val="00506E1C"/>
    <w:rsid w:val="005270CE"/>
    <w:rsid w:val="00531ED2"/>
    <w:rsid w:val="00541CC3"/>
    <w:rsid w:val="00560D27"/>
    <w:rsid w:val="00565800"/>
    <w:rsid w:val="0057093B"/>
    <w:rsid w:val="00573BE5"/>
    <w:rsid w:val="005856EB"/>
    <w:rsid w:val="005A5BAD"/>
    <w:rsid w:val="005B28F1"/>
    <w:rsid w:val="005B2E31"/>
    <w:rsid w:val="005C0B4F"/>
    <w:rsid w:val="005C2DCC"/>
    <w:rsid w:val="005C687E"/>
    <w:rsid w:val="005D7FEC"/>
    <w:rsid w:val="005E0F51"/>
    <w:rsid w:val="005E1E4D"/>
    <w:rsid w:val="005E2A1C"/>
    <w:rsid w:val="00601128"/>
    <w:rsid w:val="00613693"/>
    <w:rsid w:val="00616F65"/>
    <w:rsid w:val="00620DEF"/>
    <w:rsid w:val="00632303"/>
    <w:rsid w:val="006334CF"/>
    <w:rsid w:val="00634F9E"/>
    <w:rsid w:val="00636A38"/>
    <w:rsid w:val="00656653"/>
    <w:rsid w:val="00656F58"/>
    <w:rsid w:val="00657040"/>
    <w:rsid w:val="00675325"/>
    <w:rsid w:val="006754F8"/>
    <w:rsid w:val="00677E75"/>
    <w:rsid w:val="00683D98"/>
    <w:rsid w:val="00686EB3"/>
    <w:rsid w:val="00692A7C"/>
    <w:rsid w:val="006A020E"/>
    <w:rsid w:val="006A28EE"/>
    <w:rsid w:val="006B1AD8"/>
    <w:rsid w:val="006B2805"/>
    <w:rsid w:val="006B4A2F"/>
    <w:rsid w:val="006E3A59"/>
    <w:rsid w:val="006E5C0F"/>
    <w:rsid w:val="006F44B6"/>
    <w:rsid w:val="00701D35"/>
    <w:rsid w:val="00703EB6"/>
    <w:rsid w:val="00714BA3"/>
    <w:rsid w:val="0072788B"/>
    <w:rsid w:val="007361A6"/>
    <w:rsid w:val="00737AC3"/>
    <w:rsid w:val="0075083A"/>
    <w:rsid w:val="00755F77"/>
    <w:rsid w:val="007638DF"/>
    <w:rsid w:val="00773160"/>
    <w:rsid w:val="00784FB2"/>
    <w:rsid w:val="007A038B"/>
    <w:rsid w:val="007A1875"/>
    <w:rsid w:val="007C2ACB"/>
    <w:rsid w:val="007C5D1A"/>
    <w:rsid w:val="007D160D"/>
    <w:rsid w:val="007E05E4"/>
    <w:rsid w:val="007E1DBC"/>
    <w:rsid w:val="007E2EE7"/>
    <w:rsid w:val="007F1474"/>
    <w:rsid w:val="007F61ED"/>
    <w:rsid w:val="007F78DC"/>
    <w:rsid w:val="00802645"/>
    <w:rsid w:val="00803922"/>
    <w:rsid w:val="008045BA"/>
    <w:rsid w:val="00807BE4"/>
    <w:rsid w:val="00814C66"/>
    <w:rsid w:val="0084108E"/>
    <w:rsid w:val="00842BC6"/>
    <w:rsid w:val="0084640B"/>
    <w:rsid w:val="00855966"/>
    <w:rsid w:val="00863086"/>
    <w:rsid w:val="008642B0"/>
    <w:rsid w:val="008654FD"/>
    <w:rsid w:val="00880227"/>
    <w:rsid w:val="00881A3C"/>
    <w:rsid w:val="0089587A"/>
    <w:rsid w:val="008A0713"/>
    <w:rsid w:val="008A2BEE"/>
    <w:rsid w:val="008A4B44"/>
    <w:rsid w:val="008C0DD4"/>
    <w:rsid w:val="008C3A55"/>
    <w:rsid w:val="008C46BB"/>
    <w:rsid w:val="008E2F7D"/>
    <w:rsid w:val="008F20CC"/>
    <w:rsid w:val="009005BE"/>
    <w:rsid w:val="00921624"/>
    <w:rsid w:val="00931BC8"/>
    <w:rsid w:val="00945656"/>
    <w:rsid w:val="009712C0"/>
    <w:rsid w:val="009770F9"/>
    <w:rsid w:val="00990C8B"/>
    <w:rsid w:val="009951FA"/>
    <w:rsid w:val="009D5B77"/>
    <w:rsid w:val="009E196E"/>
    <w:rsid w:val="009E56DF"/>
    <w:rsid w:val="009F5632"/>
    <w:rsid w:val="00A0244E"/>
    <w:rsid w:val="00A151AA"/>
    <w:rsid w:val="00A1581E"/>
    <w:rsid w:val="00A34EE2"/>
    <w:rsid w:val="00A40E5D"/>
    <w:rsid w:val="00A41A35"/>
    <w:rsid w:val="00A6680B"/>
    <w:rsid w:val="00A83D63"/>
    <w:rsid w:val="00A85EB2"/>
    <w:rsid w:val="00A87261"/>
    <w:rsid w:val="00A95901"/>
    <w:rsid w:val="00A95B82"/>
    <w:rsid w:val="00AA2991"/>
    <w:rsid w:val="00AA3062"/>
    <w:rsid w:val="00AB141F"/>
    <w:rsid w:val="00AB3A28"/>
    <w:rsid w:val="00AC4256"/>
    <w:rsid w:val="00AD0EFA"/>
    <w:rsid w:val="00AD3A3E"/>
    <w:rsid w:val="00B0032E"/>
    <w:rsid w:val="00B33776"/>
    <w:rsid w:val="00B346C6"/>
    <w:rsid w:val="00B46E84"/>
    <w:rsid w:val="00B52724"/>
    <w:rsid w:val="00B543DF"/>
    <w:rsid w:val="00B54408"/>
    <w:rsid w:val="00B60F23"/>
    <w:rsid w:val="00B700B0"/>
    <w:rsid w:val="00B719C7"/>
    <w:rsid w:val="00B76B3C"/>
    <w:rsid w:val="00B86143"/>
    <w:rsid w:val="00B90309"/>
    <w:rsid w:val="00BA5B7A"/>
    <w:rsid w:val="00BB1804"/>
    <w:rsid w:val="00BB22D1"/>
    <w:rsid w:val="00BB4C38"/>
    <w:rsid w:val="00BE5119"/>
    <w:rsid w:val="00BF76E5"/>
    <w:rsid w:val="00C01337"/>
    <w:rsid w:val="00C0562C"/>
    <w:rsid w:val="00C10D40"/>
    <w:rsid w:val="00C14547"/>
    <w:rsid w:val="00C31E80"/>
    <w:rsid w:val="00C35DE2"/>
    <w:rsid w:val="00C41244"/>
    <w:rsid w:val="00C435A0"/>
    <w:rsid w:val="00C468FE"/>
    <w:rsid w:val="00C738D9"/>
    <w:rsid w:val="00C76E42"/>
    <w:rsid w:val="00C83F95"/>
    <w:rsid w:val="00C97430"/>
    <w:rsid w:val="00CA134F"/>
    <w:rsid w:val="00CA1FC3"/>
    <w:rsid w:val="00CA6F88"/>
    <w:rsid w:val="00CB27C1"/>
    <w:rsid w:val="00CB3386"/>
    <w:rsid w:val="00CC4A88"/>
    <w:rsid w:val="00CD7AC9"/>
    <w:rsid w:val="00CF121F"/>
    <w:rsid w:val="00CF7979"/>
    <w:rsid w:val="00CF7B9F"/>
    <w:rsid w:val="00D01138"/>
    <w:rsid w:val="00D018DE"/>
    <w:rsid w:val="00D020B9"/>
    <w:rsid w:val="00D040C3"/>
    <w:rsid w:val="00D127F6"/>
    <w:rsid w:val="00D1499B"/>
    <w:rsid w:val="00D149EA"/>
    <w:rsid w:val="00D16FEB"/>
    <w:rsid w:val="00D20628"/>
    <w:rsid w:val="00D25389"/>
    <w:rsid w:val="00D3166D"/>
    <w:rsid w:val="00D32AD7"/>
    <w:rsid w:val="00D410CF"/>
    <w:rsid w:val="00D41D5F"/>
    <w:rsid w:val="00D43D41"/>
    <w:rsid w:val="00D46CBF"/>
    <w:rsid w:val="00D47046"/>
    <w:rsid w:val="00D526FC"/>
    <w:rsid w:val="00D648DE"/>
    <w:rsid w:val="00D65CA2"/>
    <w:rsid w:val="00D70242"/>
    <w:rsid w:val="00D95479"/>
    <w:rsid w:val="00DA5583"/>
    <w:rsid w:val="00DB0FCA"/>
    <w:rsid w:val="00DB1226"/>
    <w:rsid w:val="00DB2941"/>
    <w:rsid w:val="00DB2AD3"/>
    <w:rsid w:val="00DB4057"/>
    <w:rsid w:val="00DC51CF"/>
    <w:rsid w:val="00DC6DC0"/>
    <w:rsid w:val="00DD19F9"/>
    <w:rsid w:val="00DD69C7"/>
    <w:rsid w:val="00DE2F19"/>
    <w:rsid w:val="00E0118C"/>
    <w:rsid w:val="00E13E31"/>
    <w:rsid w:val="00E25FA2"/>
    <w:rsid w:val="00E27B49"/>
    <w:rsid w:val="00E50EC8"/>
    <w:rsid w:val="00E51BBA"/>
    <w:rsid w:val="00E81DE3"/>
    <w:rsid w:val="00E85FB4"/>
    <w:rsid w:val="00E933BB"/>
    <w:rsid w:val="00E937D0"/>
    <w:rsid w:val="00ED2EF8"/>
    <w:rsid w:val="00ED4A03"/>
    <w:rsid w:val="00EE0EAB"/>
    <w:rsid w:val="00F01CF2"/>
    <w:rsid w:val="00F0783A"/>
    <w:rsid w:val="00F07BEC"/>
    <w:rsid w:val="00F273CD"/>
    <w:rsid w:val="00F43C16"/>
    <w:rsid w:val="00F646BE"/>
    <w:rsid w:val="00F670C5"/>
    <w:rsid w:val="00F70DA9"/>
    <w:rsid w:val="00F822D0"/>
    <w:rsid w:val="00F8323F"/>
    <w:rsid w:val="00F87423"/>
    <w:rsid w:val="00F94BBD"/>
    <w:rsid w:val="00FA5712"/>
    <w:rsid w:val="00FB30E4"/>
    <w:rsid w:val="00FB61BC"/>
    <w:rsid w:val="00FC7456"/>
    <w:rsid w:val="00FE2CEC"/>
    <w:rsid w:val="00FF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6E852"/>
  <w15:docId w15:val="{05DD4A7B-8270-4705-983F-3F4D17951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41C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07BE4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2303"/>
    <w:rPr>
      <w:color w:val="0563C1" w:themeColor="hyperlink"/>
      <w:u w:val="single"/>
    </w:rPr>
  </w:style>
  <w:style w:type="character" w:customStyle="1" w:styleId="rightvalue1">
    <w:name w:val="rightvalue1"/>
    <w:basedOn w:val="DefaultParagraphFont"/>
    <w:rsid w:val="0063230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87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346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272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7532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123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23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23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3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3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numbering" Target="numbering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2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settings" Target="setting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styles" Target="styles.xml"/><Relationship Id="rId30" Type="http://schemas.openxmlformats.org/officeDocument/2006/relationships/hyperlink" Target="mailto:europesupport@wisdomtre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VariableListDefinition name="AD_HOC" displayName="AD_HOC" id="529c8ff3-0e5e-49bf-be0e-5b1e5d951455" isdomainofvalue="False" dataSourceId="9051fb21-6466-4ce4-9c3c-68ae6c36ca1e"/>
</file>

<file path=customXml/item10.xml><?xml version="1.0" encoding="utf-8"?>
<VariableList UniqueId="109cfc6a-f643-46bd-9bda-d97e2be4c21b" Name="System" ContentType="XML" MajorVersion="0" MinorVersion="1" isLocalCopy="False" IsBaseObject="False" DataSourceId="1ed68e0f-029b-414c-9387-965c8f74944f" DataSourceMajorVersion="0" DataSourceMinorVersion="1"/>
</file>

<file path=customXml/item11.xml><?xml version="1.0" encoding="utf-8"?>
<DocPartTree/>
</file>

<file path=customXml/item12.xml><?xml version="1.0" encoding="utf-8"?>
<AllWordPDs>
</AllWordPDs>
</file>

<file path=customXml/item13.xml><?xml version="1.0" encoding="utf-8"?>
<SourceDataModel Name="AD_HOC" TargetDataSourceId="9051fb21-6466-4ce4-9c3c-68ae6c36ca1e"/>
</file>

<file path=customXml/item14.xml><?xml version="1.0" encoding="utf-8"?>
<SourceDataModel Name="Computed" TargetDataSourceId="186f33c1-7481-447a-9182-a4c7da388c9c"/>
</file>

<file path=customXml/item15.xml><?xml version="1.0" encoding="utf-8"?>
<DataSourceMapping>
  <Id>945d4402-2e04-4157-a940-9d0ca1dd68c8</Id>
  <Name>AD_HOC_MAPPING</Name>
  <TargetDataSource>9051fb21-6466-4ce4-9c3c-68ae6c36ca1e</TargetDataSource>
  <SourceType>XML File</SourceType>
  <IsReadOnly>false</IsReadOnly>
  <SalesforceOrganizationId>00000000-0000-0000-0000-000000000000</SalesforceOrganizationId>
  <SalesforceOrganizationName/>
  <SalesforceApiVersion/>
  <Properties>
    <Property Name="RecordSeperator" Value="SampleData/DataRecord"/>
  </Properties>
  <RawMappings/>
  <DesignTimeProperties/>
</DataSourceMapping>
</file>

<file path=customXml/item16.xml><?xml version="1.0" encoding="utf-8"?>
<AllExternalAdhocVariableMappings/>
</file>

<file path=customXml/item17.xml><?xml version="1.0" encoding="utf-8"?>
<VariableListCustXmlRels>
  <VariableListCustXmlRel variableListName="AD_HOC">
    <VariableListDefCustXmlId>{419FD335-C77B-4472-9E7D-343190164B5E}</VariableListDefCustXmlId>
    <LibraryMetadataCustXmlId>{6F0BAF79-EA82-4DE5-B409-A7FEA02D531F}</LibraryMetadataCustXmlId>
    <DataSourceInfoCustXmlId>{24B3E441-12F6-4BA1-966E-5C59FE7D5F98}</DataSourceInfoCustXmlId>
    <DataSourceMappingCustXmlId>{2A8159B3-00EC-466F-AA29-BD252B30553A}</DataSourceMappingCustXmlId>
    <SdmcCustXmlId>{2A82D428-D3DB-469D-BB0F-44D3DFB71585}</SdmcCustXmlId>
  </VariableListCustXmlRel>
  <VariableListCustXmlRel variableListName="Computed">
    <VariableListDefCustXmlId>{1A31BBBD-2EE3-488C-A0B3-97159301299F}</VariableListDefCustXmlId>
    <LibraryMetadataCustXmlId>{4AEE5017-1F42-41C5-BB1B-9DB84CD55970}</LibraryMetadataCustXmlId>
    <DataSourceInfoCustXmlId>{C1ED0D04-20E3-4272-B546-13D457790821}</DataSourceInfoCustXmlId>
    <DataSourceMappingCustXmlId>{80EB94FF-EE76-43A9-90D6-BEAC337D3E21}</DataSourceMappingCustXmlId>
    <SdmcCustXmlId>{945477C6-A2A0-4D2D-BC3E-8702D3CB861C}</SdmcCustXmlId>
  </VariableListCustXmlRel>
  <VariableListCustXmlRel variableListName="System">
    <VariableListDefCustXmlId>{39E9D1FC-DEC4-4870-A54F-2DCC8A60414A}</VariableListDefCustXmlId>
    <LibraryMetadataCustXmlId>{02D5DD63-5FF7-4881-93DB-EB0628914D82}</LibraryMetadataCustXmlId>
    <DataSourceInfoCustXmlId>{95751C38-5ECE-4288-AE98-8EBC1987AF31}</DataSourceInfoCustXmlId>
    <DataSourceMappingCustXmlId>{93DE2D15-8130-454E-A389-1B91569AEDCC}</DataSourceMappingCustXmlId>
    <SdmcCustXmlId>{4583AA14-759F-4C3C-BD6F-880188B942DC}</SdmcCustXmlId>
  </VariableListCustXmlRel>
</VariableListCustXmlRels>
</file>

<file path=customXml/item18.xml><?xml version="1.0" encoding="utf-8"?>
<AllMetadata/>
</file>

<file path=customXml/item19.xml><?xml version="1.0" encoding="utf-8"?>
<SourceDataModel Name="System" TargetDataSourceId="1ed68e0f-029b-414c-9387-965c8f74944f"/>
</file>

<file path=customXml/item2.xml><?xml version="1.0" encoding="utf-8"?>
<DataSourceInfo>
  <Id>186f33c1-7481-447a-9182-a4c7da388c9c</Id>
  <MajorVersion>0</MajorVersion>
  <MinorVersion>1</MinorVersion>
  <DataSourceType>Expression</DataSourceType>
  <Name>Computed</Name>
  <Description/>
  <Filter/>
  <DataFields/>
</DataSourceInfo>
</file>

<file path=customXml/item20.xml><?xml version="1.0" encoding="utf-8"?>
<DataSourceInfo>
  <Id>1ed68e0f-029b-414c-9387-965c8f74944f</Id>
  <MajorVersion>0</MajorVersion>
  <MinorVersion>1</MinorVersion>
  <DataSourceType>System</DataSourceType>
  <Name>System</Name>
  <Description/>
  <Filter/>
  <DataFields/>
</DataSourceInfo>
</file>

<file path=customXml/item21.xml><?xml version="1.0" encoding="utf-8"?>
<VariableListDefinition name="Computed" displayName="Computed" id="85edb4dc-c368-4a23-a796-cd705bcc5a67" isdomainofvalue="False" dataSourceId="186f33c1-7481-447a-9182-a4c7da388c9c"/>
</file>

<file path=customXml/item2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A981708C75F498F28739AA5C61591" ma:contentTypeVersion="17" ma:contentTypeDescription="Create a new document." ma:contentTypeScope="" ma:versionID="6c57f661df0abd6439224a38109887b4">
  <xsd:schema xmlns:xsd="http://www.w3.org/2001/XMLSchema" xmlns:xs="http://www.w3.org/2001/XMLSchema" xmlns:p="http://schemas.microsoft.com/office/2006/metadata/properties" xmlns:ns2="25624ba4-68ba-4163-9df4-37ad1e1f6eca" xmlns:ns3="91e1c85e-877d-4830-b126-6900de7e140e" targetNamespace="http://schemas.microsoft.com/office/2006/metadata/properties" ma:root="true" ma:fieldsID="d792eb4b95cbd666109feb61967e2353" ns2:_="" ns3:_="">
    <xsd:import namespace="25624ba4-68ba-4163-9df4-37ad1e1f6eca"/>
    <xsd:import namespace="91e1c85e-877d-4830-b126-6900de7e14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24ba4-68ba-4163-9df4-37ad1e1f6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e59dcc-ac27-4d11-8f65-fce2641c64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c85e-877d-4830-b126-6900de7e1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a0f50c1-bc04-4af6-a9b5-fb3ff1d76230}" ma:internalName="TaxCatchAll" ma:showField="CatchAllData" ma:web="91e1c85e-877d-4830-b126-6900de7e14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3.xml><?xml version="1.0" encoding="utf-8"?>
<DataSourceMapping>
  <Id>a0b0b708-edc5-4fe1-95a3-cc8160fa8b23</Id>
  <Name>EXPRESSION_VARIABLE_MAPPING</Name>
  <TargetDataSource>1ed68e0f-029b-414c-9387-965c8f74944f</TargetDataSource>
  <SourceType>XML File</SourceType>
  <IsReadOnly>false</IsReadOnly>
  <SalesforceOrganizationId>00000000-0000-0000-0000-000000000000</SalesforceOrganizationId>
  <SalesforceOrganizationName/>
  <SalesforceApiVersion/>
  <Properties/>
  <RawMappings/>
  <DesignTimeProperties/>
</DataSourceMapping>
</file>

<file path=customXml/item2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5.xml><?xml version="1.0" encoding="utf-8"?>
<VariableUsageMapping/>
</file>

<file path=customXml/item3.xml><?xml version="1.0" encoding="utf-8"?>
<VariableList UniqueId="529c8ff3-0e5e-49bf-be0e-5b1e5d951455" Name="AD_HOC" ContentType="XML" MajorVersion="0" MinorVersion="1" isLocalCopy="False" IsBaseObject="False" DataSourceId="9051fb21-6466-4ce4-9c3c-68ae6c36ca1e" DataSourceMajorVersion="0" DataSourceMinorVersion="1"/>
</file>

<file path=customXml/item4.xml><?xml version="1.0" encoding="utf-8"?>
<DataSourceMapping>
  <Id>1461364c-3f1b-4343-9736-a6320ef9ca25</Id>
  <Name>EXPRESSION_VARIABLE_MAPPING</Name>
  <TargetDataSource>186f33c1-7481-447a-9182-a4c7da388c9c</TargetDataSource>
  <SourceType>XML File</SourceType>
  <IsReadOnly>false</IsReadOnly>
  <SalesforceOrganizationId>00000000-0000-0000-0000-000000000000</SalesforceOrganizationId>
  <SalesforceOrganizationName/>
  <SalesforceApiVersion/>
  <Properties/>
  <RawMappings/>
  <DesignTimeProperties/>
</DataSourceMapping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VariableListDefinition name="System" displayName="System" id="109cfc6a-f643-46bd-9bda-d97e2be4c21b" isdomainofvalue="False" dataSourceId="1ed68e0f-029b-414c-9387-965c8f74944f"/>
</file>

<file path=customXml/item7.xml><?xml version="1.0" encoding="utf-8"?>
<VariableList UniqueId="85edb4dc-c368-4a23-a796-cd705bcc5a67" Name="Computed" ContentType="XML" MajorVersion="0" MinorVersion="1" isLocalCopy="False" IsBaseObject="False" DataSourceId="186f33c1-7481-447a-9182-a4c7da388c9c" DataSourceMajorVersion="0" DataSourceMinorVersion="1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e1c85e-877d-4830-b126-6900de7e140e" xsi:nil="true"/>
    <lcf76f155ced4ddcb4097134ff3c332f xmlns="25624ba4-68ba-4163-9df4-37ad1e1f6eca">
      <Terms xmlns="http://schemas.microsoft.com/office/infopath/2007/PartnerControls"/>
    </lcf76f155ced4ddcb4097134ff3c332f>
  </documentManagement>
</p:properties>
</file>

<file path=customXml/item9.xml><?xml version="1.0" encoding="utf-8"?>
<DataSourceInfo>
  <Id>9051fb21-6466-4ce4-9c3c-68ae6c36ca1e</Id>
  <MajorVersion>0</MajorVersion>
  <MinorVersion>1</MinorVersion>
  <DataSourceType>Ad_Hoc</DataSourceType>
  <Name>AD_HOC</Name>
  <Description/>
  <Filter/>
  <DataFields/>
</DataSourceInfo>
</file>

<file path=customXml/itemProps1.xml><?xml version="1.0" encoding="utf-8"?>
<ds:datastoreItem xmlns:ds="http://schemas.openxmlformats.org/officeDocument/2006/customXml" ds:itemID="{419FD335-C77B-4472-9E7D-343190164B5E}">
  <ds:schemaRefs/>
</ds:datastoreItem>
</file>

<file path=customXml/itemProps10.xml><?xml version="1.0" encoding="utf-8"?>
<ds:datastoreItem xmlns:ds="http://schemas.openxmlformats.org/officeDocument/2006/customXml" ds:itemID="{02D5DD63-5FF7-4881-93DB-EB0628914D82}">
  <ds:schemaRefs/>
</ds:datastoreItem>
</file>

<file path=customXml/itemProps11.xml><?xml version="1.0" encoding="utf-8"?>
<ds:datastoreItem xmlns:ds="http://schemas.openxmlformats.org/officeDocument/2006/customXml" ds:itemID="{4BFDDCE0-A0EC-4820-8212-53949D7E0116}">
  <ds:schemaRefs/>
</ds:datastoreItem>
</file>

<file path=customXml/itemProps12.xml><?xml version="1.0" encoding="utf-8"?>
<ds:datastoreItem xmlns:ds="http://schemas.openxmlformats.org/officeDocument/2006/customXml" ds:itemID="{A96A438A-3A7C-4D93-BC26-DF6574D4A98B}">
  <ds:schemaRefs/>
</ds:datastoreItem>
</file>

<file path=customXml/itemProps13.xml><?xml version="1.0" encoding="utf-8"?>
<ds:datastoreItem xmlns:ds="http://schemas.openxmlformats.org/officeDocument/2006/customXml" ds:itemID="{2A82D428-D3DB-469D-BB0F-44D3DFB71585}">
  <ds:schemaRefs/>
</ds:datastoreItem>
</file>

<file path=customXml/itemProps14.xml><?xml version="1.0" encoding="utf-8"?>
<ds:datastoreItem xmlns:ds="http://schemas.openxmlformats.org/officeDocument/2006/customXml" ds:itemID="{945477C6-A2A0-4D2D-BC3E-8702D3CB861C}">
  <ds:schemaRefs/>
</ds:datastoreItem>
</file>

<file path=customXml/itemProps15.xml><?xml version="1.0" encoding="utf-8"?>
<ds:datastoreItem xmlns:ds="http://schemas.openxmlformats.org/officeDocument/2006/customXml" ds:itemID="{2A8159B3-00EC-466F-AA29-BD252B30553A}">
  <ds:schemaRefs/>
</ds:datastoreItem>
</file>

<file path=customXml/itemProps16.xml><?xml version="1.0" encoding="utf-8"?>
<ds:datastoreItem xmlns:ds="http://schemas.openxmlformats.org/officeDocument/2006/customXml" ds:itemID="{BF1EF6D5-8A96-46E0-8735-7E07690D8C39}">
  <ds:schemaRefs/>
</ds:datastoreItem>
</file>

<file path=customXml/itemProps17.xml><?xml version="1.0" encoding="utf-8"?>
<ds:datastoreItem xmlns:ds="http://schemas.openxmlformats.org/officeDocument/2006/customXml" ds:itemID="{D1692BB3-EAEB-4F22-9ACA-30E030A72021}">
  <ds:schemaRefs/>
</ds:datastoreItem>
</file>

<file path=customXml/itemProps18.xml><?xml version="1.0" encoding="utf-8"?>
<ds:datastoreItem xmlns:ds="http://schemas.openxmlformats.org/officeDocument/2006/customXml" ds:itemID="{E3BFF1F7-1447-4CD9-BDC3-77F6F0A23DF0}">
  <ds:schemaRefs/>
</ds:datastoreItem>
</file>

<file path=customXml/itemProps19.xml><?xml version="1.0" encoding="utf-8"?>
<ds:datastoreItem xmlns:ds="http://schemas.openxmlformats.org/officeDocument/2006/customXml" ds:itemID="{4583AA14-759F-4C3C-BD6F-880188B942DC}">
  <ds:schemaRefs/>
</ds:datastoreItem>
</file>

<file path=customXml/itemProps2.xml><?xml version="1.0" encoding="utf-8"?>
<ds:datastoreItem xmlns:ds="http://schemas.openxmlformats.org/officeDocument/2006/customXml" ds:itemID="{C1ED0D04-20E3-4272-B546-13D457790821}">
  <ds:schemaRefs/>
</ds:datastoreItem>
</file>

<file path=customXml/itemProps20.xml><?xml version="1.0" encoding="utf-8"?>
<ds:datastoreItem xmlns:ds="http://schemas.openxmlformats.org/officeDocument/2006/customXml" ds:itemID="{95751C38-5ECE-4288-AE98-8EBC1987AF31}">
  <ds:schemaRefs/>
</ds:datastoreItem>
</file>

<file path=customXml/itemProps21.xml><?xml version="1.0" encoding="utf-8"?>
<ds:datastoreItem xmlns:ds="http://schemas.openxmlformats.org/officeDocument/2006/customXml" ds:itemID="{1A31BBBD-2EE3-488C-A0B3-97159301299F}">
  <ds:schemaRefs/>
</ds:datastoreItem>
</file>

<file path=customXml/itemProps22.xml><?xml version="1.0" encoding="utf-8"?>
<ds:datastoreItem xmlns:ds="http://schemas.openxmlformats.org/officeDocument/2006/customXml" ds:itemID="{8BD17AF1-3D1B-4C0B-BADE-6E19CE886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24ba4-68ba-4163-9df4-37ad1e1f6eca"/>
    <ds:schemaRef ds:uri="91e1c85e-877d-4830-b126-6900de7e1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3.xml><?xml version="1.0" encoding="utf-8"?>
<ds:datastoreItem xmlns:ds="http://schemas.openxmlformats.org/officeDocument/2006/customXml" ds:itemID="{93DE2D15-8130-454E-A389-1B91569AEDCC}">
  <ds:schemaRefs/>
</ds:datastoreItem>
</file>

<file path=customXml/itemProps24.xml><?xml version="1.0" encoding="utf-8"?>
<ds:datastoreItem xmlns:ds="http://schemas.openxmlformats.org/officeDocument/2006/customXml" ds:itemID="{76B1804D-BB24-4C6D-A5FD-F34560A316EF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978F3B66-BCA8-415F-8E2F-01078732E4A6}">
  <ds:schemaRefs/>
</ds:datastoreItem>
</file>

<file path=customXml/itemProps3.xml><?xml version="1.0" encoding="utf-8"?>
<ds:datastoreItem xmlns:ds="http://schemas.openxmlformats.org/officeDocument/2006/customXml" ds:itemID="{6F0BAF79-EA82-4DE5-B409-A7FEA02D531F}">
  <ds:schemaRefs/>
</ds:datastoreItem>
</file>

<file path=customXml/itemProps4.xml><?xml version="1.0" encoding="utf-8"?>
<ds:datastoreItem xmlns:ds="http://schemas.openxmlformats.org/officeDocument/2006/customXml" ds:itemID="{80EB94FF-EE76-43A9-90D6-BEAC337D3E21}">
  <ds:schemaRefs/>
</ds:datastoreItem>
</file>

<file path=customXml/itemProps5.xml><?xml version="1.0" encoding="utf-8"?>
<ds:datastoreItem xmlns:ds="http://schemas.openxmlformats.org/officeDocument/2006/customXml" ds:itemID="{828BAFAA-C32F-45F9-BD3D-8841E6BDFFB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9E9D1FC-DEC4-4870-A54F-2DCC8A60414A}">
  <ds:schemaRefs/>
</ds:datastoreItem>
</file>

<file path=customXml/itemProps7.xml><?xml version="1.0" encoding="utf-8"?>
<ds:datastoreItem xmlns:ds="http://schemas.openxmlformats.org/officeDocument/2006/customXml" ds:itemID="{4AEE5017-1F42-41C5-BB1B-9DB84CD55970}">
  <ds:schemaRefs/>
</ds:datastoreItem>
</file>

<file path=customXml/itemProps8.xml><?xml version="1.0" encoding="utf-8"?>
<ds:datastoreItem xmlns:ds="http://schemas.openxmlformats.org/officeDocument/2006/customXml" ds:itemID="{E0EA6ECC-049C-49CE-8026-884125141706}">
  <ds:schemaRefs>
    <ds:schemaRef ds:uri="http://schemas.microsoft.com/office/2006/metadata/properties"/>
    <ds:schemaRef ds:uri="http://schemas.microsoft.com/office/infopath/2007/PartnerControls"/>
    <ds:schemaRef ds:uri="91e1c85e-877d-4830-b126-6900de7e140e"/>
    <ds:schemaRef ds:uri="25624ba4-68ba-4163-9df4-37ad1e1f6eca"/>
  </ds:schemaRefs>
</ds:datastoreItem>
</file>

<file path=customXml/itemProps9.xml><?xml version="1.0" encoding="utf-8"?>
<ds:datastoreItem xmlns:ds="http://schemas.openxmlformats.org/officeDocument/2006/customXml" ds:itemID="{24B3E441-12F6-4BA1-966E-5C59FE7D5F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 Shared Services Ireland</Company>
  <LinksUpToDate>false</LinksUpToDate>
  <CharactersWithSpaces>2948</CharactersWithSpaces>
  <SharedDoc>false</SharedDoc>
  <HLinks>
    <vt:vector size="6" baseType="variant">
      <vt:variant>
        <vt:i4>2490390</vt:i4>
      </vt:variant>
      <vt:variant>
        <vt:i4>0</vt:i4>
      </vt:variant>
      <vt:variant>
        <vt:i4>0</vt:i4>
      </vt:variant>
      <vt:variant>
        <vt:i4>5</vt:i4>
      </vt:variant>
      <vt:variant>
        <vt:lpwstr>mailto:europesupport@wisdomtree.com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Jarv Ashford</dc:creator>
  <cp:keywords/>
  <cp:lastModifiedBy>Hugh O'Sullivan</cp:lastModifiedBy>
  <cp:revision>15</cp:revision>
  <cp:lastPrinted>2021-11-05T19:01:00Z</cp:lastPrinted>
  <dcterms:created xsi:type="dcterms:W3CDTF">2026-01-16T10:02:00Z</dcterms:created>
  <dcterms:modified xsi:type="dcterms:W3CDTF">2026-03-30T11:03:00Z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0x010100A41A981708C75F498F28739AA5C61591</vt:lpwstr>
  </property>
  <property fmtid="{D5CDD505-2E9C-101B-9397-08002B2CF9AE}" pid="3" name="MediaServiceImageTags">
    <vt:lpwstr/>
  </property>
</Properties>
</file>