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B11E99" w14:textId="77777777" w:rsidR="00810BF7" w:rsidRDefault="00810BF7" w:rsidP="004A1053">
      <w:pPr>
        <w:spacing w:after="0" w:line="240" w:lineRule="auto"/>
        <w:rPr>
          <w:rFonts w:ascii="Arial" w:hAnsi="Arial" w:cs="Arial"/>
          <w:noProof/>
          <w:color w:val="0070EF"/>
          <w:sz w:val="32"/>
          <w:szCs w:val="32"/>
          <w:lang w:val="fr-FR"/>
        </w:rPr>
      </w:pPr>
      <w:bookmarkStart w:id="0" w:name="_Hlk536630037"/>
    </w:p>
    <w:p w14:paraId="7565BA49" w14:textId="7E618CD0" w:rsidR="00A77ADF" w:rsidRPr="00923D1C" w:rsidRDefault="00810BF7" w:rsidP="00810BF7">
      <w:pPr>
        <w:spacing w:after="0"/>
        <w:jc w:val="center"/>
        <w:rPr>
          <w:rFonts w:ascii="Arial" w:hAnsi="Arial" w:cs="Arial"/>
          <w:noProof/>
          <w:color w:val="0070EF"/>
          <w:sz w:val="32"/>
          <w:szCs w:val="32"/>
          <w:lang w:val="fr-FR"/>
        </w:rPr>
      </w:pPr>
      <w:r>
        <w:rPr>
          <w:rFonts w:ascii="Arial" w:hAnsi="Arial" w:cs="Arial"/>
          <w:noProof/>
          <w:color w:val="0070EF"/>
          <w:sz w:val="32"/>
          <w:szCs w:val="32"/>
          <w:lang w:val="fr-FR"/>
        </w:rPr>
        <w:t xml:space="preserve">Technip </w:t>
      </w:r>
      <w:r w:rsidRPr="00810BF7">
        <w:rPr>
          <w:rFonts w:ascii="Arial" w:hAnsi="Arial" w:cs="Arial"/>
          <w:noProof/>
          <w:color w:val="0070EF"/>
          <w:sz w:val="32"/>
          <w:szCs w:val="32"/>
          <w:lang w:val="fr-FR"/>
        </w:rPr>
        <w:t>Energies acquiert une technologie auprès de Shell pour accélérer la production de bio-polyester</w:t>
      </w:r>
    </w:p>
    <w:p w14:paraId="25D1ACB2" w14:textId="77777777" w:rsidR="00810BF7" w:rsidRPr="00810BF7" w:rsidRDefault="00810BF7" w:rsidP="00810BF7">
      <w:pPr>
        <w:spacing w:after="0"/>
        <w:jc w:val="both"/>
        <w:rPr>
          <w:rFonts w:ascii="Arial" w:hAnsi="Arial" w:cs="Arial"/>
          <w:lang w:val="fr-FR"/>
        </w:rPr>
      </w:pPr>
    </w:p>
    <w:p w14:paraId="77DAF6E3" w14:textId="184E1B31" w:rsidR="00810BF7" w:rsidRPr="00810BF7" w:rsidRDefault="00810BF7" w:rsidP="00810BF7">
      <w:pPr>
        <w:spacing w:after="0"/>
        <w:jc w:val="center"/>
        <w:rPr>
          <w:rFonts w:ascii="Arial" w:hAnsi="Arial" w:cs="Arial"/>
          <w:i/>
          <w:iCs/>
          <w:lang w:val="fr-FR"/>
        </w:rPr>
      </w:pPr>
      <w:r w:rsidRPr="00810BF7">
        <w:rPr>
          <w:rFonts w:ascii="Arial" w:hAnsi="Arial" w:cs="Arial"/>
          <w:i/>
          <w:iCs/>
          <w:lang w:val="fr-FR"/>
        </w:rPr>
        <w:t>L'acquisition de la technologie de purification du glycol permettra d'accélérer la commercialisation de</w:t>
      </w:r>
      <w:r w:rsidR="004A1053">
        <w:rPr>
          <w:rFonts w:ascii="Arial" w:hAnsi="Arial" w:cs="Arial"/>
          <w:i/>
          <w:iCs/>
          <w:lang w:val="fr-FR"/>
        </w:rPr>
        <w:t xml:space="preserve"> la technologie</w:t>
      </w:r>
      <w:r w:rsidRPr="00810BF7">
        <w:rPr>
          <w:rFonts w:ascii="Arial" w:hAnsi="Arial" w:cs="Arial"/>
          <w:i/>
          <w:iCs/>
          <w:lang w:val="fr-FR"/>
        </w:rPr>
        <w:t xml:space="preserve"> Bio-2-Glycols</w:t>
      </w:r>
      <w:r w:rsidRPr="00810BF7">
        <w:rPr>
          <w:rFonts w:ascii="Arial" w:hAnsi="Arial" w:cs="Arial"/>
          <w:i/>
          <w:iCs/>
          <w:vertAlign w:val="superscript"/>
          <w:lang w:val="fr-FR"/>
        </w:rPr>
        <w:t>TM</w:t>
      </w:r>
      <w:r w:rsidRPr="00810BF7">
        <w:rPr>
          <w:rFonts w:ascii="Arial" w:hAnsi="Arial" w:cs="Arial"/>
          <w:i/>
          <w:iCs/>
          <w:lang w:val="fr-FR"/>
        </w:rPr>
        <w:t xml:space="preserve"> de Technip Energies.</w:t>
      </w:r>
    </w:p>
    <w:p w14:paraId="263E5495" w14:textId="77777777" w:rsidR="00810BF7" w:rsidRPr="00810BF7" w:rsidRDefault="00810BF7" w:rsidP="00810BF7">
      <w:pPr>
        <w:spacing w:after="0"/>
        <w:jc w:val="both"/>
        <w:rPr>
          <w:rFonts w:ascii="Arial" w:hAnsi="Arial" w:cs="Arial"/>
          <w:lang w:val="fr-FR"/>
        </w:rPr>
      </w:pPr>
    </w:p>
    <w:p w14:paraId="403FA42E" w14:textId="156238AA" w:rsidR="00810BF7" w:rsidRPr="00810BF7" w:rsidRDefault="00810BF7" w:rsidP="00810BF7">
      <w:pPr>
        <w:spacing w:after="0"/>
        <w:jc w:val="both"/>
        <w:rPr>
          <w:rFonts w:ascii="Arial" w:hAnsi="Arial" w:cs="Arial"/>
          <w:lang w:val="fr-FR"/>
        </w:rPr>
      </w:pPr>
      <w:r w:rsidRPr="00810BF7">
        <w:rPr>
          <w:rFonts w:ascii="Arial" w:hAnsi="Arial" w:cs="Arial"/>
          <w:lang w:val="fr-FR"/>
        </w:rPr>
        <w:t>Technip Energies (</w:t>
      </w:r>
      <w:r w:rsidR="00E26CA5" w:rsidRPr="00810BF7">
        <w:rPr>
          <w:rFonts w:ascii="Arial" w:hAnsi="Arial" w:cs="Arial"/>
          <w:lang w:val="fr-FR"/>
        </w:rPr>
        <w:t>PARIS :</w:t>
      </w:r>
      <w:r w:rsidRPr="00810BF7">
        <w:rPr>
          <w:rFonts w:ascii="Arial" w:hAnsi="Arial" w:cs="Arial"/>
          <w:lang w:val="fr-FR"/>
        </w:rPr>
        <w:t xml:space="preserve">TE) et Shell </w:t>
      </w:r>
      <w:proofErr w:type="spellStart"/>
      <w:r w:rsidRPr="00810BF7">
        <w:rPr>
          <w:rFonts w:ascii="Arial" w:hAnsi="Arial" w:cs="Arial"/>
          <w:lang w:val="fr-FR"/>
        </w:rPr>
        <w:t>Catalysts</w:t>
      </w:r>
      <w:proofErr w:type="spellEnd"/>
      <w:r w:rsidRPr="00810BF7">
        <w:rPr>
          <w:rFonts w:ascii="Arial" w:hAnsi="Arial" w:cs="Arial"/>
          <w:lang w:val="fr-FR"/>
        </w:rPr>
        <w:t xml:space="preserve"> &amp; Technologies annoncent un accord de transfert de technologie </w:t>
      </w:r>
      <w:r>
        <w:rPr>
          <w:rFonts w:ascii="Arial" w:hAnsi="Arial" w:cs="Arial"/>
          <w:lang w:val="fr-FR"/>
        </w:rPr>
        <w:t xml:space="preserve">permettant d’accélérer </w:t>
      </w:r>
      <w:r w:rsidRPr="00810BF7">
        <w:rPr>
          <w:rFonts w:ascii="Arial" w:hAnsi="Arial" w:cs="Arial"/>
          <w:lang w:val="fr-FR"/>
        </w:rPr>
        <w:t>la commercialisation de la technologie Bio-2-Glycols</w:t>
      </w:r>
      <w:r w:rsidRPr="00810BF7">
        <w:rPr>
          <w:rFonts w:ascii="Arial" w:hAnsi="Arial" w:cs="Arial"/>
          <w:vertAlign w:val="superscript"/>
          <w:lang w:val="fr-FR"/>
        </w:rPr>
        <w:t>TM</w:t>
      </w:r>
      <w:r w:rsidRPr="00810BF7">
        <w:rPr>
          <w:rFonts w:ascii="Arial" w:hAnsi="Arial" w:cs="Arial"/>
          <w:lang w:val="fr-FR"/>
        </w:rPr>
        <w:t xml:space="preserve"> de Technip Energies pour la production de Mono Ethylène Glycol (MEG) à partir de glucose.</w:t>
      </w:r>
    </w:p>
    <w:p w14:paraId="648A608F" w14:textId="77777777" w:rsidR="00810BF7" w:rsidRPr="00810BF7" w:rsidRDefault="00810BF7" w:rsidP="00810BF7">
      <w:pPr>
        <w:spacing w:after="0"/>
        <w:jc w:val="both"/>
        <w:rPr>
          <w:rFonts w:ascii="Arial" w:hAnsi="Arial" w:cs="Arial"/>
          <w:lang w:val="fr-FR"/>
        </w:rPr>
      </w:pPr>
    </w:p>
    <w:p w14:paraId="2BA744B6" w14:textId="5431AEAB" w:rsidR="00810BF7" w:rsidRPr="00810BF7" w:rsidRDefault="00810BF7" w:rsidP="00810BF7">
      <w:pPr>
        <w:spacing w:after="0"/>
        <w:jc w:val="both"/>
        <w:rPr>
          <w:rFonts w:ascii="Arial" w:hAnsi="Arial" w:cs="Arial"/>
          <w:lang w:val="fr-FR"/>
        </w:rPr>
      </w:pPr>
      <w:r w:rsidRPr="00810BF7">
        <w:rPr>
          <w:rFonts w:ascii="Arial" w:hAnsi="Arial" w:cs="Arial"/>
          <w:lang w:val="fr-FR"/>
        </w:rPr>
        <w:t xml:space="preserve">Le MEG est </w:t>
      </w:r>
      <w:r>
        <w:rPr>
          <w:rFonts w:ascii="Arial" w:hAnsi="Arial" w:cs="Arial"/>
          <w:lang w:val="fr-FR"/>
        </w:rPr>
        <w:t>habituellement</w:t>
      </w:r>
      <w:r w:rsidRPr="00810BF7">
        <w:rPr>
          <w:rFonts w:ascii="Arial" w:hAnsi="Arial" w:cs="Arial"/>
          <w:lang w:val="fr-FR"/>
        </w:rPr>
        <w:t xml:space="preserve"> produit à partir de matières premières d'origine fossile pour fabriquer différents types de polyesters pour </w:t>
      </w:r>
      <w:r w:rsidR="00E26CA5">
        <w:rPr>
          <w:rFonts w:ascii="Arial" w:hAnsi="Arial" w:cs="Arial"/>
          <w:lang w:val="fr-FR"/>
        </w:rPr>
        <w:t>des</w:t>
      </w:r>
      <w:r w:rsidRPr="00810BF7">
        <w:rPr>
          <w:rFonts w:ascii="Arial" w:hAnsi="Arial" w:cs="Arial"/>
          <w:lang w:val="fr-FR"/>
        </w:rPr>
        <w:t xml:space="preserve"> matériaux d'emballage, tels que </w:t>
      </w:r>
      <w:r w:rsidR="00E26CA5">
        <w:rPr>
          <w:rFonts w:ascii="Arial" w:hAnsi="Arial" w:cs="Arial"/>
          <w:lang w:val="fr-FR"/>
        </w:rPr>
        <w:t>des</w:t>
      </w:r>
      <w:r w:rsidRPr="00810BF7">
        <w:rPr>
          <w:rFonts w:ascii="Arial" w:hAnsi="Arial" w:cs="Arial"/>
          <w:lang w:val="fr-FR"/>
        </w:rPr>
        <w:t xml:space="preserve"> bouteilles en </w:t>
      </w:r>
      <w:r w:rsidR="00704FF1" w:rsidRPr="00810BF7">
        <w:rPr>
          <w:rFonts w:ascii="Arial" w:hAnsi="Arial" w:cs="Arial"/>
          <w:lang w:val="fr-FR"/>
        </w:rPr>
        <w:t>plastique</w:t>
      </w:r>
      <w:r w:rsidR="00704FF1">
        <w:rPr>
          <w:rFonts w:ascii="Arial" w:hAnsi="Arial" w:cs="Arial"/>
          <w:lang w:val="fr-FR"/>
        </w:rPr>
        <w:t xml:space="preserve"> </w:t>
      </w:r>
      <w:r w:rsidR="00704FF1" w:rsidRPr="00810BF7">
        <w:rPr>
          <w:rFonts w:ascii="Arial" w:hAnsi="Arial" w:cs="Arial"/>
          <w:lang w:val="fr-FR"/>
        </w:rPr>
        <w:t>et</w:t>
      </w:r>
      <w:r w:rsidRPr="00810BF7">
        <w:rPr>
          <w:rFonts w:ascii="Arial" w:hAnsi="Arial" w:cs="Arial"/>
          <w:lang w:val="fr-FR"/>
        </w:rPr>
        <w:t xml:space="preserve"> </w:t>
      </w:r>
      <w:r w:rsidR="00E26CA5">
        <w:rPr>
          <w:rFonts w:ascii="Arial" w:hAnsi="Arial" w:cs="Arial"/>
          <w:lang w:val="fr-FR"/>
        </w:rPr>
        <w:t>des</w:t>
      </w:r>
      <w:r w:rsidRPr="00810BF7">
        <w:rPr>
          <w:rFonts w:ascii="Arial" w:hAnsi="Arial" w:cs="Arial"/>
          <w:lang w:val="fr-FR"/>
        </w:rPr>
        <w:t xml:space="preserve"> vêtements. Avec cette acquisition, Technip Energies a l'intention d'offrir une solution de polyester </w:t>
      </w:r>
      <w:r w:rsidR="004A1053" w:rsidRPr="00810BF7">
        <w:rPr>
          <w:rFonts w:ascii="Arial" w:hAnsi="Arial" w:cs="Arial"/>
          <w:lang w:val="fr-FR"/>
        </w:rPr>
        <w:t>biosourcée</w:t>
      </w:r>
      <w:r w:rsidRPr="00810BF7">
        <w:rPr>
          <w:rFonts w:ascii="Arial" w:hAnsi="Arial" w:cs="Arial"/>
          <w:lang w:val="fr-FR"/>
        </w:rPr>
        <w:t xml:space="preserve"> en remplaçant les matières premières d'origine fossile. En utilisant un monomère </w:t>
      </w:r>
      <w:r w:rsidR="004A1053" w:rsidRPr="00810BF7">
        <w:rPr>
          <w:rFonts w:ascii="Arial" w:hAnsi="Arial" w:cs="Arial"/>
          <w:lang w:val="fr-FR"/>
        </w:rPr>
        <w:t>biosourcé</w:t>
      </w:r>
      <w:r w:rsidRPr="00810BF7">
        <w:rPr>
          <w:rFonts w:ascii="Arial" w:hAnsi="Arial" w:cs="Arial"/>
          <w:lang w:val="fr-FR"/>
        </w:rPr>
        <w:t>, la technologie Bio-2-Glycols</w:t>
      </w:r>
      <w:r w:rsidRPr="00810BF7">
        <w:rPr>
          <w:rFonts w:ascii="Arial" w:hAnsi="Arial" w:cs="Arial"/>
          <w:vertAlign w:val="superscript"/>
          <w:lang w:val="fr-FR"/>
        </w:rPr>
        <w:t xml:space="preserve">TM </w:t>
      </w:r>
      <w:r w:rsidRPr="00810BF7">
        <w:rPr>
          <w:rFonts w:ascii="Arial" w:hAnsi="Arial" w:cs="Arial"/>
          <w:lang w:val="fr-FR"/>
        </w:rPr>
        <w:t>permet de produire des polyesters avec une empreinte carbone et un impact environnemental</w:t>
      </w:r>
      <w:r w:rsidR="00E26CA5">
        <w:rPr>
          <w:rFonts w:ascii="Arial" w:hAnsi="Arial" w:cs="Arial"/>
          <w:lang w:val="fr-FR"/>
        </w:rPr>
        <w:t xml:space="preserve"> réduits</w:t>
      </w:r>
      <w:r w:rsidRPr="00810BF7">
        <w:rPr>
          <w:rFonts w:ascii="Arial" w:hAnsi="Arial" w:cs="Arial"/>
          <w:lang w:val="fr-FR"/>
        </w:rPr>
        <w:t>.</w:t>
      </w:r>
    </w:p>
    <w:p w14:paraId="4B03D022" w14:textId="77777777" w:rsidR="00810BF7" w:rsidRPr="00810BF7" w:rsidRDefault="00810BF7" w:rsidP="00810BF7">
      <w:pPr>
        <w:spacing w:after="0"/>
        <w:jc w:val="both"/>
        <w:rPr>
          <w:rFonts w:ascii="Arial" w:hAnsi="Arial" w:cs="Arial"/>
          <w:lang w:val="fr-FR"/>
        </w:rPr>
      </w:pPr>
    </w:p>
    <w:p w14:paraId="6C549645" w14:textId="65C802D0" w:rsidR="00810BF7" w:rsidRPr="00810BF7" w:rsidRDefault="00810BF7" w:rsidP="00810BF7">
      <w:pPr>
        <w:spacing w:after="0"/>
        <w:jc w:val="both"/>
        <w:rPr>
          <w:rFonts w:ascii="Arial" w:hAnsi="Arial" w:cs="Arial"/>
          <w:lang w:val="fr-FR"/>
        </w:rPr>
      </w:pPr>
      <w:r w:rsidRPr="00810BF7">
        <w:rPr>
          <w:rFonts w:ascii="Arial" w:hAnsi="Arial" w:cs="Arial"/>
          <w:lang w:val="fr-FR"/>
        </w:rPr>
        <w:t xml:space="preserve">Cet accord de transfert de technologie permet de combiner les résultats de recherche et développement de Shell avec la technologie bio-MEG de Technip Energies, afin d'offrir au marché une technologie MEG </w:t>
      </w:r>
      <w:r w:rsidR="004A1053" w:rsidRPr="00810BF7">
        <w:rPr>
          <w:rFonts w:ascii="Arial" w:hAnsi="Arial" w:cs="Arial"/>
          <w:lang w:val="fr-FR"/>
        </w:rPr>
        <w:t>biosourcée</w:t>
      </w:r>
      <w:r w:rsidRPr="00810BF7">
        <w:rPr>
          <w:rFonts w:ascii="Arial" w:hAnsi="Arial" w:cs="Arial"/>
          <w:lang w:val="fr-FR"/>
        </w:rPr>
        <w:t xml:space="preserve"> plus efficace. La nouvelle technologie combinée sera commercialisée sous la marque Bio-2-Glycols</w:t>
      </w:r>
      <w:r w:rsidRPr="00810BF7">
        <w:rPr>
          <w:rFonts w:ascii="Arial" w:hAnsi="Arial" w:cs="Arial"/>
          <w:vertAlign w:val="superscript"/>
          <w:lang w:val="fr-FR"/>
        </w:rPr>
        <w:t>TM</w:t>
      </w:r>
      <w:r w:rsidRPr="00810BF7">
        <w:rPr>
          <w:rFonts w:ascii="Arial" w:hAnsi="Arial" w:cs="Arial"/>
          <w:lang w:val="fr-FR"/>
        </w:rPr>
        <w:t>.</w:t>
      </w:r>
    </w:p>
    <w:p w14:paraId="0415C0D1" w14:textId="77777777" w:rsidR="00810BF7" w:rsidRPr="00810BF7" w:rsidRDefault="00810BF7" w:rsidP="00810BF7">
      <w:pPr>
        <w:spacing w:after="0"/>
        <w:jc w:val="both"/>
        <w:rPr>
          <w:rFonts w:ascii="Arial" w:hAnsi="Arial" w:cs="Arial"/>
          <w:lang w:val="fr-FR"/>
        </w:rPr>
      </w:pPr>
    </w:p>
    <w:p w14:paraId="5192CD31" w14:textId="7B05FA90" w:rsidR="00810BF7" w:rsidRPr="00810BF7" w:rsidRDefault="00810BF7" w:rsidP="00810BF7">
      <w:pPr>
        <w:spacing w:after="0"/>
        <w:jc w:val="both"/>
        <w:rPr>
          <w:rFonts w:ascii="Arial" w:hAnsi="Arial" w:cs="Arial"/>
          <w:lang w:val="fr-FR"/>
        </w:rPr>
      </w:pPr>
      <w:r w:rsidRPr="00810BF7">
        <w:rPr>
          <w:rFonts w:ascii="Arial" w:hAnsi="Arial" w:cs="Arial"/>
          <w:b/>
          <w:bCs/>
          <w:lang w:val="fr-FR"/>
        </w:rPr>
        <w:t xml:space="preserve">Wei Cai, </w:t>
      </w:r>
      <w:r w:rsidR="004A1053" w:rsidRPr="004A1053">
        <w:rPr>
          <w:rFonts w:ascii="Arial" w:hAnsi="Arial" w:cs="Arial"/>
          <w:b/>
          <w:bCs/>
          <w:lang w:val="fr-FR"/>
        </w:rPr>
        <w:t xml:space="preserve">Directrice de la </w:t>
      </w:r>
      <w:r w:rsidR="004A1053">
        <w:rPr>
          <w:rFonts w:ascii="Arial" w:hAnsi="Arial" w:cs="Arial"/>
          <w:b/>
          <w:bCs/>
          <w:lang w:val="fr-FR"/>
        </w:rPr>
        <w:t>t</w:t>
      </w:r>
      <w:r w:rsidR="004A1053" w:rsidRPr="004A1053">
        <w:rPr>
          <w:rFonts w:ascii="Arial" w:hAnsi="Arial" w:cs="Arial"/>
          <w:b/>
          <w:bCs/>
          <w:lang w:val="fr-FR"/>
        </w:rPr>
        <w:t>echnologie et de l'</w:t>
      </w:r>
      <w:r w:rsidR="004A1053">
        <w:rPr>
          <w:rFonts w:ascii="Arial" w:hAnsi="Arial" w:cs="Arial"/>
          <w:b/>
          <w:bCs/>
          <w:lang w:val="fr-FR"/>
        </w:rPr>
        <w:t>i</w:t>
      </w:r>
      <w:r w:rsidR="004A1053" w:rsidRPr="004A1053">
        <w:rPr>
          <w:rFonts w:ascii="Arial" w:hAnsi="Arial" w:cs="Arial"/>
          <w:b/>
          <w:bCs/>
          <w:lang w:val="fr-FR"/>
        </w:rPr>
        <w:t>nnovation</w:t>
      </w:r>
      <w:r w:rsidRPr="00810BF7">
        <w:rPr>
          <w:rFonts w:ascii="Arial" w:hAnsi="Arial" w:cs="Arial"/>
          <w:b/>
          <w:bCs/>
          <w:lang w:val="fr-FR"/>
        </w:rPr>
        <w:t xml:space="preserve"> de Technip Energies, </w:t>
      </w:r>
      <w:r w:rsidRPr="00810BF7">
        <w:rPr>
          <w:rFonts w:ascii="Arial" w:hAnsi="Arial" w:cs="Arial"/>
          <w:lang w:val="fr-FR"/>
        </w:rPr>
        <w:t xml:space="preserve">a </w:t>
      </w:r>
      <w:r w:rsidR="004A1053">
        <w:rPr>
          <w:rFonts w:ascii="Arial" w:hAnsi="Arial" w:cs="Arial"/>
          <w:lang w:val="fr-FR"/>
        </w:rPr>
        <w:t xml:space="preserve">déclaré </w:t>
      </w:r>
      <w:r w:rsidRPr="00810BF7">
        <w:rPr>
          <w:rFonts w:ascii="Arial" w:hAnsi="Arial" w:cs="Arial"/>
          <w:lang w:val="fr-FR"/>
        </w:rPr>
        <w:t xml:space="preserve">: </w:t>
      </w:r>
      <w:r>
        <w:rPr>
          <w:rFonts w:ascii="Arial" w:hAnsi="Arial" w:cs="Arial"/>
          <w:i/>
          <w:iCs/>
          <w:lang w:val="fr-FR"/>
        </w:rPr>
        <w:t>« </w:t>
      </w:r>
      <w:r w:rsidRPr="00810BF7">
        <w:rPr>
          <w:rFonts w:ascii="Arial" w:hAnsi="Arial" w:cs="Arial"/>
          <w:i/>
          <w:iCs/>
          <w:lang w:val="fr-FR"/>
        </w:rPr>
        <w:t xml:space="preserve">Nous sommes heureux d'avoir conclu cet accord qui nous permet de proposer une solution combinée optimisée pour fabriquer du bio-MEG, une matière première </w:t>
      </w:r>
      <w:r w:rsidR="00E26CA5">
        <w:rPr>
          <w:rFonts w:ascii="Arial" w:hAnsi="Arial" w:cs="Arial"/>
          <w:i/>
          <w:iCs/>
          <w:lang w:val="fr-FR"/>
        </w:rPr>
        <w:t>couramment utilisée</w:t>
      </w:r>
      <w:r w:rsidRPr="00810BF7">
        <w:rPr>
          <w:rFonts w:ascii="Arial" w:hAnsi="Arial" w:cs="Arial"/>
          <w:i/>
          <w:iCs/>
          <w:lang w:val="fr-FR"/>
        </w:rPr>
        <w:t xml:space="preserve"> pour divers </w:t>
      </w:r>
      <w:r w:rsidR="00E26CA5">
        <w:rPr>
          <w:rFonts w:ascii="Arial" w:hAnsi="Arial" w:cs="Arial"/>
          <w:i/>
          <w:iCs/>
          <w:lang w:val="fr-FR"/>
        </w:rPr>
        <w:t>usages</w:t>
      </w:r>
      <w:r w:rsidRPr="00810BF7">
        <w:rPr>
          <w:rFonts w:ascii="Arial" w:hAnsi="Arial" w:cs="Arial"/>
          <w:i/>
          <w:iCs/>
          <w:lang w:val="fr-FR"/>
        </w:rPr>
        <w:t xml:space="preserve"> de la vie quotidienne. Nous sommes confiants </w:t>
      </w:r>
      <w:r w:rsidR="008D2B48">
        <w:rPr>
          <w:rFonts w:ascii="Arial" w:hAnsi="Arial" w:cs="Arial"/>
          <w:i/>
          <w:iCs/>
          <w:lang w:val="fr-FR"/>
        </w:rPr>
        <w:t xml:space="preserve">quant à </w:t>
      </w:r>
      <w:r w:rsidR="00E26CA5">
        <w:rPr>
          <w:rFonts w:ascii="Arial" w:hAnsi="Arial" w:cs="Arial"/>
          <w:i/>
          <w:iCs/>
          <w:lang w:val="fr-FR"/>
        </w:rPr>
        <w:t>une</w:t>
      </w:r>
      <w:r w:rsidRPr="00810BF7">
        <w:rPr>
          <w:rFonts w:ascii="Arial" w:hAnsi="Arial" w:cs="Arial"/>
          <w:i/>
          <w:iCs/>
          <w:lang w:val="fr-FR"/>
        </w:rPr>
        <w:t xml:space="preserve"> commercialisation </w:t>
      </w:r>
      <w:r w:rsidR="00E26CA5">
        <w:rPr>
          <w:rFonts w:ascii="Arial" w:hAnsi="Arial" w:cs="Arial"/>
          <w:i/>
          <w:iCs/>
          <w:lang w:val="fr-FR"/>
        </w:rPr>
        <w:t xml:space="preserve">rapide </w:t>
      </w:r>
      <w:r w:rsidRPr="00810BF7">
        <w:rPr>
          <w:rFonts w:ascii="Arial" w:hAnsi="Arial" w:cs="Arial"/>
          <w:i/>
          <w:iCs/>
          <w:lang w:val="fr-FR"/>
        </w:rPr>
        <w:t>de notre technologie Bio-2-Glycols</w:t>
      </w:r>
      <w:r w:rsidRPr="00E26CA5">
        <w:rPr>
          <w:rFonts w:ascii="Arial" w:hAnsi="Arial" w:cs="Arial"/>
          <w:i/>
          <w:iCs/>
          <w:vertAlign w:val="superscript"/>
          <w:lang w:val="fr-FR"/>
        </w:rPr>
        <w:t>TM</w:t>
      </w:r>
      <w:r w:rsidRPr="00810BF7">
        <w:rPr>
          <w:rFonts w:ascii="Arial" w:hAnsi="Arial" w:cs="Arial"/>
          <w:i/>
          <w:iCs/>
          <w:lang w:val="fr-FR"/>
        </w:rPr>
        <w:t>. Notre objectif est d'offrir cette technologie en 2025, ce qui contribuera de manière significative au défi du net zéro.</w:t>
      </w:r>
      <w:r>
        <w:rPr>
          <w:rFonts w:ascii="Arial" w:hAnsi="Arial" w:cs="Arial"/>
          <w:i/>
          <w:iCs/>
          <w:lang w:val="fr-FR"/>
        </w:rPr>
        <w:t> »</w:t>
      </w:r>
    </w:p>
    <w:p w14:paraId="07D6C4A5" w14:textId="77777777" w:rsidR="00810BF7" w:rsidRPr="00810BF7" w:rsidRDefault="00810BF7" w:rsidP="00810BF7">
      <w:pPr>
        <w:spacing w:after="0"/>
        <w:jc w:val="both"/>
        <w:rPr>
          <w:rFonts w:ascii="Arial" w:hAnsi="Arial" w:cs="Arial"/>
          <w:lang w:val="fr-FR"/>
        </w:rPr>
      </w:pPr>
    </w:p>
    <w:p w14:paraId="74A93ECC" w14:textId="4BE730E4" w:rsidR="00A77ADF" w:rsidRPr="00810BF7" w:rsidRDefault="00810BF7" w:rsidP="00810BF7">
      <w:pPr>
        <w:spacing w:after="0"/>
        <w:jc w:val="both"/>
        <w:rPr>
          <w:rFonts w:ascii="Arial" w:hAnsi="Arial" w:cs="Arial"/>
          <w:i/>
          <w:iCs/>
          <w:lang w:val="fr-FR"/>
        </w:rPr>
      </w:pPr>
      <w:r w:rsidRPr="00810BF7">
        <w:rPr>
          <w:rFonts w:ascii="Arial" w:hAnsi="Arial" w:cs="Arial"/>
          <w:b/>
          <w:bCs/>
          <w:lang w:val="fr-FR"/>
        </w:rPr>
        <w:t xml:space="preserve">Elise H. </w:t>
      </w:r>
      <w:proofErr w:type="spellStart"/>
      <w:r w:rsidRPr="00810BF7">
        <w:rPr>
          <w:rFonts w:ascii="Arial" w:hAnsi="Arial" w:cs="Arial"/>
          <w:b/>
          <w:bCs/>
          <w:lang w:val="fr-FR"/>
        </w:rPr>
        <w:t>Nowee</w:t>
      </w:r>
      <w:proofErr w:type="spellEnd"/>
      <w:r w:rsidRPr="00810BF7">
        <w:rPr>
          <w:rFonts w:ascii="Arial" w:hAnsi="Arial" w:cs="Arial"/>
          <w:b/>
          <w:bCs/>
          <w:lang w:val="fr-FR"/>
        </w:rPr>
        <w:t xml:space="preserve">, </w:t>
      </w:r>
      <w:r w:rsidR="004A1053">
        <w:rPr>
          <w:rFonts w:ascii="Arial" w:hAnsi="Arial" w:cs="Arial"/>
          <w:b/>
          <w:bCs/>
          <w:lang w:val="fr-FR"/>
        </w:rPr>
        <w:t>P</w:t>
      </w:r>
      <w:r w:rsidRPr="00810BF7">
        <w:rPr>
          <w:rFonts w:ascii="Arial" w:hAnsi="Arial" w:cs="Arial"/>
          <w:b/>
          <w:bCs/>
          <w:lang w:val="fr-FR"/>
        </w:rPr>
        <w:t xml:space="preserve">résidente de Shell </w:t>
      </w:r>
      <w:proofErr w:type="spellStart"/>
      <w:r w:rsidRPr="00810BF7">
        <w:rPr>
          <w:rFonts w:ascii="Arial" w:hAnsi="Arial" w:cs="Arial"/>
          <w:b/>
          <w:bCs/>
          <w:lang w:val="fr-FR"/>
        </w:rPr>
        <w:t>Catalysts</w:t>
      </w:r>
      <w:proofErr w:type="spellEnd"/>
      <w:r w:rsidRPr="00810BF7">
        <w:rPr>
          <w:rFonts w:ascii="Arial" w:hAnsi="Arial" w:cs="Arial"/>
          <w:b/>
          <w:bCs/>
          <w:lang w:val="fr-FR"/>
        </w:rPr>
        <w:t xml:space="preserve"> &amp; Technologies, </w:t>
      </w:r>
      <w:r w:rsidRPr="004A1053">
        <w:rPr>
          <w:rFonts w:ascii="Arial" w:hAnsi="Arial" w:cs="Arial"/>
          <w:lang w:val="fr-FR"/>
        </w:rPr>
        <w:t>a commenté</w:t>
      </w:r>
      <w:r w:rsidRPr="00810BF7">
        <w:rPr>
          <w:rFonts w:ascii="Arial" w:hAnsi="Arial" w:cs="Arial"/>
          <w:b/>
          <w:bCs/>
          <w:lang w:val="fr-FR"/>
        </w:rPr>
        <w:t xml:space="preserve"> :</w:t>
      </w:r>
      <w:r w:rsidRPr="00810BF7">
        <w:rPr>
          <w:rFonts w:ascii="Arial" w:hAnsi="Arial" w:cs="Arial"/>
          <w:lang w:val="fr-FR"/>
        </w:rPr>
        <w:t xml:space="preserve"> </w:t>
      </w:r>
      <w:r>
        <w:rPr>
          <w:rFonts w:ascii="Arial" w:hAnsi="Arial" w:cs="Arial"/>
          <w:i/>
          <w:iCs/>
          <w:lang w:val="fr-FR"/>
        </w:rPr>
        <w:t>« </w:t>
      </w:r>
      <w:r w:rsidRPr="00810BF7">
        <w:rPr>
          <w:rFonts w:ascii="Arial" w:hAnsi="Arial" w:cs="Arial"/>
          <w:i/>
          <w:iCs/>
          <w:lang w:val="fr-FR"/>
        </w:rPr>
        <w:t>Nous sommes ravis d'annoncer cet accord avec Technip Energies, combinant nos technologies respectives pour améliorer et accélérer la commercialisation de</w:t>
      </w:r>
      <w:r w:rsidR="004A1053">
        <w:rPr>
          <w:rFonts w:ascii="Arial" w:hAnsi="Arial" w:cs="Arial"/>
          <w:i/>
          <w:iCs/>
          <w:lang w:val="fr-FR"/>
        </w:rPr>
        <w:t xml:space="preserve"> la technologie</w:t>
      </w:r>
      <w:r w:rsidRPr="00810BF7">
        <w:rPr>
          <w:rFonts w:ascii="Arial" w:hAnsi="Arial" w:cs="Arial"/>
          <w:i/>
          <w:iCs/>
          <w:lang w:val="fr-FR"/>
        </w:rPr>
        <w:t xml:space="preserve"> Bio-2-Glycols™. En intégrant l'expertise de Technip Energies à nos propres travaux de développement sur les Bio-2-Glycols, nous sommes prêts à accélérer le déploiement d'alternatives durables aux matières premières d'origine fossile, à stimuler l'innovation et, ensemble, à ouvrir la voie à une solution plus efficace et plus durable dans ce domaine.</w:t>
      </w:r>
      <w:r>
        <w:rPr>
          <w:rFonts w:ascii="Arial" w:hAnsi="Arial" w:cs="Arial"/>
          <w:i/>
          <w:iCs/>
          <w:lang w:val="fr-FR"/>
        </w:rPr>
        <w:t> »</w:t>
      </w:r>
    </w:p>
    <w:bookmarkEnd w:id="0"/>
    <w:p w14:paraId="1BDB0BBA" w14:textId="77777777" w:rsidR="00A77ADF" w:rsidRPr="00682B72" w:rsidRDefault="00A77ADF" w:rsidP="00682B72">
      <w:pPr>
        <w:pStyle w:val="BodyText1"/>
        <w:ind w:firstLine="0"/>
        <w:jc w:val="center"/>
        <w:rPr>
          <w:rFonts w:ascii="Arial" w:hAnsi="Arial"/>
          <w:b/>
          <w:szCs w:val="20"/>
          <w:lang w:val="fr-FR"/>
        </w:rPr>
      </w:pPr>
    </w:p>
    <w:p w14:paraId="3D5D9C89" w14:textId="77777777" w:rsidR="00F25B19" w:rsidRPr="00682B72" w:rsidRDefault="00F25B19" w:rsidP="00204A11">
      <w:pPr>
        <w:spacing w:after="0"/>
        <w:rPr>
          <w:rFonts w:ascii="Arial" w:hAnsi="Arial" w:cs="Arial"/>
          <w:b/>
          <w:szCs w:val="20"/>
          <w:lang w:val="fr-FR"/>
        </w:rPr>
      </w:pPr>
    </w:p>
    <w:p w14:paraId="4B4B15ED" w14:textId="77777777" w:rsidR="00F25B19" w:rsidRPr="00682B72" w:rsidRDefault="00F25B19" w:rsidP="00204A11">
      <w:pPr>
        <w:spacing w:after="0"/>
        <w:rPr>
          <w:rFonts w:ascii="Arial" w:hAnsi="Arial" w:cs="Arial"/>
          <w:b/>
          <w:szCs w:val="20"/>
          <w:lang w:val="fr-FR"/>
        </w:rPr>
      </w:pPr>
      <w:r w:rsidRPr="00117545">
        <w:rPr>
          <w:rFonts w:ascii="Arial" w:hAnsi="Arial" w:cs="Arial"/>
          <w:noProof/>
          <w:color w:val="EE7766"/>
          <w:sz w:val="36"/>
          <w:szCs w:val="36"/>
          <w:shd w:val="clear" w:color="auto" w:fill="FFFFFF"/>
        </w:rPr>
        <mc:AlternateContent>
          <mc:Choice Requires="wps">
            <w:drawing>
              <wp:anchor distT="0" distB="0" distL="114300" distR="114300" simplePos="0" relativeHeight="251663360" behindDoc="0" locked="0" layoutInCell="1" allowOverlap="1" wp14:anchorId="18873938" wp14:editId="16AAE865">
                <wp:simplePos x="0" y="0"/>
                <wp:positionH relativeFrom="margin">
                  <wp:align>center</wp:align>
                </wp:positionH>
                <wp:positionV relativeFrom="paragraph">
                  <wp:posOffset>22783</wp:posOffset>
                </wp:positionV>
                <wp:extent cx="252000" cy="0"/>
                <wp:effectExtent l="19050" t="19050" r="34290" b="38100"/>
                <wp:wrapTopAndBottom/>
                <wp:docPr id="27" name="Connecteur droit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2000" cy="0"/>
                        </a:xfrm>
                        <a:prstGeom prst="line">
                          <a:avLst/>
                        </a:prstGeom>
                        <a:ln w="19050" cap="sq">
                          <a:gradFill>
                            <a:gsLst>
                              <a:gs pos="10000">
                                <a:srgbClr val="0070EF"/>
                              </a:gs>
                              <a:gs pos="88000">
                                <a:srgbClr val="80C7A0"/>
                              </a:gs>
                            </a:gsLst>
                            <a:lin ang="0" scaled="0"/>
                          </a:gra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AB42EA" id="Connecteur droit 10" o:spid="_x0000_s1026" style="position:absolute;z-index:251663360;visibility:visible;mso-wrap-style:square;mso-wrap-distance-left:9pt;mso-wrap-distance-top:0;mso-wrap-distance-right:9pt;mso-wrap-distance-bottom:0;mso-position-horizontal:center;mso-position-horizontal-relative:margin;mso-position-vertical:absolute;mso-position-vertical-relative:text" from="0,1.8pt" to="19.8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" strokeweight="1.5pt">
                <v:stroke joinstyle="miter" endcap="square"/>
                <o:lock v:ext="edit" shapetype="f"/>
                <w10:wrap type="topAndBottom" anchorx="margin"/>
              </v:line>
            </w:pict>
          </mc:Fallback>
        </mc:AlternateContent>
      </w:r>
    </w:p>
    <w:p w14:paraId="6EE568AE" w14:textId="77777777" w:rsidR="00810BF7" w:rsidRDefault="00810BF7" w:rsidP="00682B72">
      <w:pPr>
        <w:spacing w:after="0"/>
        <w:ind w:left="-90"/>
        <w:rPr>
          <w:rFonts w:ascii="Arial" w:hAnsi="Arial" w:cs="Arial"/>
          <w:b/>
          <w:noProof/>
          <w:color w:val="0070EF"/>
          <w:szCs w:val="32"/>
          <w:lang w:val="fr-FR"/>
        </w:rPr>
      </w:pPr>
      <w:bookmarkStart w:id="1" w:name="_Hlk64452181"/>
    </w:p>
    <w:p w14:paraId="250814BA" w14:textId="77777777" w:rsidR="004A1053" w:rsidRDefault="004A1053" w:rsidP="00682B72">
      <w:pPr>
        <w:spacing w:after="0"/>
        <w:ind w:left="-90"/>
        <w:rPr>
          <w:rFonts w:ascii="Arial" w:hAnsi="Arial" w:cs="Arial"/>
          <w:b/>
          <w:noProof/>
          <w:color w:val="0070EF"/>
          <w:szCs w:val="32"/>
          <w:lang w:val="fr-FR"/>
        </w:rPr>
      </w:pPr>
    </w:p>
    <w:p w14:paraId="74F05692" w14:textId="77777777" w:rsidR="004A1053" w:rsidRDefault="004A1053" w:rsidP="00682B72">
      <w:pPr>
        <w:spacing w:after="0"/>
        <w:ind w:left="-90"/>
        <w:rPr>
          <w:rFonts w:ascii="Arial" w:hAnsi="Arial" w:cs="Arial"/>
          <w:b/>
          <w:noProof/>
          <w:color w:val="0070EF"/>
          <w:szCs w:val="32"/>
          <w:lang w:val="fr-FR"/>
        </w:rPr>
      </w:pPr>
    </w:p>
    <w:p w14:paraId="1A94FCFE" w14:textId="420FD878" w:rsidR="00682B72" w:rsidRDefault="00682B72" w:rsidP="00682B72">
      <w:pPr>
        <w:spacing w:after="0"/>
        <w:ind w:left="-90"/>
        <w:rPr>
          <w:rFonts w:ascii="Arial" w:hAnsi="Arial" w:cs="Arial"/>
          <w:b/>
          <w:noProof/>
          <w:color w:val="0070EF"/>
          <w:szCs w:val="32"/>
          <w:lang w:val="fr-FR"/>
        </w:rPr>
      </w:pPr>
      <w:r>
        <w:rPr>
          <w:rFonts w:ascii="Arial" w:hAnsi="Arial" w:cs="Arial"/>
          <w:b/>
          <w:noProof/>
          <w:color w:val="0070EF"/>
          <w:szCs w:val="32"/>
          <w:lang w:val="fr-FR"/>
        </w:rPr>
        <w:lastRenderedPageBreak/>
        <w:t>À propos de</w:t>
      </w:r>
      <w:r w:rsidRPr="008636FB">
        <w:rPr>
          <w:rFonts w:ascii="Arial" w:hAnsi="Arial" w:cs="Arial"/>
          <w:b/>
          <w:noProof/>
          <w:color w:val="0070EF"/>
          <w:szCs w:val="32"/>
          <w:lang w:val="fr-FR"/>
        </w:rPr>
        <w:t xml:space="preserve"> Technip Energies</w:t>
      </w:r>
    </w:p>
    <w:p w14:paraId="71E9DB63" w14:textId="77777777" w:rsidR="006659AC" w:rsidRDefault="006659AC" w:rsidP="00C22879">
      <w:pPr>
        <w:spacing w:after="0"/>
        <w:ind w:left="-90"/>
        <w:jc w:val="both"/>
        <w:rPr>
          <w:rFonts w:ascii="Arial" w:hAnsi="Arial" w:cs="Arial"/>
          <w:szCs w:val="20"/>
          <w:lang w:val="fr-FR"/>
        </w:rPr>
      </w:pPr>
    </w:p>
    <w:p w14:paraId="38F729DF" w14:textId="54CA8FC8" w:rsidR="003131DB" w:rsidRDefault="003131DB" w:rsidP="003131DB">
      <w:pPr>
        <w:spacing w:after="0"/>
        <w:ind w:left="-90"/>
        <w:jc w:val="both"/>
        <w:rPr>
          <w:rFonts w:ascii="Arial" w:hAnsi="Arial" w:cs="Arial"/>
          <w:szCs w:val="20"/>
          <w:lang w:val="fr-FR"/>
        </w:rPr>
      </w:pPr>
      <w:r w:rsidRPr="003131DB">
        <w:rPr>
          <w:rFonts w:ascii="Arial" w:hAnsi="Arial" w:cs="Arial"/>
          <w:szCs w:val="20"/>
          <w:lang w:val="fr-FR"/>
        </w:rPr>
        <w:t>Technip Energies est une société d'ingénierie et de technologies de premier plan au service de la transition énergétique, avec des positions de leader dans le Gaz Naturel Liquéfié (GNL), l'hydrogène et l'éthylène et avec une présence forte sur les marchés en croissance de l'hydrogène bleu et vert, la chimie durable et la gestion du CO2. La société bénéficie de son solide modèle de livraison de</w:t>
      </w:r>
      <w:r>
        <w:rPr>
          <w:rFonts w:ascii="Arial" w:hAnsi="Arial" w:cs="Arial"/>
          <w:szCs w:val="20"/>
          <w:lang w:val="fr-FR"/>
        </w:rPr>
        <w:t xml:space="preserve"> </w:t>
      </w:r>
      <w:r w:rsidRPr="003131DB">
        <w:rPr>
          <w:rFonts w:ascii="Arial" w:hAnsi="Arial" w:cs="Arial"/>
          <w:szCs w:val="20"/>
          <w:lang w:val="fr-FR"/>
        </w:rPr>
        <w:t xml:space="preserve">projet, soutenu par une offre étendue de technologies, de produits et de services. </w:t>
      </w:r>
    </w:p>
    <w:p w14:paraId="27E7033D" w14:textId="77777777" w:rsidR="003131DB" w:rsidRPr="003131DB" w:rsidRDefault="003131DB" w:rsidP="003131DB">
      <w:pPr>
        <w:spacing w:after="0"/>
        <w:ind w:left="-90"/>
        <w:jc w:val="both"/>
        <w:rPr>
          <w:rFonts w:ascii="Arial" w:hAnsi="Arial" w:cs="Arial"/>
          <w:szCs w:val="20"/>
          <w:lang w:val="fr-FR"/>
        </w:rPr>
      </w:pPr>
    </w:p>
    <w:p w14:paraId="7D0E323D" w14:textId="2840AD03" w:rsidR="003131DB" w:rsidRDefault="003131DB" w:rsidP="003131DB">
      <w:pPr>
        <w:spacing w:after="0"/>
        <w:ind w:left="-90"/>
        <w:jc w:val="both"/>
        <w:rPr>
          <w:rFonts w:ascii="Arial" w:hAnsi="Arial" w:cs="Arial"/>
          <w:szCs w:val="20"/>
          <w:lang w:val="fr-FR"/>
        </w:rPr>
      </w:pPr>
      <w:r w:rsidRPr="003131DB">
        <w:rPr>
          <w:rFonts w:ascii="Arial" w:hAnsi="Arial" w:cs="Arial"/>
          <w:szCs w:val="20"/>
          <w:lang w:val="fr-FR"/>
        </w:rPr>
        <w:t>Avec une présence dans 3</w:t>
      </w:r>
      <w:r>
        <w:rPr>
          <w:rFonts w:ascii="Arial" w:hAnsi="Arial" w:cs="Arial"/>
          <w:szCs w:val="20"/>
          <w:lang w:val="fr-FR"/>
        </w:rPr>
        <w:t>4</w:t>
      </w:r>
      <w:r w:rsidRPr="003131DB">
        <w:rPr>
          <w:rFonts w:ascii="Arial" w:hAnsi="Arial" w:cs="Arial"/>
          <w:szCs w:val="20"/>
          <w:lang w:val="fr-FR"/>
        </w:rPr>
        <w:t xml:space="preserve"> pays, nos 15 000 collaborateurs sont pleinement engagés à donner vie aux projets innovants de nos clients, en repoussant les limites du possible pour accélérer la transition énergétique vers un avenir meilleur. </w:t>
      </w:r>
    </w:p>
    <w:p w14:paraId="186EA662" w14:textId="77777777" w:rsidR="003131DB" w:rsidRPr="003131DB" w:rsidRDefault="003131DB" w:rsidP="003131DB">
      <w:pPr>
        <w:spacing w:after="0"/>
        <w:ind w:left="-90"/>
        <w:jc w:val="both"/>
        <w:rPr>
          <w:rFonts w:ascii="Arial" w:hAnsi="Arial" w:cs="Arial"/>
          <w:szCs w:val="20"/>
          <w:lang w:val="fr-FR"/>
        </w:rPr>
      </w:pPr>
    </w:p>
    <w:p w14:paraId="4DAA7B33" w14:textId="77777777" w:rsidR="003131DB" w:rsidRDefault="003131DB" w:rsidP="003131DB">
      <w:pPr>
        <w:spacing w:after="0"/>
        <w:ind w:left="-90"/>
        <w:jc w:val="both"/>
        <w:rPr>
          <w:rFonts w:ascii="Arial" w:hAnsi="Arial" w:cs="Arial"/>
          <w:szCs w:val="20"/>
          <w:lang w:val="fr-FR"/>
        </w:rPr>
      </w:pPr>
      <w:r w:rsidRPr="003131DB">
        <w:rPr>
          <w:rFonts w:ascii="Arial" w:hAnsi="Arial" w:cs="Arial"/>
          <w:szCs w:val="20"/>
          <w:lang w:val="fr-FR"/>
        </w:rPr>
        <w:t>Les actions de Technip Energies sont cotées sur Euronext Paris. En outre, Technip Energies dispose d’un programme ADR (</w:t>
      </w:r>
      <w:r w:rsidRPr="003131DB">
        <w:rPr>
          <w:rFonts w:ascii="Arial" w:hAnsi="Arial" w:cs="Arial"/>
          <w:i/>
          <w:iCs/>
          <w:szCs w:val="20"/>
          <w:lang w:val="fr-FR"/>
        </w:rPr>
        <w:t xml:space="preserve">American </w:t>
      </w:r>
      <w:proofErr w:type="spellStart"/>
      <w:r w:rsidRPr="003131DB">
        <w:rPr>
          <w:rFonts w:ascii="Arial" w:hAnsi="Arial" w:cs="Arial"/>
          <w:i/>
          <w:iCs/>
          <w:szCs w:val="20"/>
          <w:lang w:val="fr-FR"/>
        </w:rPr>
        <w:t>Depositary</w:t>
      </w:r>
      <w:proofErr w:type="spellEnd"/>
      <w:r w:rsidRPr="003131DB">
        <w:rPr>
          <w:rFonts w:ascii="Arial" w:hAnsi="Arial" w:cs="Arial"/>
          <w:i/>
          <w:iCs/>
          <w:szCs w:val="20"/>
          <w:lang w:val="fr-FR"/>
        </w:rPr>
        <w:t xml:space="preserve"> </w:t>
      </w:r>
      <w:proofErr w:type="spellStart"/>
      <w:r w:rsidRPr="003131DB">
        <w:rPr>
          <w:rFonts w:ascii="Arial" w:hAnsi="Arial" w:cs="Arial"/>
          <w:i/>
          <w:iCs/>
          <w:szCs w:val="20"/>
          <w:lang w:val="fr-FR"/>
        </w:rPr>
        <w:t>Receipt</w:t>
      </w:r>
      <w:proofErr w:type="spellEnd"/>
      <w:r w:rsidRPr="003131DB">
        <w:rPr>
          <w:rFonts w:ascii="Arial" w:hAnsi="Arial" w:cs="Arial"/>
          <w:szCs w:val="20"/>
          <w:lang w:val="fr-FR"/>
        </w:rPr>
        <w:t xml:space="preserve">) sponsorisé de niveau 1, avec ses </w:t>
      </w:r>
      <w:proofErr w:type="spellStart"/>
      <w:r w:rsidRPr="003131DB">
        <w:rPr>
          <w:rFonts w:ascii="Arial" w:hAnsi="Arial" w:cs="Arial"/>
          <w:szCs w:val="20"/>
          <w:lang w:val="fr-FR"/>
        </w:rPr>
        <w:t>ADRs</w:t>
      </w:r>
      <w:proofErr w:type="spellEnd"/>
      <w:r w:rsidRPr="003131DB">
        <w:rPr>
          <w:rFonts w:ascii="Arial" w:hAnsi="Arial" w:cs="Arial"/>
          <w:szCs w:val="20"/>
          <w:lang w:val="fr-FR"/>
        </w:rPr>
        <w:t xml:space="preserve"> négociés sur les marchés de gré à gré. </w:t>
      </w:r>
    </w:p>
    <w:p w14:paraId="0C849241" w14:textId="3BD3F6A9" w:rsidR="006659AC" w:rsidRDefault="00682B72" w:rsidP="003131DB">
      <w:pPr>
        <w:spacing w:after="0"/>
        <w:ind w:left="-90"/>
        <w:jc w:val="both"/>
        <w:rPr>
          <w:rStyle w:val="Hyperlink"/>
          <w:rFonts w:ascii="Arial" w:hAnsi="Arial" w:cs="Arial"/>
          <w:szCs w:val="20"/>
          <w:lang w:val="fr-FR"/>
        </w:rPr>
      </w:pPr>
      <w:r w:rsidRPr="00C53AA2">
        <w:rPr>
          <w:rFonts w:ascii="Arial" w:hAnsi="Arial" w:cs="Arial"/>
          <w:szCs w:val="20"/>
          <w:lang w:val="fr-FR"/>
        </w:rPr>
        <w:t xml:space="preserve">Pour plus d'informations : </w:t>
      </w:r>
      <w:hyperlink r:id="rId10" w:history="1">
        <w:r w:rsidR="006659AC" w:rsidRPr="00EA6C21">
          <w:rPr>
            <w:rStyle w:val="Hyperlink"/>
            <w:rFonts w:ascii="Arial" w:hAnsi="Arial" w:cs="Arial"/>
            <w:szCs w:val="20"/>
            <w:lang w:val="fr-FR"/>
          </w:rPr>
          <w:t>www.ten.com</w:t>
        </w:r>
      </w:hyperlink>
      <w:bookmarkEnd w:id="1"/>
    </w:p>
    <w:p w14:paraId="66719C12" w14:textId="77777777" w:rsidR="00810BF7" w:rsidRDefault="00810BF7" w:rsidP="003131DB">
      <w:pPr>
        <w:spacing w:after="0"/>
        <w:ind w:left="-90"/>
        <w:jc w:val="both"/>
        <w:rPr>
          <w:rStyle w:val="Hyperlink"/>
          <w:rFonts w:ascii="Arial" w:hAnsi="Arial" w:cs="Arial"/>
          <w:szCs w:val="20"/>
          <w:lang w:val="fr-FR"/>
        </w:rPr>
      </w:pPr>
    </w:p>
    <w:p w14:paraId="207CC52C" w14:textId="77777777" w:rsidR="00810BF7" w:rsidRPr="00810BF7" w:rsidRDefault="00810BF7" w:rsidP="00810BF7">
      <w:pPr>
        <w:spacing w:after="0"/>
        <w:ind w:left="-90"/>
        <w:rPr>
          <w:rFonts w:ascii="Arial" w:hAnsi="Arial" w:cs="Arial"/>
          <w:b/>
          <w:noProof/>
          <w:color w:val="0070EF"/>
          <w:szCs w:val="32"/>
          <w:lang w:val="fr-FR"/>
        </w:rPr>
      </w:pPr>
      <w:r w:rsidRPr="00810BF7">
        <w:rPr>
          <w:rFonts w:ascii="Arial" w:hAnsi="Arial" w:cs="Arial"/>
          <w:b/>
          <w:noProof/>
          <w:color w:val="0070EF"/>
          <w:szCs w:val="32"/>
          <w:lang w:val="fr-FR"/>
        </w:rPr>
        <w:t>À propos de Shell Catalysts &amp; Technologies</w:t>
      </w:r>
    </w:p>
    <w:p w14:paraId="6DA4F050" w14:textId="77777777" w:rsidR="00810BF7" w:rsidRPr="00810BF7" w:rsidRDefault="00810BF7" w:rsidP="00810BF7">
      <w:pPr>
        <w:spacing w:after="0"/>
        <w:ind w:left="-90"/>
        <w:jc w:val="both"/>
        <w:rPr>
          <w:rFonts w:ascii="Arial" w:hAnsi="Arial" w:cs="Arial"/>
          <w:szCs w:val="20"/>
          <w:lang w:val="fr-FR"/>
        </w:rPr>
      </w:pPr>
    </w:p>
    <w:p w14:paraId="6BA42A44" w14:textId="77777777" w:rsidR="00810BF7" w:rsidRPr="00810BF7" w:rsidRDefault="00810BF7" w:rsidP="00810BF7">
      <w:pPr>
        <w:spacing w:after="0"/>
        <w:ind w:left="-90"/>
        <w:jc w:val="both"/>
        <w:rPr>
          <w:rFonts w:ascii="Arial" w:hAnsi="Arial" w:cs="Arial"/>
          <w:szCs w:val="20"/>
          <w:lang w:val="fr-FR"/>
        </w:rPr>
      </w:pPr>
      <w:r w:rsidRPr="00810BF7">
        <w:rPr>
          <w:rFonts w:ascii="Arial" w:hAnsi="Arial" w:cs="Arial"/>
          <w:szCs w:val="20"/>
          <w:lang w:val="fr-FR"/>
        </w:rPr>
        <w:t xml:space="preserve">Shell </w:t>
      </w:r>
      <w:proofErr w:type="spellStart"/>
      <w:r w:rsidRPr="00810BF7">
        <w:rPr>
          <w:rFonts w:ascii="Arial" w:hAnsi="Arial" w:cs="Arial"/>
          <w:szCs w:val="20"/>
          <w:lang w:val="fr-FR"/>
        </w:rPr>
        <w:t>Catalysts</w:t>
      </w:r>
      <w:proofErr w:type="spellEnd"/>
      <w:r w:rsidRPr="00810BF7">
        <w:rPr>
          <w:rFonts w:ascii="Arial" w:hAnsi="Arial" w:cs="Arial"/>
          <w:szCs w:val="20"/>
          <w:lang w:val="fr-FR"/>
        </w:rPr>
        <w:t xml:space="preserve"> &amp; Technologies a pour mission de fournir aux entreprises, qu'elles appartiennent ou non à Shell, les outils, les technologies et les connaissances nécessaires pour mener à bien la transition énergétique.</w:t>
      </w:r>
    </w:p>
    <w:p w14:paraId="13F660A0" w14:textId="77777777" w:rsidR="00810BF7" w:rsidRPr="00810BF7" w:rsidRDefault="00810BF7" w:rsidP="00810BF7">
      <w:pPr>
        <w:spacing w:after="0"/>
        <w:ind w:left="-90"/>
        <w:jc w:val="both"/>
        <w:rPr>
          <w:rFonts w:ascii="Arial" w:hAnsi="Arial" w:cs="Arial"/>
          <w:szCs w:val="20"/>
          <w:lang w:val="fr-FR"/>
        </w:rPr>
      </w:pPr>
    </w:p>
    <w:p w14:paraId="6DE59F95" w14:textId="77777777" w:rsidR="00810BF7" w:rsidRPr="00810BF7" w:rsidRDefault="00810BF7" w:rsidP="00810BF7">
      <w:pPr>
        <w:spacing w:after="0"/>
        <w:ind w:left="-90"/>
        <w:jc w:val="both"/>
        <w:rPr>
          <w:rFonts w:ascii="Arial" w:hAnsi="Arial" w:cs="Arial"/>
          <w:szCs w:val="20"/>
          <w:lang w:val="fr-FR"/>
        </w:rPr>
      </w:pPr>
      <w:r w:rsidRPr="00810BF7">
        <w:rPr>
          <w:rFonts w:ascii="Arial" w:hAnsi="Arial" w:cs="Arial"/>
          <w:szCs w:val="20"/>
          <w:lang w:val="fr-FR"/>
        </w:rPr>
        <w:t xml:space="preserve">Nous repoussons les limites dans le domaine de la transition énergétique. Depuis des décennies, nous mettons au point des innovations technologiques qui changent la donne pour aider à résoudre des problèmes que l'on croyait insolubles. Aujourd'hui, nous disposons, ou sommes en train de développer, un large éventail de solutions différenciées qui offrent des possibilités intéressantes de décarbonisation, notamment les biocarburants, la capture du carbone et les technologies de l'hydrogène décarbonisé (bleu). </w:t>
      </w:r>
    </w:p>
    <w:p w14:paraId="1D27FF95" w14:textId="77777777" w:rsidR="00810BF7" w:rsidRPr="00810BF7" w:rsidRDefault="00810BF7" w:rsidP="00810BF7">
      <w:pPr>
        <w:spacing w:after="0"/>
        <w:ind w:left="-90"/>
        <w:jc w:val="both"/>
        <w:rPr>
          <w:rFonts w:ascii="Arial" w:hAnsi="Arial" w:cs="Arial"/>
          <w:szCs w:val="20"/>
          <w:lang w:val="fr-FR"/>
        </w:rPr>
      </w:pPr>
    </w:p>
    <w:p w14:paraId="2284B2B3" w14:textId="77777777" w:rsidR="00810BF7" w:rsidRPr="00810BF7" w:rsidRDefault="00810BF7" w:rsidP="00810BF7">
      <w:pPr>
        <w:spacing w:after="0"/>
        <w:ind w:left="-90"/>
        <w:jc w:val="both"/>
        <w:rPr>
          <w:rFonts w:ascii="Arial" w:hAnsi="Arial" w:cs="Arial"/>
          <w:szCs w:val="20"/>
          <w:lang w:val="fr-FR"/>
        </w:rPr>
      </w:pPr>
      <w:r w:rsidRPr="00810BF7">
        <w:rPr>
          <w:rFonts w:ascii="Arial" w:hAnsi="Arial" w:cs="Arial"/>
          <w:szCs w:val="20"/>
          <w:lang w:val="fr-FR"/>
        </w:rPr>
        <w:t xml:space="preserve">Ce qui nous distingue, c'est la connaissance que nous avons acquise grâce à l'héritage de Shell en tant qu'exploitant de raffineries et d'usines pétrochimiques dans le monde entier. Cela nous donne également une perspective unique sur la manière dont les raffineurs peuvent rester compétitifs.  </w:t>
      </w:r>
    </w:p>
    <w:p w14:paraId="57C84003" w14:textId="77777777" w:rsidR="00810BF7" w:rsidRPr="00810BF7" w:rsidRDefault="00810BF7" w:rsidP="00810BF7">
      <w:pPr>
        <w:spacing w:after="0"/>
        <w:ind w:left="-90"/>
        <w:jc w:val="both"/>
        <w:rPr>
          <w:rFonts w:ascii="Arial" w:hAnsi="Arial" w:cs="Arial"/>
          <w:szCs w:val="20"/>
          <w:lang w:val="fr-FR"/>
        </w:rPr>
      </w:pPr>
    </w:p>
    <w:p w14:paraId="768EBD5E" w14:textId="384C9BC4" w:rsidR="00810BF7" w:rsidRDefault="00810BF7" w:rsidP="00810BF7">
      <w:pPr>
        <w:spacing w:after="0"/>
        <w:ind w:left="-90"/>
        <w:jc w:val="both"/>
        <w:rPr>
          <w:rFonts w:ascii="Arial" w:hAnsi="Arial" w:cs="Arial"/>
          <w:szCs w:val="20"/>
          <w:lang w:val="fr-FR"/>
        </w:rPr>
      </w:pPr>
      <w:r w:rsidRPr="00810BF7">
        <w:rPr>
          <w:rFonts w:ascii="Arial" w:hAnsi="Arial" w:cs="Arial"/>
          <w:szCs w:val="20"/>
          <w:lang w:val="fr-FR"/>
        </w:rPr>
        <w:t>Notre expertise de classe mondiale en matière de catalyseurs et de recherche et développement nous a permis d'établir un palmarès enviable dans le développement de zéolithes et de catalyseurs de pointe, de solvants avancés et de processus novateurs, et constitue une base solide pour notre développement technologique futur.</w:t>
      </w:r>
    </w:p>
    <w:p w14:paraId="3FCA9CFE" w14:textId="77777777" w:rsidR="006659AC" w:rsidRDefault="006659AC" w:rsidP="006659AC">
      <w:pPr>
        <w:spacing w:after="0"/>
        <w:ind w:left="-90"/>
        <w:jc w:val="both"/>
        <w:rPr>
          <w:rFonts w:ascii="Arial" w:hAnsi="Arial" w:cs="Arial"/>
          <w:szCs w:val="20"/>
          <w:lang w:val="fr-FR"/>
        </w:rPr>
      </w:pPr>
    </w:p>
    <w:p w14:paraId="6F71D2F0" w14:textId="329C4185" w:rsidR="006659AC" w:rsidRPr="006659AC" w:rsidRDefault="006659AC" w:rsidP="006659AC">
      <w:pPr>
        <w:spacing w:after="0"/>
        <w:ind w:left="-90"/>
        <w:jc w:val="both"/>
        <w:rPr>
          <w:rFonts w:ascii="Arial" w:hAnsi="Arial" w:cs="Arial"/>
          <w:szCs w:val="20"/>
          <w:lang w:val="fr-FR"/>
        </w:rPr>
      </w:pPr>
      <w:r w:rsidRPr="00842F43">
        <w:rPr>
          <w:rFonts w:ascii="Arial" w:hAnsi="Arial" w:cs="Arial"/>
          <w:noProof/>
          <w:color w:val="EE7766"/>
          <w:sz w:val="36"/>
          <w:szCs w:val="36"/>
          <w:shd w:val="clear" w:color="auto" w:fill="FFFFFF"/>
        </w:rPr>
        <mc:AlternateContent>
          <mc:Choice Requires="wps">
            <w:drawing>
              <wp:anchor distT="0" distB="0" distL="114300" distR="114300" simplePos="0" relativeHeight="251667456" behindDoc="0" locked="0" layoutInCell="1" allowOverlap="1" wp14:anchorId="73FACD79" wp14:editId="77A9916A">
                <wp:simplePos x="0" y="0"/>
                <wp:positionH relativeFrom="margin">
                  <wp:align>center</wp:align>
                </wp:positionH>
                <wp:positionV relativeFrom="paragraph">
                  <wp:posOffset>95885</wp:posOffset>
                </wp:positionV>
                <wp:extent cx="251460" cy="0"/>
                <wp:effectExtent l="19050" t="19050" r="34290" b="38100"/>
                <wp:wrapTopAndBottom/>
                <wp:docPr id="28" name="Connecteur droit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1460" cy="0"/>
                        </a:xfrm>
                        <a:prstGeom prst="line">
                          <a:avLst/>
                        </a:prstGeom>
                        <a:ln w="19050" cap="sq">
                          <a:gradFill>
                            <a:gsLst>
                              <a:gs pos="10000">
                                <a:srgbClr val="0070EF"/>
                              </a:gs>
                              <a:gs pos="88000">
                                <a:srgbClr val="80C7A0"/>
                              </a:gs>
                            </a:gsLst>
                            <a:lin ang="0" scaled="0"/>
                          </a:gra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EC9087" id="Connecteur droit 10" o:spid="_x0000_s1026" style="position:absolute;z-index:251667456;visibility:visible;mso-wrap-style:square;mso-wrap-distance-left:9pt;mso-wrap-distance-top:0;mso-wrap-distance-right:9pt;mso-wrap-distance-bottom:0;mso-position-horizontal:center;mso-position-horizontal-relative:margin;mso-position-vertical:absolute;mso-position-vertical-relative:text" from="0,7.55pt" to="19.8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" strokeweight="1.5pt">
                <v:stroke joinstyle="miter" endcap="square"/>
                <o:lock v:ext="edit" shapetype="f"/>
                <w10:wrap type="topAndBottom" anchorx="margin"/>
              </v:line>
            </w:pict>
          </mc:Fallback>
        </mc:AlternateContent>
      </w:r>
    </w:p>
    <w:p w14:paraId="782BF07B" w14:textId="77777777" w:rsidR="00810BF7" w:rsidRDefault="00810BF7" w:rsidP="006659AC">
      <w:pPr>
        <w:spacing w:after="0"/>
        <w:ind w:left="-90"/>
        <w:rPr>
          <w:rFonts w:ascii="Arial" w:hAnsi="Arial" w:cs="Arial"/>
          <w:b/>
          <w:noProof/>
          <w:color w:val="0070EF"/>
          <w:szCs w:val="32"/>
          <w:lang w:val="fr-FR"/>
        </w:rPr>
      </w:pPr>
      <w:bookmarkStart w:id="2" w:name="_Hlk163236846"/>
    </w:p>
    <w:p w14:paraId="795E2A7D" w14:textId="77777777" w:rsidR="00810BF7" w:rsidRDefault="00810BF7" w:rsidP="006659AC">
      <w:pPr>
        <w:spacing w:after="0"/>
        <w:ind w:left="-90"/>
        <w:rPr>
          <w:rFonts w:ascii="Arial" w:hAnsi="Arial" w:cs="Arial"/>
          <w:b/>
          <w:noProof/>
          <w:color w:val="0070EF"/>
          <w:szCs w:val="32"/>
          <w:lang w:val="fr-FR"/>
        </w:rPr>
      </w:pPr>
    </w:p>
    <w:p w14:paraId="50DCE7AD" w14:textId="77777777" w:rsidR="00810BF7" w:rsidRDefault="00810BF7" w:rsidP="006659AC">
      <w:pPr>
        <w:spacing w:after="0"/>
        <w:ind w:left="-90"/>
        <w:rPr>
          <w:rFonts w:ascii="Arial" w:hAnsi="Arial" w:cs="Arial"/>
          <w:b/>
          <w:noProof/>
          <w:color w:val="0070EF"/>
          <w:szCs w:val="32"/>
          <w:lang w:val="fr-FR"/>
        </w:rPr>
      </w:pPr>
    </w:p>
    <w:p w14:paraId="5DB683C0" w14:textId="2C90FA3E" w:rsidR="006659AC" w:rsidRDefault="006659AC" w:rsidP="006659AC">
      <w:pPr>
        <w:spacing w:after="0"/>
        <w:ind w:left="-90"/>
        <w:rPr>
          <w:rFonts w:ascii="Arial" w:hAnsi="Arial" w:cs="Arial"/>
          <w:b/>
          <w:noProof/>
          <w:color w:val="0070EF"/>
          <w:szCs w:val="32"/>
          <w:lang w:val="fr-FR"/>
        </w:rPr>
      </w:pPr>
      <w:r w:rsidRPr="006659AC">
        <w:rPr>
          <w:rFonts w:ascii="Arial" w:hAnsi="Arial" w:cs="Arial"/>
          <w:b/>
          <w:noProof/>
          <w:color w:val="0070EF"/>
          <w:szCs w:val="32"/>
          <w:lang w:val="fr-FR"/>
        </w:rPr>
        <w:lastRenderedPageBreak/>
        <w:t>Contacts</w:t>
      </w:r>
    </w:p>
    <w:p w14:paraId="2ED97C93" w14:textId="77777777" w:rsidR="006659AC" w:rsidRPr="006659AC" w:rsidRDefault="006659AC" w:rsidP="006659AC">
      <w:pPr>
        <w:spacing w:after="0"/>
        <w:ind w:left="-90"/>
        <w:rPr>
          <w:rFonts w:ascii="Arial" w:hAnsi="Arial" w:cs="Arial"/>
          <w:b/>
          <w:noProof/>
          <w:color w:val="0070EF"/>
          <w:szCs w:val="32"/>
          <w:lang w:val="fr-FR"/>
        </w:rPr>
      </w:pPr>
    </w:p>
    <w:p w14:paraId="37FF8398" w14:textId="315B3FB2" w:rsidR="006659AC" w:rsidRPr="006659AC" w:rsidRDefault="006659AC" w:rsidP="006659AC">
      <w:pPr>
        <w:spacing w:after="0"/>
        <w:ind w:left="-90"/>
        <w:jc w:val="both"/>
        <w:rPr>
          <w:rFonts w:ascii="Arial" w:hAnsi="Arial" w:cs="Arial"/>
          <w:b/>
          <w:bCs/>
          <w:szCs w:val="20"/>
          <w:lang w:val="fr-FR"/>
        </w:rPr>
      </w:pPr>
      <w:bookmarkStart w:id="3" w:name="_Hlk501738504"/>
      <w:r w:rsidRPr="006659AC">
        <w:rPr>
          <w:rFonts w:ascii="Arial" w:hAnsi="Arial" w:cs="Arial"/>
          <w:b/>
          <w:bCs/>
          <w:szCs w:val="20"/>
          <w:lang w:val="fr-FR"/>
        </w:rPr>
        <w:t>Relations investisseurs</w:t>
      </w:r>
      <w:bookmarkEnd w:id="3"/>
      <w:r>
        <w:rPr>
          <w:rFonts w:ascii="Arial" w:hAnsi="Arial" w:cs="Arial"/>
          <w:b/>
          <w:bCs/>
          <w:szCs w:val="20"/>
          <w:lang w:val="fr-FR"/>
        </w:rPr>
        <w:tab/>
      </w:r>
      <w:r>
        <w:rPr>
          <w:rFonts w:ascii="Arial" w:hAnsi="Arial" w:cs="Arial"/>
          <w:b/>
          <w:bCs/>
          <w:szCs w:val="20"/>
          <w:lang w:val="fr-FR"/>
        </w:rPr>
        <w:tab/>
      </w:r>
      <w:r>
        <w:rPr>
          <w:rFonts w:ascii="Arial" w:hAnsi="Arial" w:cs="Arial"/>
          <w:b/>
          <w:bCs/>
          <w:szCs w:val="20"/>
          <w:lang w:val="fr-FR"/>
        </w:rPr>
        <w:tab/>
        <w:t>Relations médias</w:t>
      </w:r>
    </w:p>
    <w:p w14:paraId="17B9BF0E" w14:textId="6D0CFDDF" w:rsidR="006659AC" w:rsidRPr="006659AC" w:rsidRDefault="006659AC" w:rsidP="006659AC">
      <w:pPr>
        <w:spacing w:after="0"/>
        <w:ind w:left="-90"/>
        <w:jc w:val="both"/>
        <w:rPr>
          <w:rFonts w:ascii="Arial" w:hAnsi="Arial" w:cs="Arial"/>
          <w:sz w:val="20"/>
          <w:szCs w:val="18"/>
          <w:lang w:val="fr-FR"/>
        </w:rPr>
      </w:pPr>
      <w:r w:rsidRPr="006659AC">
        <w:rPr>
          <w:rFonts w:ascii="Arial" w:hAnsi="Arial" w:cs="Arial"/>
          <w:sz w:val="20"/>
          <w:szCs w:val="18"/>
          <w:lang w:val="fr-FR"/>
        </w:rPr>
        <w:t>Phil</w:t>
      </w:r>
      <w:r w:rsidR="003131DB">
        <w:rPr>
          <w:rFonts w:ascii="Arial" w:hAnsi="Arial" w:cs="Arial"/>
          <w:sz w:val="20"/>
          <w:szCs w:val="18"/>
          <w:lang w:val="fr-FR"/>
        </w:rPr>
        <w:t>lip</w:t>
      </w:r>
      <w:r w:rsidRPr="006659AC">
        <w:rPr>
          <w:rFonts w:ascii="Arial" w:hAnsi="Arial" w:cs="Arial"/>
          <w:sz w:val="20"/>
          <w:szCs w:val="18"/>
          <w:lang w:val="fr-FR"/>
        </w:rPr>
        <w:t xml:space="preserve"> Lindsay</w:t>
      </w:r>
      <w:r w:rsidRPr="006659AC">
        <w:rPr>
          <w:rFonts w:ascii="Arial" w:hAnsi="Arial" w:cs="Arial"/>
          <w:sz w:val="20"/>
          <w:szCs w:val="18"/>
          <w:lang w:val="fr-FR"/>
        </w:rPr>
        <w:tab/>
      </w:r>
      <w:r w:rsidRPr="006659AC">
        <w:rPr>
          <w:rFonts w:ascii="Arial" w:hAnsi="Arial" w:cs="Arial"/>
          <w:sz w:val="20"/>
          <w:szCs w:val="18"/>
          <w:lang w:val="fr-FR"/>
        </w:rPr>
        <w:tab/>
      </w:r>
      <w:r w:rsidRPr="006659AC">
        <w:rPr>
          <w:rFonts w:ascii="Arial" w:hAnsi="Arial" w:cs="Arial"/>
          <w:sz w:val="20"/>
          <w:szCs w:val="18"/>
          <w:lang w:val="fr-FR"/>
        </w:rPr>
        <w:tab/>
      </w:r>
      <w:r w:rsidRPr="006659AC">
        <w:rPr>
          <w:rFonts w:ascii="Arial" w:hAnsi="Arial" w:cs="Arial"/>
          <w:sz w:val="20"/>
          <w:szCs w:val="18"/>
          <w:lang w:val="fr-FR"/>
        </w:rPr>
        <w:tab/>
      </w:r>
      <w:r w:rsidRPr="006659AC">
        <w:rPr>
          <w:rFonts w:ascii="Arial" w:hAnsi="Arial" w:cs="Arial"/>
          <w:sz w:val="20"/>
          <w:szCs w:val="18"/>
          <w:lang w:val="fr-FR"/>
        </w:rPr>
        <w:tab/>
        <w:t>Jason Hyonne</w:t>
      </w:r>
    </w:p>
    <w:p w14:paraId="5BDCC303" w14:textId="38B63215" w:rsidR="006659AC" w:rsidRPr="006659AC" w:rsidRDefault="006659AC" w:rsidP="006659AC">
      <w:pPr>
        <w:spacing w:after="0"/>
        <w:ind w:left="-90"/>
        <w:jc w:val="both"/>
        <w:rPr>
          <w:rFonts w:ascii="Arial" w:hAnsi="Arial" w:cs="Arial"/>
          <w:sz w:val="20"/>
          <w:szCs w:val="18"/>
          <w:lang w:val="fr-FR"/>
        </w:rPr>
      </w:pPr>
      <w:r w:rsidRPr="006659AC">
        <w:rPr>
          <w:rFonts w:ascii="Arial" w:hAnsi="Arial" w:cs="Arial"/>
          <w:sz w:val="20"/>
          <w:szCs w:val="18"/>
          <w:lang w:val="fr-FR"/>
        </w:rPr>
        <w:t>Vice-président Relations Investisseurs</w:t>
      </w:r>
      <w:r w:rsidRPr="006659AC">
        <w:rPr>
          <w:rFonts w:ascii="Arial" w:hAnsi="Arial" w:cs="Arial"/>
          <w:sz w:val="20"/>
          <w:szCs w:val="18"/>
          <w:lang w:val="fr-FR"/>
        </w:rPr>
        <w:tab/>
      </w:r>
      <w:r>
        <w:rPr>
          <w:rFonts w:ascii="Arial" w:hAnsi="Arial" w:cs="Arial"/>
          <w:sz w:val="20"/>
          <w:szCs w:val="18"/>
          <w:lang w:val="fr-FR"/>
        </w:rPr>
        <w:tab/>
      </w:r>
      <w:r w:rsidRPr="006659AC">
        <w:rPr>
          <w:rFonts w:ascii="Arial" w:hAnsi="Arial" w:cs="Arial"/>
          <w:sz w:val="20"/>
          <w:szCs w:val="18"/>
          <w:lang w:val="fr-FR"/>
        </w:rPr>
        <w:t>Responsable Relations presse &amp; Réseaux sociaux</w:t>
      </w:r>
    </w:p>
    <w:p w14:paraId="31CE78B0" w14:textId="0B376CD8" w:rsidR="006659AC" w:rsidRPr="006659AC" w:rsidRDefault="006659AC" w:rsidP="006659AC">
      <w:pPr>
        <w:spacing w:after="0"/>
        <w:ind w:left="-90"/>
        <w:jc w:val="both"/>
        <w:rPr>
          <w:rFonts w:ascii="Arial" w:hAnsi="Arial" w:cs="Arial"/>
          <w:sz w:val="20"/>
          <w:szCs w:val="18"/>
        </w:rPr>
      </w:pPr>
      <w:r w:rsidRPr="006659AC">
        <w:rPr>
          <w:rFonts w:ascii="Arial" w:hAnsi="Arial" w:cs="Arial"/>
          <w:sz w:val="20"/>
          <w:szCs w:val="18"/>
        </w:rPr>
        <w:t>Tel: +44 207 585 5051</w:t>
      </w:r>
      <w:r w:rsidRPr="006659AC">
        <w:rPr>
          <w:rFonts w:ascii="Arial" w:hAnsi="Arial" w:cs="Arial"/>
          <w:sz w:val="20"/>
          <w:szCs w:val="18"/>
        </w:rPr>
        <w:tab/>
      </w:r>
      <w:r w:rsidRPr="006659AC">
        <w:rPr>
          <w:rFonts w:ascii="Arial" w:hAnsi="Arial" w:cs="Arial"/>
          <w:sz w:val="20"/>
          <w:szCs w:val="18"/>
        </w:rPr>
        <w:tab/>
      </w:r>
      <w:r w:rsidRPr="006659AC">
        <w:rPr>
          <w:rFonts w:ascii="Arial" w:hAnsi="Arial" w:cs="Arial"/>
          <w:sz w:val="20"/>
          <w:szCs w:val="18"/>
        </w:rPr>
        <w:tab/>
      </w:r>
      <w:r w:rsidRPr="006659AC">
        <w:rPr>
          <w:rFonts w:ascii="Arial" w:hAnsi="Arial" w:cs="Arial"/>
          <w:sz w:val="20"/>
          <w:szCs w:val="18"/>
        </w:rPr>
        <w:tab/>
      </w:r>
      <w:r w:rsidRPr="006659AC">
        <w:rPr>
          <w:rFonts w:ascii="Arial" w:hAnsi="Arial" w:cs="Arial"/>
          <w:color w:val="000000"/>
          <w:sz w:val="20"/>
          <w:shd w:val="clear" w:color="auto" w:fill="FFFFFF"/>
        </w:rPr>
        <w:t>Tel: +33 1 47 78 22 89</w:t>
      </w:r>
    </w:p>
    <w:p w14:paraId="4578A845" w14:textId="3BBB7FC1" w:rsidR="006659AC" w:rsidRDefault="006659AC" w:rsidP="006659AC">
      <w:pPr>
        <w:spacing w:after="0"/>
        <w:ind w:left="-90"/>
        <w:jc w:val="both"/>
        <w:rPr>
          <w:rFonts w:ascii="Arial" w:hAnsi="Arial" w:cs="Arial"/>
          <w:sz w:val="20"/>
          <w:szCs w:val="18"/>
        </w:rPr>
      </w:pPr>
      <w:r w:rsidRPr="006659AC">
        <w:rPr>
          <w:rFonts w:ascii="Arial" w:hAnsi="Arial" w:cs="Arial"/>
          <w:sz w:val="20"/>
          <w:szCs w:val="18"/>
        </w:rPr>
        <w:t xml:space="preserve">Email: </w:t>
      </w:r>
      <w:hyperlink r:id="rId11" w:history="1">
        <w:r w:rsidRPr="003131DB">
          <w:rPr>
            <w:rStyle w:val="Hyperlink"/>
            <w:rFonts w:ascii="Arial" w:hAnsi="Arial" w:cs="Arial"/>
            <w:sz w:val="20"/>
            <w:szCs w:val="20"/>
            <w:shd w:val="clear" w:color="auto" w:fill="FFFFFF"/>
          </w:rPr>
          <w:t>Phillip Lindsay</w:t>
        </w:r>
      </w:hyperlink>
      <w:r w:rsidRPr="003131DB">
        <w:rPr>
          <w:sz w:val="18"/>
          <w:szCs w:val="16"/>
        </w:rPr>
        <w:tab/>
      </w:r>
      <w:r w:rsidRPr="006659AC">
        <w:rPr>
          <w:sz w:val="20"/>
          <w:szCs w:val="18"/>
        </w:rPr>
        <w:tab/>
      </w:r>
      <w:r w:rsidRPr="006659AC">
        <w:rPr>
          <w:sz w:val="20"/>
          <w:szCs w:val="18"/>
        </w:rPr>
        <w:tab/>
      </w:r>
      <w:r w:rsidRPr="006659AC">
        <w:rPr>
          <w:sz w:val="20"/>
          <w:szCs w:val="18"/>
        </w:rPr>
        <w:tab/>
      </w:r>
      <w:r w:rsidRPr="006659AC">
        <w:rPr>
          <w:rFonts w:ascii="Arial" w:hAnsi="Arial" w:cs="Arial"/>
          <w:color w:val="000000"/>
          <w:sz w:val="20"/>
          <w:shd w:val="clear" w:color="auto" w:fill="FFFFFF"/>
        </w:rPr>
        <w:t>Email</w:t>
      </w:r>
      <w:r>
        <w:rPr>
          <w:rFonts w:ascii="Arial" w:hAnsi="Arial" w:cs="Arial"/>
          <w:color w:val="000000"/>
          <w:sz w:val="20"/>
          <w:shd w:val="clear" w:color="auto" w:fill="FFFFFF"/>
        </w:rPr>
        <w:t>:</w:t>
      </w:r>
      <w:r w:rsidRPr="006659AC">
        <w:rPr>
          <w:rFonts w:ascii="Arial" w:hAnsi="Arial" w:cs="Arial"/>
          <w:color w:val="000000"/>
          <w:sz w:val="20"/>
          <w:shd w:val="clear" w:color="auto" w:fill="FFFFFF"/>
        </w:rPr>
        <w:t> </w:t>
      </w:r>
      <w:hyperlink r:id="rId12" w:history="1">
        <w:r w:rsidRPr="006659AC">
          <w:rPr>
            <w:rStyle w:val="Hyperlink"/>
            <w:rFonts w:ascii="Arial" w:hAnsi="Arial" w:cs="Arial"/>
            <w:sz w:val="20"/>
            <w:shd w:val="clear" w:color="auto" w:fill="FFFFFF"/>
          </w:rPr>
          <w:t>Jason Hyonne</w:t>
        </w:r>
      </w:hyperlink>
    </w:p>
    <w:bookmarkEnd w:id="2"/>
    <w:p w14:paraId="77024A72" w14:textId="4185CF90" w:rsidR="006659AC" w:rsidRPr="006659AC" w:rsidRDefault="00682B72" w:rsidP="006659AC">
      <w:pPr>
        <w:spacing w:after="0"/>
        <w:ind w:left="-90"/>
        <w:jc w:val="both"/>
        <w:rPr>
          <w:rFonts w:ascii="Arial" w:hAnsi="Arial" w:cs="Arial"/>
          <w:sz w:val="20"/>
          <w:szCs w:val="18"/>
        </w:rPr>
      </w:pPr>
      <w:r w:rsidRPr="00842F43">
        <w:rPr>
          <w:rFonts w:ascii="Arial" w:hAnsi="Arial" w:cs="Arial"/>
          <w:noProof/>
          <w:color w:val="EE7766"/>
          <w:sz w:val="36"/>
          <w:szCs w:val="36"/>
          <w:shd w:val="clear" w:color="auto" w:fill="FFFFFF"/>
        </w:rPr>
        <mc:AlternateContent>
          <mc:Choice Requires="wps">
            <w:drawing>
              <wp:anchor distT="0" distB="0" distL="114300" distR="114300" simplePos="0" relativeHeight="251665408" behindDoc="0" locked="0" layoutInCell="1" allowOverlap="1" wp14:anchorId="35A2365F" wp14:editId="409B0B19">
                <wp:simplePos x="0" y="0"/>
                <wp:positionH relativeFrom="margin">
                  <wp:align>center</wp:align>
                </wp:positionH>
                <wp:positionV relativeFrom="paragraph">
                  <wp:posOffset>267970</wp:posOffset>
                </wp:positionV>
                <wp:extent cx="252000" cy="0"/>
                <wp:effectExtent l="19050" t="19050" r="34290" b="38100"/>
                <wp:wrapTopAndBottom/>
                <wp:docPr id="2" name="Connecteur droit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2000" cy="0"/>
                        </a:xfrm>
                        <a:prstGeom prst="line">
                          <a:avLst/>
                        </a:prstGeom>
                        <a:ln w="19050" cap="sq">
                          <a:gradFill>
                            <a:gsLst>
                              <a:gs pos="10000">
                                <a:srgbClr val="0070EF"/>
                              </a:gs>
                              <a:gs pos="88000">
                                <a:srgbClr val="80C7A0"/>
                              </a:gs>
                            </a:gsLst>
                            <a:lin ang="0" scaled="0"/>
                          </a:gra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28F829" id="Connecteur droit 10" o:spid="_x0000_s1026" style="position:absolute;z-index:251665408;visibility:visible;mso-wrap-style:square;mso-wrap-distance-left:9pt;mso-wrap-distance-top:0;mso-wrap-distance-right:9pt;mso-wrap-distance-bottom:0;mso-position-horizontal:center;mso-position-horizontal-relative:margin;mso-position-vertical:absolute;mso-position-vertical-relative:text" from="0,21.1pt" to="19.85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" strokeweight="1.5pt">
                <v:stroke joinstyle="miter" endcap="square"/>
                <o:lock v:ext="edit" shapetype="f"/>
                <w10:wrap type="topAndBottom" anchorx="margin"/>
              </v:line>
            </w:pict>
          </mc:Fallback>
        </mc:AlternateContent>
      </w:r>
    </w:p>
    <w:p w14:paraId="40AA3C15" w14:textId="77777777" w:rsidR="006659AC" w:rsidRPr="005F5280" w:rsidRDefault="006659AC" w:rsidP="006659AC">
      <w:pPr>
        <w:spacing w:after="0"/>
        <w:ind w:left="-90"/>
        <w:jc w:val="both"/>
        <w:rPr>
          <w:rFonts w:ascii="Arial" w:hAnsi="Arial" w:cs="Arial"/>
          <w:szCs w:val="20"/>
        </w:rPr>
      </w:pPr>
    </w:p>
    <w:p w14:paraId="4A1F4D7F" w14:textId="36B67C98" w:rsidR="006659AC" w:rsidRPr="006659AC" w:rsidRDefault="006659AC" w:rsidP="006659AC">
      <w:pPr>
        <w:spacing w:after="0"/>
        <w:ind w:left="-90"/>
        <w:rPr>
          <w:rFonts w:ascii="Arial" w:hAnsi="Arial" w:cs="Arial"/>
          <w:b/>
          <w:noProof/>
          <w:color w:val="0070EF"/>
          <w:szCs w:val="32"/>
          <w:lang w:val="fr-FR"/>
        </w:rPr>
      </w:pPr>
      <w:r w:rsidRPr="006659AC">
        <w:rPr>
          <w:rFonts w:ascii="Arial" w:hAnsi="Arial" w:cs="Arial"/>
          <w:b/>
          <w:noProof/>
          <w:color w:val="0070EF"/>
          <w:szCs w:val="32"/>
          <w:lang w:val="fr-FR"/>
        </w:rPr>
        <w:t>Information importante pour les investisseurs et les actionnaires</w:t>
      </w:r>
    </w:p>
    <w:p w14:paraId="7180C3BA" w14:textId="77777777" w:rsidR="006659AC" w:rsidRDefault="006659AC" w:rsidP="006659AC">
      <w:pPr>
        <w:spacing w:after="0"/>
        <w:ind w:left="-90"/>
        <w:jc w:val="both"/>
        <w:rPr>
          <w:rFonts w:ascii="Arial" w:hAnsi="Arial" w:cs="Arial"/>
          <w:i/>
          <w:iCs/>
          <w:noProof/>
          <w:sz w:val="20"/>
          <w:szCs w:val="28"/>
          <w:lang w:val="fr-FR"/>
        </w:rPr>
      </w:pPr>
    </w:p>
    <w:p w14:paraId="28AE6828" w14:textId="11D69E3A" w:rsidR="006659AC" w:rsidRPr="006659AC" w:rsidRDefault="006659AC" w:rsidP="006659AC">
      <w:pPr>
        <w:spacing w:after="0"/>
        <w:ind w:left="-90"/>
        <w:jc w:val="both"/>
        <w:rPr>
          <w:rFonts w:ascii="Arial" w:hAnsi="Arial" w:cs="Arial"/>
          <w:i/>
          <w:iCs/>
          <w:noProof/>
          <w:sz w:val="20"/>
          <w:szCs w:val="28"/>
          <w:lang w:val="fr-FR"/>
        </w:rPr>
      </w:pPr>
      <w:r w:rsidRPr="006659AC">
        <w:rPr>
          <w:rFonts w:ascii="Arial" w:hAnsi="Arial" w:cs="Arial"/>
          <w:i/>
          <w:iCs/>
          <w:noProof/>
          <w:sz w:val="20"/>
          <w:szCs w:val="28"/>
          <w:lang w:val="fr-FR"/>
        </w:rPr>
        <w:t>Déclarations prospectives</w:t>
      </w:r>
    </w:p>
    <w:p w14:paraId="250A851C" w14:textId="77777777" w:rsidR="006659AC" w:rsidRPr="006659AC" w:rsidRDefault="006659AC" w:rsidP="006659AC">
      <w:pPr>
        <w:spacing w:after="0"/>
        <w:ind w:left="-90"/>
        <w:jc w:val="both"/>
        <w:rPr>
          <w:rFonts w:ascii="Arial" w:hAnsi="Arial" w:cs="Arial"/>
          <w:i/>
          <w:iCs/>
          <w:noProof/>
          <w:sz w:val="20"/>
          <w:szCs w:val="28"/>
          <w:lang w:val="fr-FR"/>
        </w:rPr>
      </w:pPr>
    </w:p>
    <w:p w14:paraId="65C68ACE" w14:textId="77777777" w:rsidR="006659AC" w:rsidRPr="006659AC" w:rsidRDefault="006659AC" w:rsidP="006659AC">
      <w:pPr>
        <w:spacing w:after="0"/>
        <w:ind w:left="-90"/>
        <w:jc w:val="both"/>
        <w:rPr>
          <w:rFonts w:ascii="Arial" w:hAnsi="Arial" w:cs="Arial"/>
          <w:i/>
          <w:iCs/>
          <w:noProof/>
          <w:sz w:val="20"/>
          <w:szCs w:val="28"/>
          <w:lang w:val="fr-FR"/>
        </w:rPr>
      </w:pPr>
    </w:p>
    <w:p w14:paraId="35EA388A" w14:textId="7F4B67ED" w:rsidR="00307272" w:rsidRPr="006659AC" w:rsidRDefault="006659AC" w:rsidP="004A1053">
      <w:pPr>
        <w:spacing w:after="0"/>
        <w:ind w:left="-90"/>
        <w:jc w:val="both"/>
        <w:rPr>
          <w:rFonts w:ascii="Arial" w:hAnsi="Arial" w:cs="Arial"/>
          <w:i/>
          <w:iCs/>
          <w:noProof/>
          <w:sz w:val="20"/>
          <w:szCs w:val="28"/>
          <w:lang w:val="fr-FR"/>
        </w:rPr>
      </w:pPr>
      <w:r w:rsidRPr="006659AC">
        <w:rPr>
          <w:rFonts w:ascii="Arial" w:hAnsi="Arial" w:cs="Arial"/>
          <w:i/>
          <w:iCs/>
          <w:noProof/>
          <w:sz w:val="20"/>
          <w:szCs w:val="28"/>
          <w:lang w:val="fr-FR"/>
        </w:rPr>
        <w:t>Le présent communiqué de presse contient des déclarations prospectives qui reflètent les intentions, les convictions ou les attentes et projections actuelles de Technip Energies (la « Société ») concernant les résultats d’exploitation futurs de la Société, les revenus anticipés, les bénéfices, les flux de trésorerie, la situation financière, la liquidité, la performance, les perspectives, la croissance anticipée, les stratégies et les opportunités, ainsi que les marchés sur lesquels la Société opère. Les déclarations prospectives sont souvent identifiées par les mots « croire », « s’attendre à », « anticiper », « planifier », « avoir l’intention », « prévoir », « devrait », « pourrait », « peut », « estimer », « perspectives », et des expressions similaires, y compris la forme négative de celles-ci. L’absence de ces mots ne signifie toutefois pas que les déclarations ne sont pas prospectives. Ces déclarations prospectives sont basées sur les attentes, convictions et hypothèses actuelles de la Société concernant les développements et conditions commerciales futurs et leur effet potentiel sur la Société. Bien que la Société estime que ces déclarations prospectives sont raisonnables au moment où elles sont émises, il n’y a aucune garantie que les développements futurs affectant la Société seront ceux que la Société anticipe.</w:t>
      </w:r>
    </w:p>
    <w:p w14:paraId="27A2E60F" w14:textId="77777777" w:rsidR="006659AC" w:rsidRPr="006659AC" w:rsidRDefault="006659AC" w:rsidP="006659AC">
      <w:pPr>
        <w:spacing w:after="0"/>
        <w:ind w:left="-90"/>
        <w:jc w:val="both"/>
        <w:rPr>
          <w:rFonts w:ascii="Arial" w:hAnsi="Arial" w:cs="Arial"/>
          <w:i/>
          <w:iCs/>
          <w:noProof/>
          <w:sz w:val="20"/>
          <w:szCs w:val="28"/>
          <w:lang w:val="fr-FR"/>
        </w:rPr>
      </w:pPr>
    </w:p>
    <w:p w14:paraId="3A923870" w14:textId="40DC3A8E" w:rsidR="006659AC" w:rsidRDefault="006659AC" w:rsidP="006659AC">
      <w:pPr>
        <w:spacing w:after="0"/>
        <w:ind w:left="-90"/>
        <w:jc w:val="both"/>
        <w:rPr>
          <w:rFonts w:ascii="Arial" w:hAnsi="Arial" w:cs="Arial"/>
          <w:i/>
          <w:iCs/>
          <w:sz w:val="20"/>
          <w:szCs w:val="20"/>
          <w:lang w:val="fr-FR"/>
        </w:rPr>
      </w:pPr>
      <w:r w:rsidRPr="006659AC">
        <w:rPr>
          <w:rFonts w:ascii="Arial" w:hAnsi="Arial" w:cs="Arial"/>
          <w:i/>
          <w:iCs/>
          <w:sz w:val="20"/>
          <w:szCs w:val="20"/>
          <w:lang w:val="fr-FR"/>
        </w:rPr>
        <w:t>Pour plus d’informations sur les facteurs importants connus susceptibles d’entraîner une différence entre les résultats réels et les résultats projetés, veuillez consulter les facteurs de risque de la Société énoncés dans le Rapport Financier Annuel 2023 déposé le 8 mars 2024 auprès de l’</w:t>
      </w:r>
      <w:proofErr w:type="spellStart"/>
      <w:r w:rsidRPr="006659AC">
        <w:rPr>
          <w:rFonts w:ascii="Arial" w:hAnsi="Arial" w:cs="Arial"/>
          <w:i/>
          <w:iCs/>
          <w:sz w:val="20"/>
          <w:szCs w:val="20"/>
          <w:lang w:val="fr-FR"/>
        </w:rPr>
        <w:t>Autoriteit</w:t>
      </w:r>
      <w:proofErr w:type="spellEnd"/>
      <w:r w:rsidRPr="006659AC">
        <w:rPr>
          <w:rFonts w:ascii="Arial" w:hAnsi="Arial" w:cs="Arial"/>
          <w:i/>
          <w:iCs/>
          <w:sz w:val="20"/>
          <w:szCs w:val="20"/>
          <w:lang w:val="fr-FR"/>
        </w:rPr>
        <w:t xml:space="preserve"> </w:t>
      </w:r>
      <w:proofErr w:type="spellStart"/>
      <w:r w:rsidRPr="006659AC">
        <w:rPr>
          <w:rFonts w:ascii="Arial" w:hAnsi="Arial" w:cs="Arial"/>
          <w:i/>
          <w:iCs/>
          <w:sz w:val="20"/>
          <w:szCs w:val="20"/>
          <w:lang w:val="fr-FR"/>
        </w:rPr>
        <w:t>Financiële</w:t>
      </w:r>
      <w:proofErr w:type="spellEnd"/>
      <w:r w:rsidRPr="006659AC">
        <w:rPr>
          <w:rFonts w:ascii="Arial" w:hAnsi="Arial" w:cs="Arial"/>
          <w:i/>
          <w:iCs/>
          <w:sz w:val="20"/>
          <w:szCs w:val="20"/>
          <w:lang w:val="fr-FR"/>
        </w:rPr>
        <w:t xml:space="preserve"> </w:t>
      </w:r>
      <w:proofErr w:type="spellStart"/>
      <w:r w:rsidRPr="006659AC">
        <w:rPr>
          <w:rFonts w:ascii="Arial" w:hAnsi="Arial" w:cs="Arial"/>
          <w:i/>
          <w:iCs/>
          <w:sz w:val="20"/>
          <w:szCs w:val="20"/>
          <w:lang w:val="fr-FR"/>
        </w:rPr>
        <w:t>Markten</w:t>
      </w:r>
      <w:proofErr w:type="spellEnd"/>
      <w:r w:rsidRPr="006659AC">
        <w:rPr>
          <w:rFonts w:ascii="Arial" w:hAnsi="Arial" w:cs="Arial"/>
          <w:i/>
          <w:iCs/>
          <w:sz w:val="20"/>
          <w:szCs w:val="20"/>
          <w:lang w:val="fr-FR"/>
        </w:rPr>
        <w:t xml:space="preserve"> (AFM) aux Pays-Bas et de l’Autorité des marchés financiers (AMF) en France, qui comprennent une analyse des facteurs qui pourraient affecter la performance future de la Société et des marchés sur lesquels la Société opère.</w:t>
      </w:r>
    </w:p>
    <w:p w14:paraId="3FA87513" w14:textId="77777777" w:rsidR="00307272" w:rsidRDefault="00307272" w:rsidP="00307272">
      <w:pPr>
        <w:spacing w:after="0"/>
        <w:ind w:left="-90"/>
        <w:jc w:val="both"/>
        <w:rPr>
          <w:rFonts w:ascii="Arial" w:hAnsi="Arial" w:cs="Arial"/>
          <w:i/>
          <w:iCs/>
          <w:noProof/>
          <w:sz w:val="20"/>
          <w:szCs w:val="28"/>
          <w:lang w:val="fr-FR"/>
        </w:rPr>
      </w:pPr>
    </w:p>
    <w:p w14:paraId="16711463" w14:textId="21BEE4EC" w:rsidR="00307272" w:rsidRDefault="00307272" w:rsidP="00307272">
      <w:pPr>
        <w:spacing w:after="0"/>
        <w:ind w:left="-90"/>
        <w:jc w:val="both"/>
        <w:rPr>
          <w:rFonts w:ascii="Arial" w:hAnsi="Arial" w:cs="Arial"/>
          <w:i/>
          <w:iCs/>
          <w:noProof/>
          <w:sz w:val="20"/>
          <w:szCs w:val="28"/>
          <w:lang w:val="fr-FR"/>
        </w:rPr>
      </w:pPr>
      <w:r w:rsidRPr="006659AC">
        <w:rPr>
          <w:rFonts w:ascii="Arial" w:hAnsi="Arial" w:cs="Arial"/>
          <w:i/>
          <w:iCs/>
          <w:noProof/>
          <w:sz w:val="20"/>
          <w:szCs w:val="28"/>
          <w:lang w:val="fr-FR"/>
        </w:rPr>
        <w:t>Toutes les déclarations prospectives de la Société impliquent des risques et des incertitudes, dont certains sont significatifs ou indépendants de la volonté de la Société, ainsi que des hypothèses qui pourraient faire en sorte que les résultats réalisés diffèrent sensiblement de l’expérience historique de la Société et des attentes ou projections actuelles de la Société. Si un ou plusieurs de ces risques ou incertitudes se matérialisaient, ou si les hypothèses sous-jacentes s’avéraient incorrectes, les résultats réels pourraient différer sensiblement de ceux énoncés dans les déclarations prospectives.</w:t>
      </w:r>
    </w:p>
    <w:p w14:paraId="2A9B151D" w14:textId="77777777" w:rsidR="00E553C0" w:rsidRDefault="00E553C0" w:rsidP="00307272">
      <w:pPr>
        <w:spacing w:after="0"/>
        <w:ind w:left="-90"/>
        <w:jc w:val="both"/>
        <w:rPr>
          <w:rFonts w:ascii="Arial" w:hAnsi="Arial" w:cs="Arial"/>
          <w:i/>
          <w:iCs/>
          <w:noProof/>
          <w:sz w:val="20"/>
          <w:szCs w:val="28"/>
          <w:lang w:val="fr-FR"/>
        </w:rPr>
      </w:pPr>
    </w:p>
    <w:p w14:paraId="752D221E" w14:textId="77777777" w:rsidR="00E553C0" w:rsidRPr="006659AC" w:rsidRDefault="00E553C0" w:rsidP="00E553C0">
      <w:pPr>
        <w:spacing w:after="0"/>
        <w:ind w:left="-90"/>
        <w:jc w:val="both"/>
        <w:rPr>
          <w:rFonts w:ascii="Arial" w:hAnsi="Arial" w:cs="Arial"/>
          <w:i/>
          <w:iCs/>
          <w:sz w:val="20"/>
          <w:szCs w:val="20"/>
          <w:lang w:val="fr-FR"/>
        </w:rPr>
      </w:pPr>
      <w:r w:rsidRPr="006659AC">
        <w:rPr>
          <w:rFonts w:ascii="Arial" w:hAnsi="Arial" w:cs="Arial"/>
          <w:i/>
          <w:iCs/>
          <w:sz w:val="20"/>
          <w:szCs w:val="20"/>
          <w:lang w:val="fr-FR"/>
        </w:rPr>
        <w:t>Les déclarations prospectives comportent des risques et des incertitudes inhérents et ne sont valables qu’à la date à laquelle elles sont faites. La Société ne s’engage pas à mettre à jour les déclarations prospectives à la lumière de nouvelles informations ou d’événements futurs et ne le fera pas nécessairement, sauf dans la mesure requise par la loi applicable.</w:t>
      </w:r>
    </w:p>
    <w:p w14:paraId="1983ED23" w14:textId="77777777" w:rsidR="00E553C0" w:rsidRPr="006659AC" w:rsidRDefault="00E553C0" w:rsidP="00307272">
      <w:pPr>
        <w:spacing w:after="0"/>
        <w:ind w:left="-90"/>
        <w:jc w:val="both"/>
        <w:rPr>
          <w:rFonts w:ascii="Arial" w:hAnsi="Arial" w:cs="Arial"/>
          <w:i/>
          <w:iCs/>
          <w:noProof/>
          <w:sz w:val="20"/>
          <w:szCs w:val="28"/>
          <w:lang w:val="fr-FR"/>
        </w:rPr>
      </w:pPr>
    </w:p>
    <w:p w14:paraId="7D8FF32E" w14:textId="3360EA9B" w:rsidR="00307272" w:rsidRPr="006659AC" w:rsidRDefault="00307272" w:rsidP="006659AC">
      <w:pPr>
        <w:spacing w:after="0"/>
        <w:ind w:left="-90"/>
        <w:jc w:val="both"/>
        <w:rPr>
          <w:rFonts w:ascii="Arial" w:hAnsi="Arial" w:cs="Arial"/>
          <w:i/>
          <w:iCs/>
          <w:sz w:val="20"/>
          <w:szCs w:val="18"/>
          <w:lang w:val="fr-FR"/>
        </w:rPr>
      </w:pPr>
      <w:r w:rsidRPr="00A010D6">
        <w:rPr>
          <w:rFonts w:ascii="Arial" w:hAnsi="Arial" w:cs="Arial"/>
          <w:i/>
          <w:iCs/>
          <w:noProof/>
          <w:color w:val="EE7766"/>
          <w:sz w:val="32"/>
          <w:szCs w:val="32"/>
          <w:shd w:val="clear" w:color="auto" w:fill="FFFFFF"/>
        </w:rPr>
        <mc:AlternateContent>
          <mc:Choice Requires="wps">
            <w:drawing>
              <wp:anchor distT="0" distB="0" distL="114300" distR="114300" simplePos="0" relativeHeight="251669504" behindDoc="0" locked="0" layoutInCell="1" allowOverlap="1" wp14:anchorId="5EC5CE9A" wp14:editId="01BB2F3A">
                <wp:simplePos x="0" y="0"/>
                <wp:positionH relativeFrom="margin">
                  <wp:posOffset>2604977</wp:posOffset>
                </wp:positionH>
                <wp:positionV relativeFrom="paragraph">
                  <wp:posOffset>368521</wp:posOffset>
                </wp:positionV>
                <wp:extent cx="251460" cy="0"/>
                <wp:effectExtent l="19050" t="19050" r="34290" b="38100"/>
                <wp:wrapTopAndBottom/>
                <wp:docPr id="1" name="Connecteur droit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1460" cy="0"/>
                        </a:xfrm>
                        <a:prstGeom prst="line">
                          <a:avLst/>
                        </a:prstGeom>
                        <a:ln w="19050" cap="sq">
                          <a:gradFill>
                            <a:gsLst>
                              <a:gs pos="10000">
                                <a:srgbClr val="0070EF"/>
                              </a:gs>
                              <a:gs pos="88000">
                                <a:srgbClr val="80C7A0"/>
                              </a:gs>
                            </a:gsLst>
                            <a:lin ang="0" scaled="0"/>
                          </a:gra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517DDF" id="Connecteur droit 10" o:spid="_x0000_s1026" style="position:absolute;z-index:251669504;visibility:visible;mso-wrap-style:square;mso-wrap-distance-left:9pt;mso-wrap-distance-top:0;mso-wrap-distance-right:9pt;mso-wrap-distance-bottom:0;mso-position-horizontal:absolute;mso-position-horizontal-relative:margin;mso-position-vertical:absolute;mso-position-vertical-relative:text" from="205.1pt,29pt" to="224.9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" strokeweight="1.5pt">
                <v:stroke joinstyle="miter" endcap="square"/>
                <o:lock v:ext="edit" shapetype="f"/>
                <w10:wrap type="topAndBottom" anchorx="margin"/>
              </v:line>
            </w:pict>
          </mc:Fallback>
        </mc:AlternateContent>
      </w:r>
    </w:p>
    <w:sectPr w:rsidR="00307272" w:rsidRPr="006659AC" w:rsidSect="003131DB">
      <w:headerReference w:type="default" r:id="rId13"/>
      <w:pgSz w:w="11906" w:h="16838"/>
      <w:pgMar w:top="1417" w:right="1417" w:bottom="1417" w:left="1417" w:header="170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9CF62A" w14:textId="77777777" w:rsidR="0060685D" w:rsidRDefault="0060685D" w:rsidP="00A77ADF">
      <w:pPr>
        <w:spacing w:after="0" w:line="240" w:lineRule="auto"/>
      </w:pPr>
      <w:r>
        <w:separator/>
      </w:r>
    </w:p>
  </w:endnote>
  <w:endnote w:type="continuationSeparator" w:id="0">
    <w:p w14:paraId="5B1B8832" w14:textId="77777777" w:rsidR="0060685D" w:rsidRDefault="0060685D" w:rsidP="00A77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A1F8FD" w14:textId="77777777" w:rsidR="0060685D" w:rsidRDefault="0060685D" w:rsidP="00A77ADF">
      <w:pPr>
        <w:spacing w:after="0" w:line="240" w:lineRule="auto"/>
      </w:pPr>
      <w:r>
        <w:separator/>
      </w:r>
    </w:p>
  </w:footnote>
  <w:footnote w:type="continuationSeparator" w:id="0">
    <w:p w14:paraId="5CB05C55" w14:textId="77777777" w:rsidR="0060685D" w:rsidRDefault="0060685D" w:rsidP="00A77A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FEC490" w14:textId="14DBE1AA" w:rsidR="00491E78" w:rsidRDefault="003131DB">
    <w:pPr>
      <w:pStyle w:val="Header"/>
    </w:pPr>
    <w:r>
      <w:rPr>
        <w:noProof/>
      </w:rPr>
      <mc:AlternateContent>
        <mc:Choice Requires="wps">
          <w:drawing>
            <wp:anchor distT="45720" distB="45720" distL="114300" distR="114300" simplePos="0" relativeHeight="251660288" behindDoc="0" locked="0" layoutInCell="1" allowOverlap="1" wp14:anchorId="52644B60" wp14:editId="526CFFD0">
              <wp:simplePos x="0" y="0"/>
              <wp:positionH relativeFrom="margin">
                <wp:align>right</wp:align>
              </wp:positionH>
              <wp:positionV relativeFrom="paragraph">
                <wp:posOffset>-648335</wp:posOffset>
              </wp:positionV>
              <wp:extent cx="2695575" cy="704850"/>
              <wp:effectExtent l="0" t="0" r="9525"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704850"/>
                      </a:xfrm>
                      <a:prstGeom prst="rect">
                        <a:avLst/>
                      </a:prstGeom>
                      <a:solidFill>
                        <a:srgbClr val="FFFFFF"/>
                      </a:solidFill>
                      <a:ln w="9525">
                        <a:noFill/>
                        <a:miter lim="800000"/>
                        <a:headEnd/>
                        <a:tailEnd/>
                      </a:ln>
                    </wps:spPr>
                    <wps:txbx>
                      <w:txbxContent>
                        <w:p w14:paraId="685AF0CA" w14:textId="6FA4C7FB" w:rsidR="00FD16B2" w:rsidRPr="00682B72" w:rsidRDefault="00682B72" w:rsidP="00FD16B2">
                          <w:pPr>
                            <w:spacing w:after="360"/>
                            <w:jc w:val="right"/>
                            <w:rPr>
                              <w:rFonts w:ascii="Arial" w:hAnsi="Arial" w:cs="Arial"/>
                              <w:noProof/>
                              <w:color w:val="EE7766"/>
                              <w:lang w:val="fr-FR"/>
                            </w:rPr>
                          </w:pPr>
                          <w:r w:rsidRPr="00682B72">
                            <w:rPr>
                              <w:rFonts w:ascii="Arial" w:hAnsi="Arial" w:cs="Arial"/>
                              <w:b/>
                              <w:noProof/>
                              <w:color w:val="EE7766"/>
                              <w:sz w:val="28"/>
                              <w:lang w:val="fr-FR"/>
                            </w:rPr>
                            <w:t>Communiqué de presse</w:t>
                          </w:r>
                          <w:r w:rsidR="00FD16B2" w:rsidRPr="00682B72">
                            <w:rPr>
                              <w:rFonts w:ascii="Arial" w:hAnsi="Arial" w:cs="Arial"/>
                              <w:noProof/>
                              <w:color w:val="EE7766"/>
                              <w:lang w:val="fr-FR"/>
                            </w:rPr>
                            <w:br/>
                            <w:t>Pa</w:t>
                          </w:r>
                          <w:r w:rsidR="00A76896">
                            <w:rPr>
                              <w:rFonts w:ascii="Arial" w:hAnsi="Arial" w:cs="Arial"/>
                              <w:noProof/>
                              <w:color w:val="EE7766"/>
                              <w:lang w:val="fr-FR"/>
                            </w:rPr>
                            <w:t>ris,</w:t>
                          </w:r>
                          <w:r w:rsidR="00E337C4" w:rsidRPr="00682B72">
                            <w:rPr>
                              <w:rFonts w:ascii="Arial" w:hAnsi="Arial" w:cs="Arial"/>
                              <w:noProof/>
                              <w:color w:val="EE7766"/>
                              <w:lang w:val="fr-FR"/>
                            </w:rPr>
                            <w:t xml:space="preserve"> </w:t>
                          </w:r>
                          <w:r>
                            <w:rPr>
                              <w:rFonts w:ascii="Arial" w:hAnsi="Arial" w:cs="Arial"/>
                              <w:noProof/>
                              <w:color w:val="EE7766"/>
                              <w:lang w:val="fr-FR"/>
                            </w:rPr>
                            <w:t xml:space="preserve">le </w:t>
                          </w:r>
                          <w:r w:rsidR="00810BF7">
                            <w:rPr>
                              <w:rFonts w:ascii="Arial" w:hAnsi="Arial" w:cs="Arial"/>
                              <w:noProof/>
                              <w:color w:val="EE7766"/>
                              <w:lang w:val="fr-FR"/>
                            </w:rPr>
                            <w:t>2</w:t>
                          </w:r>
                          <w:r w:rsidR="00704FF1">
                            <w:rPr>
                              <w:rFonts w:ascii="Arial" w:hAnsi="Arial" w:cs="Arial"/>
                              <w:noProof/>
                              <w:color w:val="EE7766"/>
                              <w:lang w:val="fr-FR"/>
                            </w:rPr>
                            <w:t>7</w:t>
                          </w:r>
                          <w:r>
                            <w:rPr>
                              <w:rFonts w:ascii="Arial" w:hAnsi="Arial" w:cs="Arial"/>
                              <w:noProof/>
                              <w:color w:val="EE7766"/>
                              <w:lang w:val="fr-FR"/>
                            </w:rPr>
                            <w:t xml:space="preserve"> </w:t>
                          </w:r>
                          <w:r w:rsidR="00810BF7">
                            <w:rPr>
                              <w:rFonts w:ascii="Arial" w:hAnsi="Arial" w:cs="Arial"/>
                              <w:noProof/>
                              <w:color w:val="EE7766"/>
                              <w:lang w:val="fr-FR"/>
                            </w:rPr>
                            <w:t>juin</w:t>
                          </w:r>
                          <w:r>
                            <w:rPr>
                              <w:rFonts w:ascii="Arial" w:hAnsi="Arial" w:cs="Arial"/>
                              <w:noProof/>
                              <w:color w:val="EE7766"/>
                              <w:lang w:val="fr-FR"/>
                            </w:rPr>
                            <w:t xml:space="preserve"> </w:t>
                          </w:r>
                          <w:r w:rsidR="00E337C4" w:rsidRPr="00682B72">
                            <w:rPr>
                              <w:rFonts w:ascii="Arial" w:hAnsi="Arial" w:cs="Arial"/>
                              <w:noProof/>
                              <w:color w:val="EE7766"/>
                              <w:lang w:val="fr-FR"/>
                            </w:rPr>
                            <w:t>202</w:t>
                          </w:r>
                          <w:r w:rsidR="003131DB">
                            <w:rPr>
                              <w:rFonts w:ascii="Arial" w:hAnsi="Arial" w:cs="Arial"/>
                              <w:noProof/>
                              <w:color w:val="EE7766"/>
                              <w:lang w:val="fr-FR"/>
                            </w:rPr>
                            <w:t>4</w:t>
                          </w:r>
                        </w:p>
                        <w:p w14:paraId="03D469E6" w14:textId="77777777" w:rsidR="00FD16B2" w:rsidRPr="00682B72" w:rsidRDefault="00FD16B2">
                          <w:pPr>
                            <w:rPr>
                              <w:lang w:val="fr-F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644B60" id="_x0000_t202" coordsize="21600,21600" o:spt="202" path="m,l,21600r21600,l21600,xe">
              <v:stroke joinstyle="miter"/>
              <v:path gradientshapeok="t" o:connecttype="rect"/>
            </v:shapetype>
            <v:shape id="Zone de texte 2" o:spid="_x0000_s1026" type="#_x0000_t202" style="position:absolute;margin-left:161.05pt;margin-top:-51.05pt;width:212.25pt;height:55.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" stroked="f">
              <v:textbox>
                <w:txbxContent>
                  <w:p w14:paraId="685AF0CA" w14:textId="6FA4C7FB" w:rsidR="00FD16B2" w:rsidRPr="00682B72" w:rsidRDefault="00682B72" w:rsidP="00FD16B2">
                    <w:pPr>
                      <w:spacing w:after="360"/>
                      <w:jc w:val="right"/>
                      <w:rPr>
                        <w:rFonts w:ascii="Arial" w:hAnsi="Arial" w:cs="Arial"/>
                        <w:noProof/>
                        <w:color w:val="EE7766"/>
                        <w:lang w:val="fr-FR"/>
                      </w:rPr>
                    </w:pPr>
                    <w:r w:rsidRPr="00682B72">
                      <w:rPr>
                        <w:rFonts w:ascii="Arial" w:hAnsi="Arial" w:cs="Arial"/>
                        <w:b/>
                        <w:noProof/>
                        <w:color w:val="EE7766"/>
                        <w:sz w:val="28"/>
                        <w:lang w:val="fr-FR"/>
                      </w:rPr>
                      <w:t>Communiqué de presse</w:t>
                    </w:r>
                    <w:r w:rsidR="00FD16B2" w:rsidRPr="00682B72">
                      <w:rPr>
                        <w:rFonts w:ascii="Arial" w:hAnsi="Arial" w:cs="Arial"/>
                        <w:noProof/>
                        <w:color w:val="EE7766"/>
                        <w:lang w:val="fr-FR"/>
                      </w:rPr>
                      <w:br/>
                      <w:t>Pa</w:t>
                    </w:r>
                    <w:r w:rsidR="00A76896">
                      <w:rPr>
                        <w:rFonts w:ascii="Arial" w:hAnsi="Arial" w:cs="Arial"/>
                        <w:noProof/>
                        <w:color w:val="EE7766"/>
                        <w:lang w:val="fr-FR"/>
                      </w:rPr>
                      <w:t>ris,</w:t>
                    </w:r>
                    <w:r w:rsidR="00E337C4" w:rsidRPr="00682B72">
                      <w:rPr>
                        <w:rFonts w:ascii="Arial" w:hAnsi="Arial" w:cs="Arial"/>
                        <w:noProof/>
                        <w:color w:val="EE7766"/>
                        <w:lang w:val="fr-FR"/>
                      </w:rPr>
                      <w:t xml:space="preserve"> </w:t>
                    </w:r>
                    <w:r>
                      <w:rPr>
                        <w:rFonts w:ascii="Arial" w:hAnsi="Arial" w:cs="Arial"/>
                        <w:noProof/>
                        <w:color w:val="EE7766"/>
                        <w:lang w:val="fr-FR"/>
                      </w:rPr>
                      <w:t xml:space="preserve">le </w:t>
                    </w:r>
                    <w:r w:rsidR="00810BF7">
                      <w:rPr>
                        <w:rFonts w:ascii="Arial" w:hAnsi="Arial" w:cs="Arial"/>
                        <w:noProof/>
                        <w:color w:val="EE7766"/>
                        <w:lang w:val="fr-FR"/>
                      </w:rPr>
                      <w:t>2</w:t>
                    </w:r>
                    <w:r w:rsidR="00704FF1">
                      <w:rPr>
                        <w:rFonts w:ascii="Arial" w:hAnsi="Arial" w:cs="Arial"/>
                        <w:noProof/>
                        <w:color w:val="EE7766"/>
                        <w:lang w:val="fr-FR"/>
                      </w:rPr>
                      <w:t>7</w:t>
                    </w:r>
                    <w:r>
                      <w:rPr>
                        <w:rFonts w:ascii="Arial" w:hAnsi="Arial" w:cs="Arial"/>
                        <w:noProof/>
                        <w:color w:val="EE7766"/>
                        <w:lang w:val="fr-FR"/>
                      </w:rPr>
                      <w:t xml:space="preserve"> </w:t>
                    </w:r>
                    <w:r w:rsidR="00810BF7">
                      <w:rPr>
                        <w:rFonts w:ascii="Arial" w:hAnsi="Arial" w:cs="Arial"/>
                        <w:noProof/>
                        <w:color w:val="EE7766"/>
                        <w:lang w:val="fr-FR"/>
                      </w:rPr>
                      <w:t>juin</w:t>
                    </w:r>
                    <w:r>
                      <w:rPr>
                        <w:rFonts w:ascii="Arial" w:hAnsi="Arial" w:cs="Arial"/>
                        <w:noProof/>
                        <w:color w:val="EE7766"/>
                        <w:lang w:val="fr-FR"/>
                      </w:rPr>
                      <w:t xml:space="preserve"> </w:t>
                    </w:r>
                    <w:r w:rsidR="00E337C4" w:rsidRPr="00682B72">
                      <w:rPr>
                        <w:rFonts w:ascii="Arial" w:hAnsi="Arial" w:cs="Arial"/>
                        <w:noProof/>
                        <w:color w:val="EE7766"/>
                        <w:lang w:val="fr-FR"/>
                      </w:rPr>
                      <w:t>202</w:t>
                    </w:r>
                    <w:r w:rsidR="003131DB">
                      <w:rPr>
                        <w:rFonts w:ascii="Arial" w:hAnsi="Arial" w:cs="Arial"/>
                        <w:noProof/>
                        <w:color w:val="EE7766"/>
                        <w:lang w:val="fr-FR"/>
                      </w:rPr>
                      <w:t>4</w:t>
                    </w:r>
                  </w:p>
                  <w:p w14:paraId="03D469E6" w14:textId="77777777" w:rsidR="00FD16B2" w:rsidRPr="00682B72" w:rsidRDefault="00FD16B2">
                    <w:pPr>
                      <w:rPr>
                        <w:lang w:val="fr-FR"/>
                      </w:rPr>
                    </w:pPr>
                  </w:p>
                </w:txbxContent>
              </v:textbox>
              <w10:wrap anchorx="margin"/>
            </v:shape>
          </w:pict>
        </mc:Fallback>
      </mc:AlternateContent>
    </w:r>
    <w:r>
      <w:rPr>
        <w:noProof/>
      </w:rPr>
      <w:drawing>
        <wp:anchor distT="0" distB="0" distL="114300" distR="114300" simplePos="0" relativeHeight="251701248" behindDoc="1" locked="0" layoutInCell="1" allowOverlap="1" wp14:anchorId="2F5535B0" wp14:editId="41991FE9">
          <wp:simplePos x="0" y="0"/>
          <wp:positionH relativeFrom="page">
            <wp:posOffset>279400</wp:posOffset>
          </wp:positionH>
          <wp:positionV relativeFrom="paragraph">
            <wp:posOffset>-1122680</wp:posOffset>
          </wp:positionV>
          <wp:extent cx="2514600" cy="1451610"/>
          <wp:effectExtent l="0" t="0" r="0" b="0"/>
          <wp:wrapTight wrapText="bothSides">
            <wp:wrapPolygon edited="0">
              <wp:start x="5073" y="2835"/>
              <wp:lineTo x="3764" y="4252"/>
              <wp:lineTo x="1964" y="6803"/>
              <wp:lineTo x="1800" y="9354"/>
              <wp:lineTo x="1800" y="13039"/>
              <wp:lineTo x="3600" y="17008"/>
              <wp:lineTo x="5073" y="18425"/>
              <wp:lineTo x="7200" y="18425"/>
              <wp:lineTo x="19800" y="13323"/>
              <wp:lineTo x="20127" y="9638"/>
              <wp:lineTo x="18000" y="8504"/>
              <wp:lineTo x="10473" y="7087"/>
              <wp:lineTo x="8182" y="3685"/>
              <wp:lineTo x="7200" y="2835"/>
              <wp:lineTo x="5073" y="2835"/>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4600" cy="14516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ADF"/>
    <w:rsid w:val="00043A44"/>
    <w:rsid w:val="00050060"/>
    <w:rsid w:val="0008129B"/>
    <w:rsid w:val="000F77A0"/>
    <w:rsid w:val="00117545"/>
    <w:rsid w:val="0014142F"/>
    <w:rsid w:val="00157EC2"/>
    <w:rsid w:val="00193D5E"/>
    <w:rsid w:val="0019593C"/>
    <w:rsid w:val="00204A11"/>
    <w:rsid w:val="00265632"/>
    <w:rsid w:val="0027179C"/>
    <w:rsid w:val="00277BA3"/>
    <w:rsid w:val="00287CC0"/>
    <w:rsid w:val="002A43E5"/>
    <w:rsid w:val="002A62F9"/>
    <w:rsid w:val="002E1833"/>
    <w:rsid w:val="003051F6"/>
    <w:rsid w:val="00307272"/>
    <w:rsid w:val="003131DB"/>
    <w:rsid w:val="00337351"/>
    <w:rsid w:val="003419C1"/>
    <w:rsid w:val="004107D1"/>
    <w:rsid w:val="00444256"/>
    <w:rsid w:val="00491E78"/>
    <w:rsid w:val="004A1053"/>
    <w:rsid w:val="004A28A1"/>
    <w:rsid w:val="00554728"/>
    <w:rsid w:val="005974D6"/>
    <w:rsid w:val="005B4B4F"/>
    <w:rsid w:val="005E04AF"/>
    <w:rsid w:val="005E08E5"/>
    <w:rsid w:val="005F5280"/>
    <w:rsid w:val="0060685D"/>
    <w:rsid w:val="006659AC"/>
    <w:rsid w:val="00682B72"/>
    <w:rsid w:val="00685EB2"/>
    <w:rsid w:val="006A4B1F"/>
    <w:rsid w:val="006B086E"/>
    <w:rsid w:val="006B66F6"/>
    <w:rsid w:val="006C74F0"/>
    <w:rsid w:val="00704FF1"/>
    <w:rsid w:val="00810BF7"/>
    <w:rsid w:val="00811261"/>
    <w:rsid w:val="00843AB0"/>
    <w:rsid w:val="008A78F7"/>
    <w:rsid w:val="008C199D"/>
    <w:rsid w:val="008D2B48"/>
    <w:rsid w:val="00907BC9"/>
    <w:rsid w:val="00923D1C"/>
    <w:rsid w:val="0099052E"/>
    <w:rsid w:val="00993CAF"/>
    <w:rsid w:val="009B0EDC"/>
    <w:rsid w:val="009D4682"/>
    <w:rsid w:val="009F7704"/>
    <w:rsid w:val="00A0677A"/>
    <w:rsid w:val="00A1647C"/>
    <w:rsid w:val="00A43C7A"/>
    <w:rsid w:val="00A76896"/>
    <w:rsid w:val="00A77ADF"/>
    <w:rsid w:val="00AC4094"/>
    <w:rsid w:val="00AC6328"/>
    <w:rsid w:val="00AD6873"/>
    <w:rsid w:val="00B05DF1"/>
    <w:rsid w:val="00B1121D"/>
    <w:rsid w:val="00BE6DD5"/>
    <w:rsid w:val="00C22879"/>
    <w:rsid w:val="00C313A5"/>
    <w:rsid w:val="00C80FE9"/>
    <w:rsid w:val="00CB7A18"/>
    <w:rsid w:val="00CC7F49"/>
    <w:rsid w:val="00D11F13"/>
    <w:rsid w:val="00D43A32"/>
    <w:rsid w:val="00D75BF0"/>
    <w:rsid w:val="00DE2641"/>
    <w:rsid w:val="00E26CA5"/>
    <w:rsid w:val="00E337C4"/>
    <w:rsid w:val="00E553C0"/>
    <w:rsid w:val="00EB3D77"/>
    <w:rsid w:val="00EF6C5B"/>
    <w:rsid w:val="00F25B19"/>
    <w:rsid w:val="00F77493"/>
    <w:rsid w:val="00FD16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FD46A99"/>
  <w15:chartTrackingRefBased/>
  <w15:docId w15:val="{676DFFCB-431E-486B-BBAF-1668704B4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ADF"/>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7ADF"/>
    <w:pPr>
      <w:tabs>
        <w:tab w:val="center" w:pos="4536"/>
        <w:tab w:val="right" w:pos="9072"/>
      </w:tabs>
      <w:spacing w:after="0" w:line="240" w:lineRule="auto"/>
    </w:pPr>
  </w:style>
  <w:style w:type="character" w:customStyle="1" w:styleId="HeaderChar">
    <w:name w:val="Header Char"/>
    <w:basedOn w:val="DefaultParagraphFont"/>
    <w:link w:val="Header"/>
    <w:uiPriority w:val="99"/>
    <w:rsid w:val="00A77ADF"/>
  </w:style>
  <w:style w:type="paragraph" w:styleId="Footer">
    <w:name w:val="footer"/>
    <w:basedOn w:val="Normal"/>
    <w:link w:val="FooterChar"/>
    <w:uiPriority w:val="99"/>
    <w:unhideWhenUsed/>
    <w:rsid w:val="00A77ADF"/>
    <w:pPr>
      <w:tabs>
        <w:tab w:val="center" w:pos="4536"/>
        <w:tab w:val="right" w:pos="9072"/>
      </w:tabs>
      <w:spacing w:after="0" w:line="240" w:lineRule="auto"/>
    </w:pPr>
  </w:style>
  <w:style w:type="character" w:customStyle="1" w:styleId="FooterChar">
    <w:name w:val="Footer Char"/>
    <w:basedOn w:val="DefaultParagraphFont"/>
    <w:link w:val="Footer"/>
    <w:uiPriority w:val="99"/>
    <w:rsid w:val="00A77ADF"/>
  </w:style>
  <w:style w:type="table" w:styleId="TableGrid">
    <w:name w:val="Table Grid"/>
    <w:basedOn w:val="TableNormal"/>
    <w:uiPriority w:val="59"/>
    <w:unhideWhenUsed/>
    <w:rsid w:val="00A77AD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77ADF"/>
    <w:rPr>
      <w:color w:val="0563C1" w:themeColor="hyperlink"/>
      <w:u w:val="single"/>
    </w:rPr>
  </w:style>
  <w:style w:type="paragraph" w:customStyle="1" w:styleId="BodyText1">
    <w:name w:val="BodyText 1"/>
    <w:basedOn w:val="Normal"/>
    <w:uiPriority w:val="1"/>
    <w:qFormat/>
    <w:rsid w:val="00A77ADF"/>
    <w:pPr>
      <w:spacing w:after="240" w:line="240" w:lineRule="auto"/>
      <w:ind w:firstLine="720"/>
    </w:pPr>
    <w:rPr>
      <w:rFonts w:ascii="Times New Roman" w:eastAsiaTheme="minorEastAsia" w:hAnsi="Times New Roman" w:cs="Arial"/>
      <w:sz w:val="24"/>
      <w:szCs w:val="24"/>
      <w:lang w:eastAsia="zh-CN"/>
    </w:rPr>
  </w:style>
  <w:style w:type="paragraph" w:styleId="NormalWeb">
    <w:name w:val="Normal (Web)"/>
    <w:basedOn w:val="Normal"/>
    <w:uiPriority w:val="99"/>
    <w:semiHidden/>
    <w:unhideWhenUsed/>
    <w:rsid w:val="00A77ADF"/>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UnresolvedMention">
    <w:name w:val="Unresolved Mention"/>
    <w:basedOn w:val="DefaultParagraphFont"/>
    <w:uiPriority w:val="99"/>
    <w:semiHidden/>
    <w:unhideWhenUsed/>
    <w:rsid w:val="00117545"/>
    <w:rPr>
      <w:color w:val="808080"/>
      <w:shd w:val="clear" w:color="auto" w:fill="E6E6E6"/>
    </w:rPr>
  </w:style>
  <w:style w:type="paragraph" w:styleId="Revision">
    <w:name w:val="Revision"/>
    <w:hidden/>
    <w:uiPriority w:val="99"/>
    <w:semiHidden/>
    <w:rsid w:val="008D2B48"/>
    <w:pPr>
      <w:spacing w:after="0" w:line="240" w:lineRule="auto"/>
    </w:pPr>
    <w:rPr>
      <w:lang w:val="en-US"/>
    </w:rPr>
  </w:style>
  <w:style w:type="character" w:styleId="CommentReference">
    <w:name w:val="annotation reference"/>
    <w:basedOn w:val="DefaultParagraphFont"/>
    <w:uiPriority w:val="99"/>
    <w:semiHidden/>
    <w:unhideWhenUsed/>
    <w:rsid w:val="008D2B48"/>
    <w:rPr>
      <w:sz w:val="16"/>
      <w:szCs w:val="16"/>
    </w:rPr>
  </w:style>
  <w:style w:type="paragraph" w:styleId="CommentText">
    <w:name w:val="annotation text"/>
    <w:basedOn w:val="Normal"/>
    <w:link w:val="CommentTextChar"/>
    <w:uiPriority w:val="99"/>
    <w:unhideWhenUsed/>
    <w:rsid w:val="008D2B48"/>
    <w:pPr>
      <w:spacing w:line="240" w:lineRule="auto"/>
    </w:pPr>
    <w:rPr>
      <w:sz w:val="20"/>
      <w:szCs w:val="20"/>
    </w:rPr>
  </w:style>
  <w:style w:type="character" w:customStyle="1" w:styleId="CommentTextChar">
    <w:name w:val="Comment Text Char"/>
    <w:basedOn w:val="DefaultParagraphFont"/>
    <w:link w:val="CommentText"/>
    <w:uiPriority w:val="99"/>
    <w:rsid w:val="008D2B48"/>
    <w:rPr>
      <w:sz w:val="20"/>
      <w:szCs w:val="20"/>
      <w:lang w:val="en-US"/>
    </w:rPr>
  </w:style>
  <w:style w:type="paragraph" w:styleId="CommentSubject">
    <w:name w:val="annotation subject"/>
    <w:basedOn w:val="CommentText"/>
    <w:next w:val="CommentText"/>
    <w:link w:val="CommentSubjectChar"/>
    <w:uiPriority w:val="99"/>
    <w:semiHidden/>
    <w:unhideWhenUsed/>
    <w:rsid w:val="008D2B48"/>
    <w:rPr>
      <w:b/>
      <w:bCs/>
    </w:rPr>
  </w:style>
  <w:style w:type="character" w:customStyle="1" w:styleId="CommentSubjectChar">
    <w:name w:val="Comment Subject Char"/>
    <w:basedOn w:val="CommentTextChar"/>
    <w:link w:val="CommentSubject"/>
    <w:uiPriority w:val="99"/>
    <w:semiHidden/>
    <w:rsid w:val="008D2B48"/>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3824512">
      <w:bodyDiv w:val="1"/>
      <w:marLeft w:val="0"/>
      <w:marRight w:val="0"/>
      <w:marTop w:val="0"/>
      <w:marBottom w:val="0"/>
      <w:divBdr>
        <w:top w:val="none" w:sz="0" w:space="0" w:color="auto"/>
        <w:left w:val="none" w:sz="0" w:space="0" w:color="auto"/>
        <w:bottom w:val="none" w:sz="0" w:space="0" w:color="auto"/>
        <w:right w:val="none" w:sz="0" w:space="0" w:color="auto"/>
      </w:divBdr>
      <w:divsChild>
        <w:div w:id="1824858094">
          <w:marLeft w:val="0"/>
          <w:marRight w:val="0"/>
          <w:marTop w:val="0"/>
          <w:marBottom w:val="0"/>
          <w:divBdr>
            <w:top w:val="none" w:sz="0" w:space="0" w:color="auto"/>
            <w:left w:val="none" w:sz="0" w:space="0" w:color="auto"/>
            <w:bottom w:val="none" w:sz="0" w:space="0" w:color="auto"/>
            <w:right w:val="none" w:sz="0" w:space="0" w:color="auto"/>
          </w:divBdr>
        </w:div>
      </w:divsChild>
    </w:div>
    <w:div w:id="851919008">
      <w:bodyDiv w:val="1"/>
      <w:marLeft w:val="0"/>
      <w:marRight w:val="0"/>
      <w:marTop w:val="0"/>
      <w:marBottom w:val="0"/>
      <w:divBdr>
        <w:top w:val="none" w:sz="0" w:space="0" w:color="auto"/>
        <w:left w:val="none" w:sz="0" w:space="0" w:color="auto"/>
        <w:bottom w:val="none" w:sz="0" w:space="0" w:color="auto"/>
        <w:right w:val="none" w:sz="0" w:space="0" w:color="auto"/>
      </w:divBdr>
    </w:div>
    <w:div w:id="1620649654">
      <w:bodyDiv w:val="1"/>
      <w:marLeft w:val="0"/>
      <w:marRight w:val="0"/>
      <w:marTop w:val="0"/>
      <w:marBottom w:val="0"/>
      <w:divBdr>
        <w:top w:val="none" w:sz="0" w:space="0" w:color="auto"/>
        <w:left w:val="none" w:sz="0" w:space="0" w:color="auto"/>
        <w:bottom w:val="none" w:sz="0" w:space="0" w:color="auto"/>
        <w:right w:val="none" w:sz="0" w:space="0" w:color="auto"/>
      </w:divBdr>
    </w:div>
    <w:div w:id="177289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edia_@ten.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vestor.relations@ten.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en.com"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C7D030AA10304C975A510261291275" ma:contentTypeVersion="16" ma:contentTypeDescription="Create a new document." ma:contentTypeScope="" ma:versionID="0b632c26d9270693c3496c0e40baa1e8">
  <xsd:schema xmlns:xsd="http://www.w3.org/2001/XMLSchema" xmlns:xs="http://www.w3.org/2001/XMLSchema" xmlns:p="http://schemas.microsoft.com/office/2006/metadata/properties" xmlns:ns3="6e0319b5-9809-4636-b82f-69794c13f948" xmlns:ns4="a7fc6197-de08-4140-8dd3-1f982428102d" targetNamespace="http://schemas.microsoft.com/office/2006/metadata/properties" ma:root="true" ma:fieldsID="4a0a841fbca82796ff6fa9dfa75bbfc2" ns3:_="" ns4:_="">
    <xsd:import namespace="6e0319b5-9809-4636-b82f-69794c13f948"/>
    <xsd:import namespace="a7fc6197-de08-4140-8dd3-1f982428102d"/>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ystemTags" minOccurs="0"/>
                <xsd:element ref="ns3:MediaServiceDateTaken" minOccurs="0"/>
                <xsd:element ref="ns3:MediaServiceSearchPropertie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319b5-9809-4636-b82f-69794c13f948"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fc6197-de08-4140-8dd3-1f982428102d"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6e0319b5-9809-4636-b82f-69794c13f94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AA2F67-B8A0-45A4-ABB2-D024F8C70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319b5-9809-4636-b82f-69794c13f948"/>
    <ds:schemaRef ds:uri="a7fc6197-de08-4140-8dd3-1f98242810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7A3138-8B29-41DC-9F74-4BD0E522721D}">
  <ds:schemaRefs>
    <ds:schemaRef ds:uri="http://schemas.openxmlformats.org/officeDocument/2006/bibliography"/>
  </ds:schemaRefs>
</ds:datastoreItem>
</file>

<file path=customXml/itemProps3.xml><?xml version="1.0" encoding="utf-8"?>
<ds:datastoreItem xmlns:ds="http://schemas.openxmlformats.org/officeDocument/2006/customXml" ds:itemID="{4A26F790-8E27-4E4B-869F-0F08A4C51678}">
  <ds:schemaRefs>
    <ds:schemaRef ds:uri="http://schemas.microsoft.com/office/2006/documentManagement/types"/>
    <ds:schemaRef ds:uri="6e0319b5-9809-4636-b82f-69794c13f948"/>
    <ds:schemaRef ds:uri="http://purl.org/dc/term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a7fc6197-de08-4140-8dd3-1f982428102d"/>
    <ds:schemaRef ds:uri="http://www.w3.org/XML/1998/namespace"/>
  </ds:schemaRefs>
</ds:datastoreItem>
</file>

<file path=customXml/itemProps4.xml><?xml version="1.0" encoding="utf-8"?>
<ds:datastoreItem xmlns:ds="http://schemas.openxmlformats.org/officeDocument/2006/customXml" ds:itemID="{D1E05D78-F79A-4D5D-B4B6-AC08D680083B}">
  <ds:schemaRefs>
    <ds:schemaRef ds:uri="http://schemas.microsoft.com/sharepoint/v3/contenttype/forms"/>
  </ds:schemaRefs>
</ds:datastoreItem>
</file>

<file path=docMetadata/LabelInfo.xml><?xml version="1.0" encoding="utf-8"?>
<clbl:labelList xmlns:clbl="http://schemas.microsoft.com/office/2020/mipLabelMetadata">
  <clbl:label id="{8f79752b-c5ee-4ad3-a24f-e300e7b653f3}" enabled="1" method="Privileged" siteId="{9179d01a-e94c-4488-b5f0-4554bc474f8c}"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1278</Words>
  <Characters>7033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Hyonne</dc:creator>
  <cp:keywords/>
  <dc:description/>
  <cp:lastModifiedBy>Jason Hyonne</cp:lastModifiedBy>
  <cp:revision>3</cp:revision>
  <dcterms:created xsi:type="dcterms:W3CDTF">2024-06-21T16:51:00Z</dcterms:created>
  <dcterms:modified xsi:type="dcterms:W3CDTF">2024-06-26T12:35:00Z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48b937-0ae3-46f5-b32e-f3232b5be847_Enabled">
    <vt:lpwstr>True</vt:lpwstr>
  </property>
  <property fmtid="{D5CDD505-2E9C-101B-9397-08002B2CF9AE}" pid="3" name="MSIP_Label_3b48b937-0ae3-46f5-b32e-f3232b5be847_SiteId">
    <vt:lpwstr>9179d01a-e94c-4488-b5f0-4554bc474f8c</vt:lpwstr>
  </property>
  <property fmtid="{D5CDD505-2E9C-101B-9397-08002B2CF9AE}" pid="4" name="MSIP_Label_3b48b937-0ae3-46f5-b32e-f3232b5be847_Owner">
    <vt:lpwstr>jason.hyonne@technipfmc.com</vt:lpwstr>
  </property>
  <property fmtid="{D5CDD505-2E9C-101B-9397-08002B2CF9AE}" pid="5" name="MSIP_Label_3b48b937-0ae3-46f5-b32e-f3232b5be847_SetDate">
    <vt:lpwstr>2021-01-13T11:39:36.2087295Z</vt:lpwstr>
  </property>
  <property fmtid="{D5CDD505-2E9C-101B-9397-08002B2CF9AE}" pid="6" name="MSIP_Label_3b48b937-0ae3-46f5-b32e-f3232b5be847_Name">
    <vt:lpwstr>General</vt:lpwstr>
  </property>
  <property fmtid="{D5CDD505-2E9C-101B-9397-08002B2CF9AE}" pid="7" name="MSIP_Label_3b48b937-0ae3-46f5-b32e-f3232b5be847_Application">
    <vt:lpwstr>Microsoft Azure Information Protection</vt:lpwstr>
  </property>
  <property fmtid="{D5CDD505-2E9C-101B-9397-08002B2CF9AE}" pid="8" name="MSIP_Label_3b48b937-0ae3-46f5-b32e-f3232b5be847_Extended_MSFT_Method">
    <vt:lpwstr>Automatic</vt:lpwstr>
  </property>
  <property fmtid="{D5CDD505-2E9C-101B-9397-08002B2CF9AE}" pid="9" name="MSIP_Label_8f79752b-c5ee-4ad3-a24f-e300e7b653f3_Enabled">
    <vt:lpwstr>True</vt:lpwstr>
  </property>
  <property fmtid="{D5CDD505-2E9C-101B-9397-08002B2CF9AE}" pid="10" name="MSIP_Label_8f79752b-c5ee-4ad3-a24f-e300e7b653f3_SiteId">
    <vt:lpwstr>9179d01a-e94c-4488-b5f0-4554bc474f8c</vt:lpwstr>
  </property>
  <property fmtid="{D5CDD505-2E9C-101B-9397-08002B2CF9AE}" pid="11" name="MSIP_Label_8f79752b-c5ee-4ad3-a24f-e300e7b653f3_Owner">
    <vt:lpwstr>jason.hyonne@technipfmc.com</vt:lpwstr>
  </property>
  <property fmtid="{D5CDD505-2E9C-101B-9397-08002B2CF9AE}" pid="12" name="MSIP_Label_8f79752b-c5ee-4ad3-a24f-e300e7b653f3_SetDate">
    <vt:lpwstr>2021-01-13T11:39:36.2087295Z</vt:lpwstr>
  </property>
  <property fmtid="{D5CDD505-2E9C-101B-9397-08002B2CF9AE}" pid="13" name="MSIP_Label_8f79752b-c5ee-4ad3-a24f-e300e7b653f3_Name">
    <vt:lpwstr>Anyone - No Protection</vt:lpwstr>
  </property>
  <property fmtid="{D5CDD505-2E9C-101B-9397-08002B2CF9AE}" pid="14" name="MSIP_Label_8f79752b-c5ee-4ad3-a24f-e300e7b653f3_Application">
    <vt:lpwstr>Microsoft Azure Information Protection</vt:lpwstr>
  </property>
  <property fmtid="{D5CDD505-2E9C-101B-9397-08002B2CF9AE}" pid="15" name="MSIP_Label_8f79752b-c5ee-4ad3-a24f-e300e7b653f3_Parent">
    <vt:lpwstr>3b48b937-0ae3-46f5-b32e-f3232b5be847</vt:lpwstr>
  </property>
  <property fmtid="{D5CDD505-2E9C-101B-9397-08002B2CF9AE}" pid="16" name="MSIP_Label_8f79752b-c5ee-4ad3-a24f-e300e7b653f3_Extended_MSFT_Method">
    <vt:lpwstr>Automatic</vt:lpwstr>
  </property>
  <property fmtid="{D5CDD505-2E9C-101B-9397-08002B2CF9AE}" pid="17" name="Sensitivity">
    <vt:lpwstr>General Anyone - No Protection</vt:lpwstr>
  </property>
  <property fmtid="{D5CDD505-2E9C-101B-9397-08002B2CF9AE}" pid="18" name="GrammarlyDocumentId">
    <vt:lpwstr>74b99658a278bbc61dde46352e09f8184a7865d3a6be8269896ed3909f91738b</vt:lpwstr>
  </property>
  <property fmtid="{D5CDD505-2E9C-101B-9397-08002B2CF9AE}" pid="19" name="ContentTypeId">
    <vt:lpwstr>0x010100D1C7D030AA10304C975A510261291275</vt:lpwstr>
  </property>
</Properties>
</file>