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34DEC" w14:textId="24A8C77C" w:rsidR="003D1580" w:rsidRDefault="00D40B06" w:rsidP="000F11E0">
      <w:pPr>
        <w:jc w:val="center"/>
        <w:rPr>
          <w:rFonts w:ascii="Arial" w:hAnsi="Arial" w:cs="Arial"/>
          <w:b/>
        </w:rPr>
      </w:pPr>
      <w:r w:rsidRPr="00D40B06">
        <w:rPr>
          <w:rFonts w:ascii="Arial" w:hAnsi="Arial" w:cs="Arial"/>
          <w:b/>
        </w:rPr>
        <w:t>DECISIONS (DRAFTS) OF THE ANNUAL GENERAL MEETING OF SHAREHOLDERS OF THE PUBLIC LIMITED LIABILITY COMPANY “ŽEMAITIJOS PIENAS” OF 29 APRIL 2025</w:t>
      </w:r>
    </w:p>
    <w:p w14:paraId="4E284667" w14:textId="77777777" w:rsidR="00D40B06" w:rsidRPr="00B73CC3" w:rsidRDefault="00D40B06" w:rsidP="000F11E0">
      <w:pPr>
        <w:jc w:val="center"/>
        <w:rPr>
          <w:rFonts w:ascii="Arial" w:hAnsi="Arial" w:cs="Arial"/>
          <w:b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230"/>
      </w:tblGrid>
      <w:tr w:rsidR="003D1580" w:rsidRPr="00B73CC3" w14:paraId="0671CA82" w14:textId="77777777" w:rsidTr="00D40B06">
        <w:trPr>
          <w:trHeight w:val="5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F455" w14:textId="005BE9F4" w:rsidR="003D1580" w:rsidRPr="00B73CC3" w:rsidRDefault="003D1580" w:rsidP="00D40B0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B73CC3">
              <w:rPr>
                <w:rFonts w:ascii="Arial" w:eastAsia="Times New Roman" w:hAnsi="Arial" w:cs="Arial"/>
                <w:b/>
                <w:lang w:eastAsia="lt-LT"/>
              </w:rPr>
              <w:t>N</w:t>
            </w:r>
            <w:r w:rsidR="00D40B06">
              <w:rPr>
                <w:rFonts w:ascii="Arial" w:eastAsia="Times New Roman" w:hAnsi="Arial" w:cs="Arial"/>
                <w:b/>
                <w:lang w:eastAsia="lt-LT"/>
              </w:rPr>
              <w:t>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383F" w14:textId="4BCD62F2" w:rsidR="003D1580" w:rsidRPr="00B73CC3" w:rsidRDefault="00D40B06" w:rsidP="003D1580">
            <w:pPr>
              <w:spacing w:after="0" w:line="240" w:lineRule="auto"/>
              <w:rPr>
                <w:rFonts w:ascii="Arial" w:eastAsia="Times New Roman" w:hAnsi="Arial" w:cs="Arial"/>
                <w:b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b/>
                <w:lang w:eastAsia="lt-LT"/>
              </w:rPr>
              <w:t>Agenda</w:t>
            </w:r>
            <w:proofErr w:type="spellEnd"/>
            <w:r>
              <w:rPr>
                <w:rFonts w:ascii="Arial" w:eastAsia="Times New Roman" w:hAnsi="Arial" w:cs="Arial"/>
                <w:b/>
                <w:lang w:eastAsia="lt-L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eastAsia="lt-LT"/>
              </w:rPr>
              <w:t>item</w:t>
            </w:r>
            <w:proofErr w:type="spellEnd"/>
            <w:r w:rsidR="003D1580" w:rsidRPr="00B73CC3">
              <w:rPr>
                <w:rFonts w:ascii="Arial" w:eastAsia="Times New Roman" w:hAnsi="Arial" w:cs="Arial"/>
                <w:b/>
                <w:lang w:eastAsia="lt-LT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AD8F3" w14:textId="2F7E7E0A" w:rsidR="003D1580" w:rsidRPr="00B73CC3" w:rsidRDefault="00D40B06" w:rsidP="00D40B06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b/>
                <w:lang w:eastAsia="lt-LT"/>
              </w:rPr>
              <w:t>Draft</w:t>
            </w:r>
            <w:proofErr w:type="spellEnd"/>
            <w:r w:rsidRPr="00D40B06">
              <w:rPr>
                <w:rFonts w:ascii="Arial" w:eastAsia="Times New Roman" w:hAnsi="Arial" w:cs="Arial"/>
                <w:b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b/>
                <w:lang w:eastAsia="lt-LT"/>
              </w:rPr>
              <w:t>resolution</w:t>
            </w:r>
            <w:proofErr w:type="spellEnd"/>
          </w:p>
        </w:tc>
      </w:tr>
      <w:tr w:rsidR="003D1580" w:rsidRPr="00B73CC3" w14:paraId="01407C0B" w14:textId="77777777" w:rsidTr="00D40B0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283BD" w14:textId="77777777" w:rsidR="003D1580" w:rsidRPr="00B73CC3" w:rsidRDefault="003D1580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D171" w14:textId="73345723" w:rsidR="003D1580" w:rsidRPr="00B73CC3" w:rsidRDefault="00D40B06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Presentation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auditor’s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consolidated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management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7F1E" w14:textId="2278FBC9" w:rsidR="003D1580" w:rsidRPr="00B73CC3" w:rsidRDefault="00D40B06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auditor’s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consolidated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management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are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presented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heard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.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No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decision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is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taken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this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item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.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auditor’s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consolidated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management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are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attached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3D1580" w:rsidRPr="00B73CC3" w14:paraId="36A326E0" w14:textId="77777777" w:rsidTr="00D40B06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69D2" w14:textId="77777777" w:rsidR="003D1580" w:rsidRPr="00B73CC3" w:rsidRDefault="003D1580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5D21" w14:textId="2B49777A" w:rsidR="003D1580" w:rsidRPr="00B73CC3" w:rsidRDefault="00D40B06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consolidated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annual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financial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activity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9709" w14:textId="27928D8D" w:rsidR="003D1580" w:rsidRPr="00B73CC3" w:rsidRDefault="00D40B06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consolidated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annual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financial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statements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(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set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)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activity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report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are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presented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(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submitted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>/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published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),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reviewed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,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.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2024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consolidated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annual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financial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statements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Company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with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annexes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are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attached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3D1580" w:rsidRPr="00B73CC3" w14:paraId="1527E57E" w14:textId="77777777" w:rsidTr="00D40B06">
        <w:trPr>
          <w:trHeight w:val="5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1F11" w14:textId="77777777" w:rsidR="003D1580" w:rsidRPr="00B73CC3" w:rsidRDefault="003D1580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B838" w14:textId="202E016A" w:rsidR="003D1580" w:rsidRPr="00B73CC3" w:rsidRDefault="00D40B06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2024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profit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(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loss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)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distribution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FAE9" w14:textId="32B6C6BE" w:rsidR="003D1580" w:rsidRPr="00B73CC3" w:rsidRDefault="00D40B06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40B06">
              <w:rPr>
                <w:rFonts w:ascii="Arial" w:eastAsia="Times New Roman" w:hAnsi="Arial" w:cs="Arial"/>
                <w:lang w:eastAsia="lt-LT"/>
              </w:rPr>
              <w:t xml:space="preserve">To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draft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decision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Board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distribution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2024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profit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(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loss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"/>
              <w:gridCol w:w="4932"/>
              <w:gridCol w:w="1134"/>
            </w:tblGrid>
            <w:tr w:rsidR="003D1580" w:rsidRPr="00B73CC3" w14:paraId="38A119C1" w14:textId="77777777" w:rsidTr="00D40B06">
              <w:tc>
                <w:tcPr>
                  <w:tcW w:w="910" w:type="dxa"/>
                  <w:shd w:val="clear" w:color="auto" w:fill="auto"/>
                  <w:vAlign w:val="center"/>
                </w:tcPr>
                <w:p w14:paraId="586989D2" w14:textId="6D37D30A" w:rsidR="003D1580" w:rsidRPr="00B73CC3" w:rsidRDefault="003D1580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N</w:t>
                  </w:r>
                  <w:r w:rsid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o</w:t>
                  </w:r>
                  <w:proofErr w:type="spellEnd"/>
                  <w:r w:rsid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.</w:t>
                  </w:r>
                </w:p>
              </w:tc>
              <w:tc>
                <w:tcPr>
                  <w:tcW w:w="4932" w:type="dxa"/>
                  <w:shd w:val="clear" w:color="auto" w:fill="auto"/>
                  <w:vAlign w:val="center"/>
                </w:tcPr>
                <w:p w14:paraId="63D91A93" w14:textId="46D05C72" w:rsidR="003D1580" w:rsidRPr="00B73CC3" w:rsidRDefault="00D40B06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distribution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items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ADD58B7" w14:textId="525DFD14" w:rsidR="003D1580" w:rsidRPr="00B73CC3" w:rsidRDefault="003D1580" w:rsidP="00D40B0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</w:pPr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EUR</w:t>
                  </w:r>
                  <w:r w:rsidR="00D40B06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 xml:space="preserve"> </w:t>
                  </w:r>
                  <w:proofErr w:type="spellStart"/>
                  <w:r w:rsidR="00D40B06"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thousand</w:t>
                  </w:r>
                  <w:proofErr w:type="spellEnd"/>
                </w:p>
              </w:tc>
            </w:tr>
            <w:tr w:rsidR="003D1580" w:rsidRPr="00B73CC3" w14:paraId="3CB0A193" w14:textId="77777777" w:rsidTr="00295072">
              <w:tc>
                <w:tcPr>
                  <w:tcW w:w="910" w:type="dxa"/>
                  <w:shd w:val="clear" w:color="auto" w:fill="auto"/>
                </w:tcPr>
                <w:p w14:paraId="1765E093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1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3A652A9D" w14:textId="58B23DD0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Retained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earnings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)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from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previous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years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at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end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reporting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year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5620A040" w14:textId="41E9CA8C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89</w:t>
                  </w:r>
                  <w:r w:rsidR="00D40B06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944</w:t>
                  </w:r>
                </w:p>
              </w:tc>
            </w:tr>
            <w:tr w:rsidR="003D1580" w:rsidRPr="00B73CC3" w14:paraId="3F7418A8" w14:textId="77777777" w:rsidTr="00295072">
              <w:tc>
                <w:tcPr>
                  <w:tcW w:w="910" w:type="dxa"/>
                  <w:shd w:val="clear" w:color="auto" w:fill="auto"/>
                </w:tcPr>
                <w:p w14:paraId="5F335493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2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4F4072E1" w14:textId="77C0CD02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Net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)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for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reporting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year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7683F5A8" w14:textId="3A12611B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24</w:t>
                  </w:r>
                  <w:r w:rsidR="00D40B06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357</w:t>
                  </w:r>
                </w:p>
              </w:tc>
            </w:tr>
            <w:tr w:rsidR="003D1580" w:rsidRPr="00B73CC3" w14:paraId="40A2379D" w14:textId="77777777" w:rsidTr="00295072">
              <w:trPr>
                <w:trHeight w:val="565"/>
              </w:trPr>
              <w:tc>
                <w:tcPr>
                  <w:tcW w:w="910" w:type="dxa"/>
                  <w:shd w:val="clear" w:color="auto" w:fill="auto"/>
                </w:tcPr>
                <w:p w14:paraId="63E2AACA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3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09BEE559" w14:textId="7C407054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)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reporting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year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not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recognized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in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)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statement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–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actuarial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change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7B713243" w14:textId="71E2F3D6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-3</w:t>
                  </w:r>
                  <w:r w:rsidR="00D40B06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058</w:t>
                  </w:r>
                </w:p>
              </w:tc>
            </w:tr>
            <w:tr w:rsidR="003D1580" w:rsidRPr="00B73CC3" w14:paraId="16879F4F" w14:textId="77777777" w:rsidTr="00295072">
              <w:tc>
                <w:tcPr>
                  <w:tcW w:w="910" w:type="dxa"/>
                  <w:shd w:val="clear" w:color="auto" w:fill="auto"/>
                </w:tcPr>
                <w:p w14:paraId="2A3C64DE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4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69F66287" w14:textId="2EFB69B5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)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reporting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year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not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recognized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in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)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statement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–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result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reduction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capital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and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cancellation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treasury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2C2EB2A1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</w:p>
              </w:tc>
            </w:tr>
            <w:tr w:rsidR="003D1580" w:rsidRPr="00B73CC3" w14:paraId="709CA54B" w14:textId="77777777" w:rsidTr="00295072">
              <w:tc>
                <w:tcPr>
                  <w:tcW w:w="910" w:type="dxa"/>
                  <w:shd w:val="clear" w:color="auto" w:fill="auto"/>
                </w:tcPr>
                <w:p w14:paraId="6BF764DA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5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0CE4E028" w14:textId="01B50EF0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Transfers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from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reserves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437813CE" w14:textId="2B799552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10</w:t>
                  </w:r>
                  <w:r w:rsidR="00D40B06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200</w:t>
                  </w:r>
                </w:p>
              </w:tc>
            </w:tr>
            <w:tr w:rsidR="003D1580" w:rsidRPr="00B73CC3" w14:paraId="77F6C880" w14:textId="77777777" w:rsidTr="00295072">
              <w:tc>
                <w:tcPr>
                  <w:tcW w:w="910" w:type="dxa"/>
                  <w:shd w:val="clear" w:color="auto" w:fill="auto"/>
                </w:tcPr>
                <w:p w14:paraId="447E17D2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6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3464AA95" w14:textId="34344B0C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Shareholders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’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contributions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cover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Company’s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losses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if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shareholders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decided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cover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part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losses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14F0E10F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</w:p>
              </w:tc>
            </w:tr>
            <w:tr w:rsidR="003D1580" w:rsidRPr="00B73CC3" w14:paraId="58430EFF" w14:textId="77777777" w:rsidTr="00295072">
              <w:tc>
                <w:tcPr>
                  <w:tcW w:w="910" w:type="dxa"/>
                  <w:shd w:val="clear" w:color="auto" w:fill="auto"/>
                </w:tcPr>
                <w:p w14:paraId="5176BE5A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7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5371533E" w14:textId="44BADDCF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Total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distributable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)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3D93557A" w14:textId="4A7A8A81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121</w:t>
                  </w:r>
                  <w:r w:rsidR="00D40B06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443</w:t>
                  </w:r>
                </w:p>
              </w:tc>
            </w:tr>
            <w:tr w:rsidR="003D1580" w:rsidRPr="00B73CC3" w14:paraId="0E344E7A" w14:textId="77777777" w:rsidTr="00295072">
              <w:tc>
                <w:tcPr>
                  <w:tcW w:w="910" w:type="dxa"/>
                  <w:shd w:val="clear" w:color="auto" w:fill="auto"/>
                </w:tcPr>
                <w:p w14:paraId="1FA33923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8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53D3A7CA" w14:textId="6948E865" w:rsidR="003D1580" w:rsidRPr="00B73CC3" w:rsidRDefault="00D40B06" w:rsidP="003D1580">
                  <w:pPr>
                    <w:tabs>
                      <w:tab w:val="left" w:pos="5252"/>
                    </w:tabs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allocated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mandatory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reserve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79D8D36F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0</w:t>
                  </w:r>
                </w:p>
              </w:tc>
            </w:tr>
            <w:tr w:rsidR="003D1580" w:rsidRPr="00B73CC3" w14:paraId="17BD7D79" w14:textId="77777777" w:rsidTr="00295072">
              <w:tc>
                <w:tcPr>
                  <w:tcW w:w="910" w:type="dxa"/>
                  <w:shd w:val="clear" w:color="auto" w:fill="auto"/>
                </w:tcPr>
                <w:p w14:paraId="07B34942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9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040E1F87" w14:textId="0A77E7E2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allocated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reserve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for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acquisition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own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2CDC3A83" w14:textId="7D98F089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10</w:t>
                  </w:r>
                  <w:r w:rsidR="00D40B06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000</w:t>
                  </w:r>
                </w:p>
              </w:tc>
            </w:tr>
            <w:tr w:rsidR="003D1580" w:rsidRPr="00B73CC3" w14:paraId="76E8D5E7" w14:textId="77777777" w:rsidTr="00295072">
              <w:tc>
                <w:tcPr>
                  <w:tcW w:w="910" w:type="dxa"/>
                  <w:shd w:val="clear" w:color="auto" w:fill="auto"/>
                </w:tcPr>
                <w:p w14:paraId="5B83422E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10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558EB387" w14:textId="3503ECB2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allocated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reserve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for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granting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5E8A338F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0</w:t>
                  </w:r>
                </w:p>
              </w:tc>
            </w:tr>
            <w:tr w:rsidR="003D1580" w:rsidRPr="00B73CC3" w14:paraId="71CEBD8E" w14:textId="77777777" w:rsidTr="00295072">
              <w:tc>
                <w:tcPr>
                  <w:tcW w:w="910" w:type="dxa"/>
                  <w:shd w:val="clear" w:color="auto" w:fill="auto"/>
                </w:tcPr>
                <w:p w14:paraId="5D6300C4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11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3A21572A" w14:textId="4FD05CEE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allocated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other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reserves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</w:tcPr>
                <w:p w14:paraId="2C19B8AE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0</w:t>
                  </w:r>
                </w:p>
              </w:tc>
            </w:tr>
            <w:tr w:rsidR="003D1580" w:rsidRPr="00B73CC3" w14:paraId="61441C31" w14:textId="77777777" w:rsidTr="00295072">
              <w:tc>
                <w:tcPr>
                  <w:tcW w:w="910" w:type="dxa"/>
                  <w:shd w:val="clear" w:color="auto" w:fill="auto"/>
                </w:tcPr>
                <w:p w14:paraId="234AE254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12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0AD9802B" w14:textId="69D5A945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allocated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for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dividend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payment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516A851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>0</w:t>
                  </w:r>
                </w:p>
              </w:tc>
            </w:tr>
            <w:tr w:rsidR="003D1580" w:rsidRPr="00B73CC3" w14:paraId="7DBC6646" w14:textId="77777777" w:rsidTr="00295072">
              <w:trPr>
                <w:trHeight w:val="426"/>
              </w:trPr>
              <w:tc>
                <w:tcPr>
                  <w:tcW w:w="910" w:type="dxa"/>
                  <w:shd w:val="clear" w:color="auto" w:fill="auto"/>
                </w:tcPr>
                <w:p w14:paraId="0CFA6BCE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13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7E0675CE" w14:textId="7985D4F0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Share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profit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allocated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for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employee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bonuses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and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other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>purposes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sz w:val="20"/>
                      <w:szCs w:val="20"/>
                      <w:lang w:eastAsia="lt-LT"/>
                    </w:rPr>
                    <w:t xml:space="preserve"> **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58E253F9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sz w:val="24"/>
                      <w:szCs w:val="28"/>
                      <w:lang w:eastAsia="lt-LT"/>
                    </w:rPr>
                    <w:t xml:space="preserve">200 </w:t>
                  </w:r>
                </w:p>
              </w:tc>
            </w:tr>
            <w:tr w:rsidR="003D1580" w:rsidRPr="00B73CC3" w14:paraId="17C0A4D9" w14:textId="77777777" w:rsidTr="00295072">
              <w:tc>
                <w:tcPr>
                  <w:tcW w:w="910" w:type="dxa"/>
                  <w:shd w:val="clear" w:color="auto" w:fill="auto"/>
                </w:tcPr>
                <w:p w14:paraId="3FAC7E12" w14:textId="77777777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14</w:t>
                  </w:r>
                </w:p>
              </w:tc>
              <w:tc>
                <w:tcPr>
                  <w:tcW w:w="4932" w:type="dxa"/>
                  <w:shd w:val="clear" w:color="auto" w:fill="auto"/>
                </w:tcPr>
                <w:p w14:paraId="576D4F15" w14:textId="3585FBE9" w:rsidR="003D1580" w:rsidRPr="00B73CC3" w:rsidRDefault="00D40B06" w:rsidP="003D1580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</w:pP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Retained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earnings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(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loss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) at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end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of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reporting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year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,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carried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forward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to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the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next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financial</w:t>
                  </w:r>
                  <w:proofErr w:type="spellEnd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 xml:space="preserve"> </w:t>
                  </w:r>
                  <w:proofErr w:type="spellStart"/>
                  <w:r w:rsidRPr="00D40B06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lt-LT"/>
                    </w:rPr>
                    <w:t>year</w:t>
                  </w:r>
                  <w:proofErr w:type="spellEnd"/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77FAA9A" w14:textId="445858A8" w:rsidR="003D1580" w:rsidRPr="00B73CC3" w:rsidRDefault="003D1580" w:rsidP="003D1580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</w:pPr>
                  <w:r w:rsidRPr="00B73CC3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111</w:t>
                  </w:r>
                  <w:r w:rsidR="00D40B06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,</w:t>
                  </w:r>
                  <w:r w:rsidRPr="00B73CC3">
                    <w:rPr>
                      <w:rFonts w:ascii="Arial" w:eastAsia="Times New Roman" w:hAnsi="Arial" w:cs="Arial"/>
                      <w:b/>
                      <w:sz w:val="24"/>
                      <w:szCs w:val="28"/>
                      <w:lang w:eastAsia="lt-LT"/>
                    </w:rPr>
                    <w:t>243</w:t>
                  </w:r>
                </w:p>
              </w:tc>
            </w:tr>
          </w:tbl>
          <w:p w14:paraId="5480D692" w14:textId="77777777" w:rsidR="003D1580" w:rsidRPr="00B73CC3" w:rsidRDefault="003D1580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  <w:p w14:paraId="436AF4EC" w14:textId="1A409BF8" w:rsidR="003D1580" w:rsidRPr="00B73CC3" w:rsidRDefault="003D1580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lt-LT"/>
              </w:rPr>
            </w:pPr>
            <w:r w:rsidRPr="00B73CC3">
              <w:rPr>
                <w:rFonts w:ascii="Arial" w:eastAsia="Times New Roman" w:hAnsi="Arial" w:cs="Arial"/>
                <w:i/>
                <w:lang w:eastAsia="lt-LT"/>
              </w:rPr>
              <w:t xml:space="preserve">** </w:t>
            </w:r>
            <w:proofErr w:type="spellStart"/>
            <w:r w:rsidR="00D40B06" w:rsidRPr="00D40B06">
              <w:rPr>
                <w:rFonts w:ascii="Arial" w:eastAsia="Times New Roman" w:hAnsi="Arial" w:cs="Arial"/>
                <w:i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i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i/>
                <w:lang w:eastAsia="lt-LT"/>
              </w:rPr>
              <w:t>employee</w:t>
            </w:r>
            <w:proofErr w:type="spellEnd"/>
            <w:r w:rsidR="00D40B06" w:rsidRPr="00D40B06">
              <w:rPr>
                <w:rFonts w:ascii="Arial" w:eastAsia="Times New Roman" w:hAnsi="Arial" w:cs="Arial"/>
                <w:i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i/>
                <w:lang w:eastAsia="lt-LT"/>
              </w:rPr>
              <w:t>bonuses</w:t>
            </w:r>
            <w:proofErr w:type="spellEnd"/>
            <w:r w:rsidR="00D40B06" w:rsidRPr="00D40B06">
              <w:rPr>
                <w:rFonts w:ascii="Arial" w:eastAsia="Times New Roman" w:hAnsi="Arial" w:cs="Arial"/>
                <w:i/>
                <w:lang w:eastAsia="lt-LT"/>
              </w:rPr>
              <w:t xml:space="preserve"> EUR 200,000</w:t>
            </w:r>
          </w:p>
          <w:p w14:paraId="7942DD12" w14:textId="77777777" w:rsidR="003D1580" w:rsidRPr="00B73CC3" w:rsidRDefault="003D1580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lt-LT"/>
              </w:rPr>
            </w:pPr>
          </w:p>
        </w:tc>
      </w:tr>
      <w:tr w:rsidR="003D1580" w:rsidRPr="00B73CC3" w14:paraId="79010AA0" w14:textId="77777777" w:rsidTr="00D40B06">
        <w:trPr>
          <w:trHeight w:val="55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C041" w14:textId="77777777" w:rsidR="003D1580" w:rsidRPr="00B73CC3" w:rsidRDefault="003D1580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6145" w14:textId="2430F9F5" w:rsidR="003D1580" w:rsidRPr="00B73CC3" w:rsidRDefault="00D40B06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remuneration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policy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members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Supervisory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Board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members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lastRenderedPageBreak/>
              <w:t>Board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,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Manager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ŽEMAITIJOS PIENAS</w:t>
            </w:r>
            <w:r>
              <w:rPr>
                <w:rFonts w:ascii="Arial" w:eastAsia="Times New Roman" w:hAnsi="Arial" w:cs="Arial"/>
                <w:lang w:eastAsia="lt-LT"/>
              </w:rPr>
              <w:t>, AB</w:t>
            </w:r>
            <w:r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5DDE" w14:textId="66654CF7" w:rsidR="003D1580" w:rsidRPr="00B73CC3" w:rsidRDefault="00D40B06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40B06">
              <w:rPr>
                <w:rFonts w:ascii="Arial" w:eastAsia="Times New Roman" w:hAnsi="Arial" w:cs="Arial"/>
                <w:lang w:eastAsia="lt-LT"/>
              </w:rPr>
              <w:lastRenderedPageBreak/>
              <w:t xml:space="preserve">To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remuneration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policy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members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Supervisory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Board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members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Board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,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Manager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ŽEMAITIJOS PIENAS</w:t>
            </w:r>
            <w:r>
              <w:rPr>
                <w:rFonts w:ascii="Arial" w:eastAsia="Times New Roman" w:hAnsi="Arial" w:cs="Arial"/>
                <w:lang w:eastAsia="lt-LT"/>
              </w:rPr>
              <w:t>, AB</w:t>
            </w:r>
            <w:r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</w:tr>
      <w:tr w:rsidR="003D1580" w:rsidRPr="00B73CC3" w14:paraId="404590B3" w14:textId="77777777" w:rsidTr="00D40B06">
        <w:trPr>
          <w:trHeight w:val="12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19B6E" w14:textId="77777777" w:rsidR="003D1580" w:rsidRPr="00B73CC3" w:rsidRDefault="003D1580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95D1" w14:textId="7E99C800" w:rsidR="003D1580" w:rsidRPr="00B73CC3" w:rsidRDefault="00D40B06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Establishment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budget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collegial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bodies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their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activities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Company.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43803" w14:textId="42211D6F" w:rsidR="003D1580" w:rsidRPr="00B73CC3" w:rsidRDefault="00D40B06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D40B06">
              <w:rPr>
                <w:rFonts w:ascii="Arial" w:eastAsia="Times New Roman" w:hAnsi="Arial" w:cs="Arial"/>
                <w:lang w:eastAsia="lt-LT"/>
              </w:rPr>
              <w:t xml:space="preserve">To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approve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budget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EUR 200,000.00 (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two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hundred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thousand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)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activities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collegial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bodies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Company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period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from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date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decision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Annual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General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Meeting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Shareholders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2025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until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date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decision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Annual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General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Meeting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Shareholders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2026.</w:t>
            </w:r>
          </w:p>
        </w:tc>
      </w:tr>
      <w:tr w:rsidR="003D1580" w:rsidRPr="00B73CC3" w14:paraId="080C9CE1" w14:textId="77777777" w:rsidTr="00D40B06">
        <w:trPr>
          <w:trHeight w:val="123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CF30D" w14:textId="77777777" w:rsidR="003D1580" w:rsidRPr="00B73CC3" w:rsidRDefault="003D1580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344" w14:textId="051926FF" w:rsidR="003D1580" w:rsidRPr="00B73CC3" w:rsidRDefault="00D40B06" w:rsidP="003D1580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Formation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reserve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establishment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procedure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CD81" w14:textId="3D7EE35E" w:rsidR="003D1580" w:rsidRPr="00B73CC3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1. </w:t>
            </w:r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repurchase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public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limited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liability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ŽEMAITIJOS PIENAS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official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offer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market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AB NASDAQ Vilnius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Stock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Exchange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accordance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with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rules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regulating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this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market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  <w:p w14:paraId="05A89161" w14:textId="590EC256" w:rsidR="003D1580" w:rsidRPr="00B73CC3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2. </w:t>
            </w:r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establish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a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reserve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and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acquire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up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10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percent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(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including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number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held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by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Company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prior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adoption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this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resolution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);</w:t>
            </w:r>
          </w:p>
          <w:p w14:paraId="2EDDDC9A" w14:textId="78E39491" w:rsidR="003D1580" w:rsidRPr="00B73CC3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 </w:t>
            </w:r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establish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conditions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:</w:t>
            </w:r>
          </w:p>
          <w:p w14:paraId="1064D9CA" w14:textId="4879ACC5" w:rsidR="003D1580" w:rsidRPr="00B73CC3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3.1. </w:t>
            </w:r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use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funds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from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formed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reserve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settle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payments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acquired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;</w:t>
            </w:r>
          </w:p>
          <w:p w14:paraId="65C6D3C7" w14:textId="77777777" w:rsidR="00D40B06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3.2.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maximum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number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ordinary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registered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be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acquired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–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up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10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percent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total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number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;</w:t>
            </w:r>
          </w:p>
          <w:p w14:paraId="13C3F0B1" w14:textId="52A59C4A" w:rsidR="003D1580" w:rsidRPr="00B73CC3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3.3.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period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during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which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Company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may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acquire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its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– 18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months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from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date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adoption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this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resolution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;</w:t>
            </w:r>
          </w:p>
          <w:p w14:paraId="5EF58486" w14:textId="01544579" w:rsidR="003D1580" w:rsidRPr="00B73CC3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3.4.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minimum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purchase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price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per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– EUR 1.75, and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maximum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purchase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price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per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– EUR 3.00;</w:t>
            </w:r>
          </w:p>
          <w:p w14:paraId="1422B1CB" w14:textId="77777777" w:rsidR="00D40B06" w:rsidRDefault="003D1580" w:rsidP="00D40B0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3.5.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purpose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–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cancellation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order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increase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each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investor’s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ownership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proportion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capital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;</w:t>
            </w:r>
          </w:p>
          <w:p w14:paraId="6FA9E059" w14:textId="77777777" w:rsidR="00D40B06" w:rsidRPr="00D40B06" w:rsidRDefault="003D1580" w:rsidP="00D40B06">
            <w:pPr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B73CC3">
              <w:rPr>
                <w:rFonts w:ascii="Arial" w:eastAsia="Times New Roman" w:hAnsi="Arial" w:cs="Arial"/>
                <w:lang w:eastAsia="lt-LT"/>
              </w:rPr>
              <w:t xml:space="preserve">3.6.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accordance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with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conditions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set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out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this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resolution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provisions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Law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Companies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Republic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Lithuania,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authorize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Company’s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Board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organize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purposes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stated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in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this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resolution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,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determine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detailed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procedure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for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timing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execution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number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be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acquired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,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price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, and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carry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out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all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and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any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actions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related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to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the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acquisition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of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own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 xml:space="preserve"> </w:t>
            </w:r>
            <w:proofErr w:type="spellStart"/>
            <w:r w:rsidR="00D40B06" w:rsidRPr="00D40B06">
              <w:rPr>
                <w:rFonts w:ascii="Arial" w:eastAsia="Times New Roman" w:hAnsi="Arial" w:cs="Arial"/>
                <w:lang w:eastAsia="lt-LT"/>
              </w:rPr>
              <w:t>shares</w:t>
            </w:r>
            <w:proofErr w:type="spellEnd"/>
            <w:r w:rsidR="00D40B06" w:rsidRPr="00D40B06">
              <w:rPr>
                <w:rFonts w:ascii="Arial" w:eastAsia="Times New Roman" w:hAnsi="Arial" w:cs="Arial"/>
                <w:lang w:eastAsia="lt-LT"/>
              </w:rPr>
              <w:t>.</w:t>
            </w:r>
          </w:p>
          <w:p w14:paraId="2A473017" w14:textId="6310AC6B" w:rsidR="003D1580" w:rsidRPr="00B73CC3" w:rsidRDefault="003D1580" w:rsidP="003D15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42E6F21C" w14:textId="77777777" w:rsidR="003D1580" w:rsidRPr="00B73CC3" w:rsidRDefault="003D1580" w:rsidP="003D1580">
      <w:pPr>
        <w:jc w:val="both"/>
        <w:rPr>
          <w:rFonts w:ascii="Arial" w:hAnsi="Arial" w:cs="Arial"/>
          <w:b/>
        </w:rPr>
      </w:pPr>
    </w:p>
    <w:p w14:paraId="778209F1" w14:textId="77777777" w:rsidR="000F11E0" w:rsidRPr="00B73CC3" w:rsidRDefault="000F11E0" w:rsidP="003D1580">
      <w:pPr>
        <w:ind w:left="-851"/>
        <w:rPr>
          <w:rFonts w:ascii="Arial" w:hAnsi="Arial" w:cs="Arial"/>
        </w:rPr>
      </w:pPr>
    </w:p>
    <w:sectPr w:rsidR="000F11E0" w:rsidRPr="00B73CC3" w:rsidSect="003D1580">
      <w:footerReference w:type="default" r:id="rId7"/>
      <w:pgSz w:w="11906" w:h="16838"/>
      <w:pgMar w:top="1276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C4DD3" w14:textId="77777777" w:rsidR="00593432" w:rsidRDefault="00593432" w:rsidP="00E00FEB">
      <w:pPr>
        <w:spacing w:after="0" w:line="240" w:lineRule="auto"/>
      </w:pPr>
      <w:r>
        <w:separator/>
      </w:r>
    </w:p>
  </w:endnote>
  <w:endnote w:type="continuationSeparator" w:id="0">
    <w:p w14:paraId="34C8D727" w14:textId="77777777" w:rsidR="00593432" w:rsidRDefault="00593432" w:rsidP="00E0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459995689"/>
      <w:docPartObj>
        <w:docPartGallery w:val="Page Numbers (Bottom of Page)"/>
        <w:docPartUnique/>
      </w:docPartObj>
    </w:sdtPr>
    <w:sdtEndPr/>
    <w:sdtContent>
      <w:p w14:paraId="16436B0E" w14:textId="77777777" w:rsidR="00E00FEB" w:rsidRPr="003D1580" w:rsidRDefault="00E00FEB">
        <w:pPr>
          <w:pStyle w:val="Porat"/>
          <w:jc w:val="right"/>
          <w:rPr>
            <w:rFonts w:ascii="Arial" w:hAnsi="Arial" w:cs="Arial"/>
          </w:rPr>
        </w:pPr>
        <w:r w:rsidRPr="003D1580">
          <w:rPr>
            <w:rFonts w:ascii="Arial" w:hAnsi="Arial" w:cs="Arial"/>
          </w:rPr>
          <w:fldChar w:fldCharType="begin"/>
        </w:r>
        <w:r w:rsidRPr="003D1580">
          <w:rPr>
            <w:rFonts w:ascii="Arial" w:hAnsi="Arial" w:cs="Arial"/>
          </w:rPr>
          <w:instrText>PAGE   \* MERGEFORMAT</w:instrText>
        </w:r>
        <w:r w:rsidRPr="003D1580">
          <w:rPr>
            <w:rFonts w:ascii="Arial" w:hAnsi="Arial" w:cs="Arial"/>
          </w:rPr>
          <w:fldChar w:fldCharType="separate"/>
        </w:r>
        <w:r w:rsidR="00F159BE" w:rsidRPr="003D1580">
          <w:rPr>
            <w:rFonts w:ascii="Arial" w:hAnsi="Arial" w:cs="Arial"/>
            <w:noProof/>
          </w:rPr>
          <w:t>1</w:t>
        </w:r>
        <w:r w:rsidRPr="003D1580">
          <w:rPr>
            <w:rFonts w:ascii="Arial" w:hAnsi="Arial" w:cs="Arial"/>
          </w:rPr>
          <w:fldChar w:fldCharType="end"/>
        </w:r>
        <w:r w:rsidRPr="003D1580">
          <w:rPr>
            <w:rFonts w:ascii="Arial" w:hAnsi="Arial" w:cs="Arial"/>
          </w:rPr>
          <w:t xml:space="preserve"> lapas iš 2</w:t>
        </w:r>
      </w:p>
    </w:sdtContent>
  </w:sdt>
  <w:p w14:paraId="336EC82F" w14:textId="77777777" w:rsidR="00E00FEB" w:rsidRDefault="00E00FE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6BC0A" w14:textId="77777777" w:rsidR="00593432" w:rsidRDefault="00593432" w:rsidP="00E00FEB">
      <w:pPr>
        <w:spacing w:after="0" w:line="240" w:lineRule="auto"/>
      </w:pPr>
      <w:r>
        <w:separator/>
      </w:r>
    </w:p>
  </w:footnote>
  <w:footnote w:type="continuationSeparator" w:id="0">
    <w:p w14:paraId="6D762E24" w14:textId="77777777" w:rsidR="00593432" w:rsidRDefault="00593432" w:rsidP="00E00F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E0"/>
    <w:rsid w:val="000A727D"/>
    <w:rsid w:val="000E3919"/>
    <w:rsid w:val="000F11E0"/>
    <w:rsid w:val="00173020"/>
    <w:rsid w:val="002C36AA"/>
    <w:rsid w:val="002F1052"/>
    <w:rsid w:val="002F44B1"/>
    <w:rsid w:val="00325130"/>
    <w:rsid w:val="003B0DF4"/>
    <w:rsid w:val="003D1580"/>
    <w:rsid w:val="0049568C"/>
    <w:rsid w:val="00593432"/>
    <w:rsid w:val="00685BB7"/>
    <w:rsid w:val="006B13C9"/>
    <w:rsid w:val="006B5C1F"/>
    <w:rsid w:val="008B0616"/>
    <w:rsid w:val="008D0C00"/>
    <w:rsid w:val="00900F91"/>
    <w:rsid w:val="00972A04"/>
    <w:rsid w:val="00973810"/>
    <w:rsid w:val="0098202D"/>
    <w:rsid w:val="00AE7F36"/>
    <w:rsid w:val="00AF6C5C"/>
    <w:rsid w:val="00B00557"/>
    <w:rsid w:val="00B73CC3"/>
    <w:rsid w:val="00BC22EB"/>
    <w:rsid w:val="00C36123"/>
    <w:rsid w:val="00C761E9"/>
    <w:rsid w:val="00CD2E70"/>
    <w:rsid w:val="00D40B06"/>
    <w:rsid w:val="00DF24F9"/>
    <w:rsid w:val="00E00FEB"/>
    <w:rsid w:val="00E46A49"/>
    <w:rsid w:val="00F1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AE38"/>
  <w15:docId w15:val="{C373F6B7-525C-46C3-826B-840C3CB9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0F11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FEB"/>
  </w:style>
  <w:style w:type="paragraph" w:styleId="Porat">
    <w:name w:val="footer"/>
    <w:basedOn w:val="prastasis"/>
    <w:link w:val="PoratDiagrama"/>
    <w:uiPriority w:val="99"/>
    <w:unhideWhenUsed/>
    <w:rsid w:val="00E00F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FEB"/>
  </w:style>
  <w:style w:type="table" w:customStyle="1" w:styleId="Lentelstinklelis1">
    <w:name w:val="Lentelės tinklelis1"/>
    <w:basedOn w:val="prastojilentel"/>
    <w:next w:val="Lentelstinklelis"/>
    <w:rsid w:val="0017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7C44-428D-471C-B657-06729751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2978</Words>
  <Characters>1698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zp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Agnė Žilevičiūtė</dc:creator>
  <cp:lastModifiedBy>Arnas Matuzas</cp:lastModifiedBy>
  <cp:revision>2</cp:revision>
  <dcterms:created xsi:type="dcterms:W3CDTF">2025-04-04T12:02:00Z</dcterms:created>
  <dcterms:modified xsi:type="dcterms:W3CDTF">2025-04-04T12:02:00Z</dcterms:modified>
</cp:coreProperties>
</file>