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7E1AD" w14:textId="113B375E" w:rsidR="00E16D4B" w:rsidRPr="00DB0F8C" w:rsidRDefault="00E16D4B" w:rsidP="007B4FB7">
      <w:pPr>
        <w:pStyle w:val="paragraph"/>
        <w:spacing w:before="0" w:beforeAutospacing="0" w:after="160" w:afterAutospacing="0" w:line="22" w:lineRule="atLeast"/>
        <w:jc w:val="center"/>
        <w:textAlignment w:val="baseline"/>
        <w:rPr>
          <w:rStyle w:val="normaltextrun"/>
          <w:rFonts w:ascii="Arial" w:eastAsiaTheme="majorEastAsia" w:hAnsi="Arial" w:cs="Arial"/>
          <w:sz w:val="20"/>
          <w:szCs w:val="20"/>
          <w:lang w:val="en-GB"/>
        </w:rPr>
      </w:pPr>
      <w:r w:rsidRPr="00DB0F8C">
        <w:rPr>
          <w:rStyle w:val="normaltextrun"/>
          <w:rFonts w:ascii="Arial" w:eastAsiaTheme="majorEastAsia" w:hAnsi="Arial" w:cs="Arial"/>
          <w:sz w:val="20"/>
          <w:szCs w:val="20"/>
          <w:lang w:val="en-GB"/>
        </w:rPr>
        <w:t xml:space="preserve">Press </w:t>
      </w:r>
      <w:r w:rsidR="0096248D">
        <w:rPr>
          <w:rStyle w:val="normaltextrun"/>
          <w:rFonts w:ascii="Arial" w:eastAsiaTheme="majorEastAsia" w:hAnsi="Arial" w:cs="Arial"/>
          <w:sz w:val="20"/>
          <w:szCs w:val="20"/>
          <w:lang w:val="en-GB"/>
        </w:rPr>
        <w:t>r</w:t>
      </w:r>
      <w:r w:rsidRPr="00DB0F8C">
        <w:rPr>
          <w:rStyle w:val="normaltextrun"/>
          <w:rFonts w:ascii="Arial" w:eastAsiaTheme="majorEastAsia" w:hAnsi="Arial" w:cs="Arial"/>
          <w:sz w:val="20"/>
          <w:szCs w:val="20"/>
          <w:lang w:val="en-GB"/>
        </w:rPr>
        <w:t>elease</w:t>
      </w:r>
    </w:p>
    <w:p w14:paraId="452292EC" w14:textId="30A20538" w:rsidR="00E16D4B" w:rsidRPr="00DB0F8C" w:rsidRDefault="00E16D4B" w:rsidP="007B4FB7">
      <w:pPr>
        <w:pStyle w:val="paragraph"/>
        <w:spacing w:before="0" w:beforeAutospacing="0" w:after="160" w:afterAutospacing="0" w:line="22" w:lineRule="atLeast"/>
        <w:jc w:val="center"/>
        <w:textAlignment w:val="baseline"/>
        <w:rPr>
          <w:rStyle w:val="normaltextrun"/>
          <w:rFonts w:ascii="Arial" w:eastAsiaTheme="majorEastAsia" w:hAnsi="Arial" w:cs="Arial"/>
          <w:sz w:val="20"/>
          <w:szCs w:val="20"/>
          <w:lang w:val="en-GB"/>
        </w:rPr>
      </w:pPr>
      <w:r w:rsidRPr="00DB0F8C">
        <w:rPr>
          <w:rStyle w:val="normaltextrun"/>
          <w:rFonts w:ascii="Arial" w:eastAsiaTheme="majorEastAsia" w:hAnsi="Arial" w:cs="Arial"/>
          <w:sz w:val="20"/>
          <w:szCs w:val="20"/>
          <w:lang w:val="en-GB"/>
        </w:rPr>
        <w:t>2024-0</w:t>
      </w:r>
      <w:r w:rsidR="009B5D35" w:rsidRPr="00DB0F8C">
        <w:rPr>
          <w:rStyle w:val="normaltextrun"/>
          <w:rFonts w:ascii="Arial" w:eastAsiaTheme="majorEastAsia" w:hAnsi="Arial" w:cs="Arial"/>
          <w:sz w:val="20"/>
          <w:szCs w:val="20"/>
          <w:lang w:val="en-GB"/>
        </w:rPr>
        <w:t>8-09</w:t>
      </w:r>
    </w:p>
    <w:p w14:paraId="05162E21" w14:textId="77777777" w:rsidR="00E16D4B" w:rsidRPr="00DB0F8C" w:rsidRDefault="00E16D4B" w:rsidP="007B4FB7">
      <w:pPr>
        <w:pStyle w:val="paragraph"/>
        <w:spacing w:before="0" w:beforeAutospacing="0" w:after="160" w:afterAutospacing="0" w:line="22" w:lineRule="atLeast"/>
        <w:jc w:val="center"/>
        <w:textAlignment w:val="baseline"/>
        <w:rPr>
          <w:rStyle w:val="eop"/>
          <w:rFonts w:ascii="Arial" w:eastAsiaTheme="majorEastAsia" w:hAnsi="Arial" w:cs="Arial"/>
          <w:sz w:val="20"/>
          <w:szCs w:val="20"/>
          <w:lang w:val="en-GB"/>
        </w:rPr>
      </w:pPr>
    </w:p>
    <w:p w14:paraId="1D25FF3E" w14:textId="6FF50941" w:rsidR="00380017" w:rsidRPr="00DB0F8C" w:rsidRDefault="00380017" w:rsidP="007B4FB7">
      <w:pPr>
        <w:spacing w:line="22" w:lineRule="atLeast"/>
        <w:jc w:val="center"/>
        <w:rPr>
          <w:rFonts w:ascii="Arial" w:hAnsi="Arial" w:cs="Arial"/>
          <w:b/>
          <w:bCs/>
          <w:color w:val="0D0D0D"/>
          <w:sz w:val="24"/>
          <w:szCs w:val="24"/>
          <w:shd w:val="clear" w:color="auto" w:fill="FFFFFF"/>
          <w:lang w:val="en-GB"/>
        </w:rPr>
      </w:pPr>
      <w:r w:rsidRPr="00DB0F8C">
        <w:rPr>
          <w:rFonts w:ascii="Arial" w:hAnsi="Arial" w:cs="Arial"/>
          <w:b/>
          <w:bCs/>
          <w:color w:val="0D0D0D"/>
          <w:sz w:val="24"/>
          <w:szCs w:val="24"/>
          <w:shd w:val="clear" w:color="auto" w:fill="FFFFFF"/>
          <w:lang w:val="en-GB"/>
        </w:rPr>
        <w:t xml:space="preserve">Litgrid </w:t>
      </w:r>
      <w:r w:rsidR="00FA70E6" w:rsidRPr="00DB0F8C">
        <w:rPr>
          <w:rFonts w:ascii="Arial" w:hAnsi="Arial" w:cs="Arial"/>
          <w:b/>
          <w:bCs/>
          <w:color w:val="0D0D0D"/>
          <w:sz w:val="24"/>
          <w:szCs w:val="24"/>
          <w:shd w:val="clear" w:color="auto" w:fill="FFFFFF"/>
          <w:lang w:val="en-GB"/>
        </w:rPr>
        <w:t xml:space="preserve">announces </w:t>
      </w:r>
      <w:r w:rsidRPr="00DB0F8C">
        <w:rPr>
          <w:rFonts w:ascii="Arial" w:hAnsi="Arial" w:cs="Arial"/>
          <w:b/>
          <w:bCs/>
          <w:color w:val="0D0D0D"/>
          <w:sz w:val="24"/>
          <w:szCs w:val="24"/>
          <w:shd w:val="clear" w:color="auto" w:fill="FFFFFF"/>
          <w:lang w:val="en-GB"/>
        </w:rPr>
        <w:t xml:space="preserve">results for the first </w:t>
      </w:r>
      <w:r w:rsidR="009B5D35" w:rsidRPr="00DB0F8C">
        <w:rPr>
          <w:rFonts w:ascii="Arial" w:hAnsi="Arial" w:cs="Arial"/>
          <w:b/>
          <w:bCs/>
          <w:color w:val="0D0D0D"/>
          <w:sz w:val="24"/>
          <w:szCs w:val="24"/>
          <w:shd w:val="clear" w:color="auto" w:fill="FFFFFF"/>
          <w:lang w:val="en-GB"/>
        </w:rPr>
        <w:t>half of 2024</w:t>
      </w:r>
      <w:r w:rsidRPr="00DB0F8C">
        <w:rPr>
          <w:rFonts w:ascii="Arial" w:hAnsi="Arial" w:cs="Arial"/>
          <w:b/>
          <w:bCs/>
          <w:color w:val="0D0D0D"/>
          <w:sz w:val="24"/>
          <w:szCs w:val="24"/>
          <w:shd w:val="clear" w:color="auto" w:fill="FFFFFF"/>
          <w:lang w:val="en-GB"/>
        </w:rPr>
        <w:t>:</w:t>
      </w:r>
      <w:r w:rsidR="00FA70E6" w:rsidRPr="00DB0F8C">
        <w:rPr>
          <w:rFonts w:ascii="Arial" w:hAnsi="Arial" w:cs="Arial"/>
          <w:b/>
          <w:bCs/>
          <w:color w:val="0D0D0D"/>
          <w:sz w:val="24"/>
          <w:szCs w:val="24"/>
          <w:shd w:val="clear" w:color="auto" w:fill="FFFFFF"/>
          <w:lang w:val="en-GB"/>
        </w:rPr>
        <w:t xml:space="preserve"> </w:t>
      </w:r>
      <w:r w:rsidR="001C3926" w:rsidRPr="00DB0F8C">
        <w:rPr>
          <w:rFonts w:ascii="Arial" w:hAnsi="Arial" w:cs="Arial"/>
          <w:b/>
          <w:bCs/>
          <w:color w:val="0D0D0D"/>
          <w:sz w:val="24"/>
          <w:szCs w:val="24"/>
          <w:shd w:val="clear" w:color="auto" w:fill="FFFFFF"/>
          <w:lang w:val="en-GB"/>
        </w:rPr>
        <w:t>continu</w:t>
      </w:r>
      <w:r w:rsidR="00DB0F8C" w:rsidRPr="00DB0F8C">
        <w:rPr>
          <w:rFonts w:ascii="Arial" w:hAnsi="Arial" w:cs="Arial"/>
          <w:b/>
          <w:bCs/>
          <w:color w:val="0D0D0D"/>
          <w:sz w:val="24"/>
          <w:szCs w:val="24"/>
          <w:shd w:val="clear" w:color="auto" w:fill="FFFFFF"/>
          <w:lang w:val="en-GB"/>
        </w:rPr>
        <w:t>ed</w:t>
      </w:r>
      <w:r w:rsidR="001C3926" w:rsidRPr="00DB0F8C">
        <w:rPr>
          <w:rFonts w:ascii="Arial" w:hAnsi="Arial" w:cs="Arial"/>
          <w:b/>
          <w:bCs/>
          <w:color w:val="0D0D0D"/>
          <w:sz w:val="24"/>
          <w:szCs w:val="24"/>
          <w:shd w:val="clear" w:color="auto" w:fill="FFFFFF"/>
          <w:lang w:val="en-GB"/>
        </w:rPr>
        <w:t xml:space="preserve"> preparation for synchroni</w:t>
      </w:r>
      <w:r w:rsidR="00DB0F8C" w:rsidRPr="00DB0F8C">
        <w:rPr>
          <w:rFonts w:ascii="Arial" w:hAnsi="Arial" w:cs="Arial"/>
          <w:b/>
          <w:bCs/>
          <w:color w:val="0D0D0D"/>
          <w:sz w:val="24"/>
          <w:szCs w:val="24"/>
          <w:shd w:val="clear" w:color="auto" w:fill="FFFFFF"/>
          <w:lang w:val="en-GB"/>
        </w:rPr>
        <w:t>s</w:t>
      </w:r>
      <w:r w:rsidR="001C3926" w:rsidRPr="00DB0F8C">
        <w:rPr>
          <w:rFonts w:ascii="Arial" w:hAnsi="Arial" w:cs="Arial"/>
          <w:b/>
          <w:bCs/>
          <w:color w:val="0D0D0D"/>
          <w:sz w:val="24"/>
          <w:szCs w:val="24"/>
          <w:shd w:val="clear" w:color="auto" w:fill="FFFFFF"/>
          <w:lang w:val="en-GB"/>
        </w:rPr>
        <w:t xml:space="preserve">ation, </w:t>
      </w:r>
      <w:r w:rsidR="00462CB3">
        <w:rPr>
          <w:rFonts w:ascii="Arial" w:hAnsi="Arial" w:cs="Arial"/>
          <w:b/>
          <w:bCs/>
          <w:color w:val="0D0D0D"/>
          <w:sz w:val="24"/>
          <w:szCs w:val="24"/>
          <w:shd w:val="clear" w:color="auto" w:fill="FFFFFF"/>
          <w:lang w:val="en-GB"/>
        </w:rPr>
        <w:t>focus on renewable energy</w:t>
      </w:r>
    </w:p>
    <w:p w14:paraId="60BA781A" w14:textId="649D7379" w:rsidR="00C743D5" w:rsidRPr="00DB0F8C" w:rsidRDefault="00A77BF4" w:rsidP="007B4FB7">
      <w:pPr>
        <w:spacing w:line="22" w:lineRule="atLeast"/>
        <w:jc w:val="both"/>
        <w:rPr>
          <w:rFonts w:ascii="Arial" w:hAnsi="Arial" w:cs="Arial"/>
          <w:b/>
          <w:bCs/>
          <w:lang w:val="en-GB"/>
        </w:rPr>
      </w:pPr>
      <w:r>
        <w:rPr>
          <w:rFonts w:ascii="Arial" w:hAnsi="Arial" w:cs="Arial"/>
          <w:b/>
          <w:bCs/>
          <w:lang w:val="en-GB"/>
        </w:rPr>
        <w:t xml:space="preserve">In the first half of the 2024, </w:t>
      </w:r>
      <w:r w:rsidR="00122B96" w:rsidRPr="00DB0F8C">
        <w:rPr>
          <w:rFonts w:ascii="Arial" w:hAnsi="Arial" w:cs="Arial"/>
          <w:b/>
          <w:bCs/>
          <w:lang w:val="en-GB"/>
        </w:rPr>
        <w:t>Lithuania</w:t>
      </w:r>
      <w:r w:rsidR="00462CB3">
        <w:rPr>
          <w:rFonts w:ascii="Arial" w:hAnsi="Arial" w:cs="Arial"/>
          <w:b/>
          <w:bCs/>
          <w:lang w:val="en-GB"/>
        </w:rPr>
        <w:t>n</w:t>
      </w:r>
      <w:r w:rsidR="00122B96" w:rsidRPr="00DB0F8C">
        <w:rPr>
          <w:rFonts w:ascii="Arial" w:hAnsi="Arial" w:cs="Arial"/>
          <w:b/>
          <w:bCs/>
          <w:lang w:val="en-GB"/>
        </w:rPr>
        <w:t xml:space="preserve"> electricity transmission system operator</w:t>
      </w:r>
      <w:r w:rsidR="00462CB3">
        <w:rPr>
          <w:rFonts w:ascii="Arial" w:hAnsi="Arial" w:cs="Arial"/>
          <w:b/>
          <w:bCs/>
          <w:lang w:val="en-GB"/>
        </w:rPr>
        <w:t xml:space="preserve"> Litgrid has</w:t>
      </w:r>
      <w:r w:rsidR="00122B96" w:rsidRPr="00DB0F8C">
        <w:rPr>
          <w:rFonts w:ascii="Arial" w:hAnsi="Arial" w:cs="Arial"/>
          <w:b/>
          <w:bCs/>
          <w:lang w:val="en-GB"/>
        </w:rPr>
        <w:t xml:space="preserve"> continued its preparations for synchronisation with the continental European grid,</w:t>
      </w:r>
      <w:r w:rsidR="005F60EB">
        <w:rPr>
          <w:rFonts w:ascii="Arial" w:hAnsi="Arial" w:cs="Arial"/>
          <w:b/>
          <w:bCs/>
          <w:lang w:val="en-GB"/>
        </w:rPr>
        <w:t xml:space="preserve"> </w:t>
      </w:r>
      <w:r w:rsidR="00F64050">
        <w:rPr>
          <w:rFonts w:ascii="Arial" w:hAnsi="Arial" w:cs="Arial"/>
          <w:b/>
          <w:bCs/>
          <w:lang w:val="en-GB"/>
        </w:rPr>
        <w:t xml:space="preserve">enabled </w:t>
      </w:r>
      <w:r w:rsidR="005E609F">
        <w:rPr>
          <w:rFonts w:ascii="Arial" w:hAnsi="Arial" w:cs="Arial"/>
          <w:b/>
          <w:bCs/>
          <w:lang w:val="en-GB"/>
        </w:rPr>
        <w:t xml:space="preserve">smooth </w:t>
      </w:r>
      <w:r>
        <w:rPr>
          <w:rFonts w:ascii="Arial" w:hAnsi="Arial" w:cs="Arial"/>
          <w:b/>
          <w:bCs/>
          <w:lang w:val="en-GB"/>
        </w:rPr>
        <w:t>implementation of renewable energy projects</w:t>
      </w:r>
      <w:r w:rsidR="00122B96" w:rsidRPr="00DB0F8C">
        <w:rPr>
          <w:rFonts w:ascii="Arial" w:hAnsi="Arial" w:cs="Arial"/>
          <w:b/>
          <w:bCs/>
          <w:lang w:val="en-GB"/>
        </w:rPr>
        <w:t>, and ensured reliable electricity transmission. Compared to the same period a year ago, the company's revenue and profit grew.</w:t>
      </w:r>
    </w:p>
    <w:p w14:paraId="0556B355" w14:textId="5F94F764" w:rsidR="00FD199C" w:rsidRPr="00FD199C" w:rsidRDefault="00FD199C" w:rsidP="00FD199C">
      <w:pPr>
        <w:spacing w:line="22" w:lineRule="atLeast"/>
        <w:jc w:val="both"/>
        <w:rPr>
          <w:rFonts w:ascii="Arial" w:hAnsi="Arial" w:cs="Arial"/>
          <w:sz w:val="20"/>
          <w:szCs w:val="20"/>
          <w:lang w:val="en-GB"/>
        </w:rPr>
      </w:pPr>
      <w:r>
        <w:rPr>
          <w:rFonts w:ascii="Arial" w:hAnsi="Arial" w:cs="Arial"/>
          <w:sz w:val="20"/>
          <w:szCs w:val="20"/>
          <w:lang w:val="en-GB"/>
        </w:rPr>
        <w:t>“</w:t>
      </w:r>
      <w:r w:rsidRPr="00FD199C">
        <w:rPr>
          <w:rFonts w:ascii="Arial" w:hAnsi="Arial" w:cs="Arial"/>
          <w:sz w:val="20"/>
          <w:szCs w:val="20"/>
          <w:lang w:val="en-GB"/>
        </w:rPr>
        <w:t xml:space="preserve">During the second quarter of the year, we continued to implement important </w:t>
      </w:r>
      <w:r>
        <w:rPr>
          <w:rFonts w:ascii="Arial" w:hAnsi="Arial" w:cs="Arial"/>
          <w:sz w:val="20"/>
          <w:szCs w:val="20"/>
          <w:lang w:val="en-GB"/>
        </w:rPr>
        <w:t>preparation works</w:t>
      </w:r>
      <w:r w:rsidRPr="00FD199C">
        <w:rPr>
          <w:rFonts w:ascii="Arial" w:hAnsi="Arial" w:cs="Arial"/>
          <w:sz w:val="20"/>
          <w:szCs w:val="20"/>
          <w:lang w:val="en-GB"/>
        </w:rPr>
        <w:t xml:space="preserve"> for the synchroni</w:t>
      </w:r>
      <w:r>
        <w:rPr>
          <w:rFonts w:ascii="Arial" w:hAnsi="Arial" w:cs="Arial"/>
          <w:sz w:val="20"/>
          <w:szCs w:val="20"/>
          <w:lang w:val="en-GB"/>
        </w:rPr>
        <w:t>s</w:t>
      </w:r>
      <w:r w:rsidRPr="00FD199C">
        <w:rPr>
          <w:rFonts w:ascii="Arial" w:hAnsi="Arial" w:cs="Arial"/>
          <w:sz w:val="20"/>
          <w:szCs w:val="20"/>
          <w:lang w:val="en-GB"/>
        </w:rPr>
        <w:t xml:space="preserve">ation of the Baltic countries with the continental Europe. The components of the third synchronous </w:t>
      </w:r>
      <w:r>
        <w:rPr>
          <w:rFonts w:ascii="Arial" w:hAnsi="Arial" w:cs="Arial"/>
          <w:sz w:val="20"/>
          <w:szCs w:val="20"/>
          <w:lang w:val="en-GB"/>
        </w:rPr>
        <w:t>condenser</w:t>
      </w:r>
      <w:r w:rsidRPr="00FD199C">
        <w:rPr>
          <w:rFonts w:ascii="Arial" w:hAnsi="Arial" w:cs="Arial"/>
          <w:sz w:val="20"/>
          <w:szCs w:val="20"/>
          <w:lang w:val="en-GB"/>
        </w:rPr>
        <w:t xml:space="preserve"> have arrived at the Neris substation, while we continue</w:t>
      </w:r>
      <w:r>
        <w:rPr>
          <w:rFonts w:ascii="Arial" w:hAnsi="Arial" w:cs="Arial"/>
          <w:sz w:val="20"/>
          <w:szCs w:val="20"/>
          <w:lang w:val="en-GB"/>
        </w:rPr>
        <w:t>d</w:t>
      </w:r>
      <w:r w:rsidRPr="00FD199C">
        <w:rPr>
          <w:rFonts w:ascii="Arial" w:hAnsi="Arial" w:cs="Arial"/>
          <w:sz w:val="20"/>
          <w:szCs w:val="20"/>
          <w:lang w:val="en-GB"/>
        </w:rPr>
        <w:t xml:space="preserve"> the installation of the other two devices in Alytus and Telšiai. In the Neris substation, we also connected the temporary connection </w:t>
      </w:r>
      <w:r>
        <w:rPr>
          <w:rFonts w:ascii="Arial" w:hAnsi="Arial" w:cs="Arial"/>
          <w:sz w:val="20"/>
          <w:szCs w:val="20"/>
          <w:lang w:val="en-GB"/>
        </w:rPr>
        <w:t>Lietuvos E</w:t>
      </w:r>
      <w:r w:rsidRPr="00FD199C">
        <w:rPr>
          <w:rFonts w:ascii="Arial" w:hAnsi="Arial" w:cs="Arial"/>
          <w:sz w:val="20"/>
          <w:szCs w:val="20"/>
          <w:lang w:val="en-GB"/>
        </w:rPr>
        <w:t xml:space="preserve">–Neris–Utena, which is important for the reliability of the transmission network, while </w:t>
      </w:r>
      <w:r w:rsidR="00C87308">
        <w:rPr>
          <w:rFonts w:ascii="Arial" w:hAnsi="Arial" w:cs="Arial"/>
          <w:sz w:val="20"/>
          <w:szCs w:val="20"/>
          <w:lang w:val="en-GB"/>
        </w:rPr>
        <w:t xml:space="preserve">other projects are </w:t>
      </w:r>
      <w:r w:rsidRPr="00FD199C">
        <w:rPr>
          <w:rFonts w:ascii="Arial" w:hAnsi="Arial" w:cs="Arial"/>
          <w:sz w:val="20"/>
          <w:szCs w:val="20"/>
          <w:lang w:val="en-GB"/>
        </w:rPr>
        <w:t>carr</w:t>
      </w:r>
      <w:r w:rsidR="00C87308">
        <w:rPr>
          <w:rFonts w:ascii="Arial" w:hAnsi="Arial" w:cs="Arial"/>
          <w:sz w:val="20"/>
          <w:szCs w:val="20"/>
          <w:lang w:val="en-GB"/>
        </w:rPr>
        <w:t>ied</w:t>
      </w:r>
      <w:r w:rsidRPr="00FD199C">
        <w:rPr>
          <w:rFonts w:ascii="Arial" w:hAnsi="Arial" w:cs="Arial"/>
          <w:sz w:val="20"/>
          <w:szCs w:val="20"/>
          <w:lang w:val="en-GB"/>
        </w:rPr>
        <w:t xml:space="preserve"> out. We also completed the reconstruction of the 330 kV line </w:t>
      </w:r>
      <w:proofErr w:type="spellStart"/>
      <w:r w:rsidRPr="00FD199C">
        <w:rPr>
          <w:rFonts w:ascii="Arial" w:hAnsi="Arial" w:cs="Arial"/>
          <w:sz w:val="20"/>
          <w:szCs w:val="20"/>
          <w:lang w:val="en-GB"/>
        </w:rPr>
        <w:t>Klaipėda</w:t>
      </w:r>
      <w:proofErr w:type="spellEnd"/>
      <w:r w:rsidRPr="00FD199C">
        <w:rPr>
          <w:rFonts w:ascii="Arial" w:hAnsi="Arial" w:cs="Arial"/>
          <w:sz w:val="20"/>
          <w:szCs w:val="20"/>
          <w:lang w:val="en-GB"/>
        </w:rPr>
        <w:t xml:space="preserve">–Šyša. In July, together with the Latvian and Estonian electricity transmission operators AST and Elering, we sent a notice to withdraw from the Russian-controlled electricity system in February 2025, and in exactly half a year </w:t>
      </w:r>
      <w:r w:rsidR="000C2027">
        <w:rPr>
          <w:rFonts w:ascii="Arial" w:hAnsi="Arial" w:cs="Arial"/>
          <w:sz w:val="20"/>
          <w:szCs w:val="20"/>
          <w:lang w:val="en-GB"/>
        </w:rPr>
        <w:t xml:space="preserve">from now </w:t>
      </w:r>
      <w:r w:rsidRPr="00FD199C">
        <w:rPr>
          <w:rFonts w:ascii="Arial" w:hAnsi="Arial" w:cs="Arial"/>
          <w:sz w:val="20"/>
          <w:szCs w:val="20"/>
          <w:lang w:val="en-GB"/>
        </w:rPr>
        <w:t xml:space="preserve">we plan to join the </w:t>
      </w:r>
      <w:r w:rsidR="000C2027">
        <w:rPr>
          <w:rFonts w:ascii="Arial" w:hAnsi="Arial" w:cs="Arial"/>
          <w:sz w:val="20"/>
          <w:szCs w:val="20"/>
          <w:lang w:val="en-GB"/>
        </w:rPr>
        <w:t>C</w:t>
      </w:r>
      <w:r w:rsidRPr="00FD199C">
        <w:rPr>
          <w:rFonts w:ascii="Arial" w:hAnsi="Arial" w:cs="Arial"/>
          <w:sz w:val="20"/>
          <w:szCs w:val="20"/>
          <w:lang w:val="en-GB"/>
        </w:rPr>
        <w:t xml:space="preserve">ontinental Europe </w:t>
      </w:r>
      <w:r w:rsidR="000C2027">
        <w:rPr>
          <w:rFonts w:ascii="Arial" w:hAnsi="Arial" w:cs="Arial"/>
          <w:sz w:val="20"/>
          <w:szCs w:val="20"/>
          <w:lang w:val="en-GB"/>
        </w:rPr>
        <w:t>S</w:t>
      </w:r>
      <w:r w:rsidRPr="00FD199C">
        <w:rPr>
          <w:rFonts w:ascii="Arial" w:hAnsi="Arial" w:cs="Arial"/>
          <w:sz w:val="20"/>
          <w:szCs w:val="20"/>
          <w:lang w:val="en-GB"/>
        </w:rPr>
        <w:t xml:space="preserve">ynchronous </w:t>
      </w:r>
      <w:r w:rsidR="000C2027">
        <w:rPr>
          <w:rFonts w:ascii="Arial" w:hAnsi="Arial" w:cs="Arial"/>
          <w:sz w:val="20"/>
          <w:szCs w:val="20"/>
          <w:lang w:val="en-GB"/>
        </w:rPr>
        <w:t>Area</w:t>
      </w:r>
      <w:r w:rsidRPr="00FD199C">
        <w:rPr>
          <w:rFonts w:ascii="Arial" w:hAnsi="Arial" w:cs="Arial"/>
          <w:sz w:val="20"/>
          <w:szCs w:val="20"/>
          <w:lang w:val="en-GB"/>
        </w:rPr>
        <w:t>,</w:t>
      </w:r>
      <w:r w:rsidR="000C2027">
        <w:rPr>
          <w:rFonts w:ascii="Arial" w:hAnsi="Arial" w:cs="Arial"/>
          <w:sz w:val="20"/>
          <w:szCs w:val="20"/>
          <w:lang w:val="en-GB"/>
        </w:rPr>
        <w:t>”</w:t>
      </w:r>
      <w:r w:rsidRPr="00FD199C">
        <w:rPr>
          <w:rFonts w:ascii="Arial" w:hAnsi="Arial" w:cs="Arial"/>
          <w:sz w:val="20"/>
          <w:szCs w:val="20"/>
          <w:lang w:val="en-GB"/>
        </w:rPr>
        <w:t xml:space="preserve"> says Rokas Masiulis, </w:t>
      </w:r>
      <w:r w:rsidR="000C2027">
        <w:rPr>
          <w:rFonts w:ascii="Arial" w:hAnsi="Arial" w:cs="Arial"/>
          <w:sz w:val="20"/>
          <w:szCs w:val="20"/>
          <w:lang w:val="en-GB"/>
        </w:rPr>
        <w:t>CEO</w:t>
      </w:r>
      <w:r w:rsidRPr="00FD199C">
        <w:rPr>
          <w:rFonts w:ascii="Arial" w:hAnsi="Arial" w:cs="Arial"/>
          <w:sz w:val="20"/>
          <w:szCs w:val="20"/>
          <w:lang w:val="en-GB"/>
        </w:rPr>
        <w:t xml:space="preserve"> of Litgrid.</w:t>
      </w:r>
    </w:p>
    <w:p w14:paraId="6A2A8524" w14:textId="24AC33E8" w:rsidR="00FD199C" w:rsidRPr="00FD199C" w:rsidRDefault="00FD199C" w:rsidP="00FD199C">
      <w:pPr>
        <w:spacing w:line="22" w:lineRule="atLeast"/>
        <w:jc w:val="both"/>
        <w:rPr>
          <w:rFonts w:ascii="Arial" w:hAnsi="Arial" w:cs="Arial"/>
          <w:sz w:val="20"/>
          <w:szCs w:val="20"/>
          <w:lang w:val="en-GB"/>
        </w:rPr>
      </w:pPr>
      <w:r w:rsidRPr="00FD199C">
        <w:rPr>
          <w:rFonts w:ascii="Arial" w:hAnsi="Arial" w:cs="Arial"/>
          <w:sz w:val="20"/>
          <w:szCs w:val="20"/>
          <w:lang w:val="en-GB"/>
        </w:rPr>
        <w:t xml:space="preserve">In the second quarter, Litgrid continued to focus on the </w:t>
      </w:r>
      <w:r w:rsidR="000C2027">
        <w:rPr>
          <w:rFonts w:ascii="Arial" w:hAnsi="Arial" w:cs="Arial"/>
          <w:sz w:val="20"/>
          <w:szCs w:val="20"/>
          <w:lang w:val="en-GB"/>
        </w:rPr>
        <w:t>integration</w:t>
      </w:r>
      <w:r w:rsidRPr="00FD199C">
        <w:rPr>
          <w:rFonts w:ascii="Arial" w:hAnsi="Arial" w:cs="Arial"/>
          <w:sz w:val="20"/>
          <w:szCs w:val="20"/>
          <w:lang w:val="en-GB"/>
        </w:rPr>
        <w:t xml:space="preserve"> of renewable energy sources to the electricity transmission </w:t>
      </w:r>
      <w:r w:rsidR="000C2027">
        <w:rPr>
          <w:rFonts w:ascii="Arial" w:hAnsi="Arial" w:cs="Arial"/>
          <w:sz w:val="20"/>
          <w:szCs w:val="20"/>
          <w:lang w:val="en-GB"/>
        </w:rPr>
        <w:t>grid</w:t>
      </w:r>
      <w:r w:rsidRPr="00FD199C">
        <w:rPr>
          <w:rFonts w:ascii="Arial" w:hAnsi="Arial" w:cs="Arial"/>
          <w:sz w:val="20"/>
          <w:szCs w:val="20"/>
          <w:lang w:val="en-GB"/>
        </w:rPr>
        <w:t xml:space="preserve">. In June, the </w:t>
      </w:r>
      <w:r w:rsidR="000C2027" w:rsidRPr="00DB0F8C">
        <w:rPr>
          <w:rFonts w:ascii="Arial" w:hAnsi="Arial" w:cs="Arial"/>
          <w:sz w:val="20"/>
          <w:szCs w:val="20"/>
          <w:lang w:val="en-GB"/>
        </w:rPr>
        <w:t xml:space="preserve">National Energy Regulatory </w:t>
      </w:r>
      <w:r w:rsidR="000C2027" w:rsidRPr="00DB0F8C">
        <w:rPr>
          <w:rFonts w:ascii="Arial" w:hAnsi="Arial" w:cs="Arial"/>
          <w:bCs/>
          <w:sz w:val="20"/>
          <w:szCs w:val="20"/>
          <w:lang w:val="en-GB"/>
        </w:rPr>
        <w:t>Council</w:t>
      </w:r>
      <w:r w:rsidR="000C2027" w:rsidRPr="00DB0F8C">
        <w:rPr>
          <w:rFonts w:ascii="Arial" w:hAnsi="Arial" w:cs="Arial"/>
          <w:sz w:val="20"/>
          <w:szCs w:val="20"/>
          <w:lang w:val="en-GB"/>
        </w:rPr>
        <w:t xml:space="preserve"> </w:t>
      </w:r>
      <w:r w:rsidRPr="00FD199C">
        <w:rPr>
          <w:rFonts w:ascii="Arial" w:hAnsi="Arial" w:cs="Arial"/>
          <w:sz w:val="20"/>
          <w:szCs w:val="20"/>
          <w:lang w:val="en-GB"/>
        </w:rPr>
        <w:t>(</w:t>
      </w:r>
      <w:r w:rsidR="000C2027">
        <w:rPr>
          <w:rFonts w:ascii="Arial" w:hAnsi="Arial" w:cs="Arial"/>
          <w:sz w:val="20"/>
          <w:szCs w:val="20"/>
          <w:lang w:val="en-GB"/>
        </w:rPr>
        <w:t>NERC</w:t>
      </w:r>
      <w:r w:rsidRPr="00FD199C">
        <w:rPr>
          <w:rFonts w:ascii="Arial" w:hAnsi="Arial" w:cs="Arial"/>
          <w:sz w:val="20"/>
          <w:szCs w:val="20"/>
          <w:lang w:val="en-GB"/>
        </w:rPr>
        <w:t xml:space="preserve">) approved an updated description of the procedure for using electricity transmission </w:t>
      </w:r>
      <w:r w:rsidR="000C2027">
        <w:rPr>
          <w:rFonts w:ascii="Arial" w:hAnsi="Arial" w:cs="Arial"/>
          <w:sz w:val="20"/>
          <w:szCs w:val="20"/>
          <w:lang w:val="en-GB"/>
        </w:rPr>
        <w:t>grid</w:t>
      </w:r>
      <w:r w:rsidRPr="00FD199C">
        <w:rPr>
          <w:rFonts w:ascii="Arial" w:hAnsi="Arial" w:cs="Arial"/>
          <w:sz w:val="20"/>
          <w:szCs w:val="20"/>
          <w:lang w:val="en-GB"/>
        </w:rPr>
        <w:t xml:space="preserve">, which clarifies the provisions of the document, reduces risks for developers and </w:t>
      </w:r>
      <w:r w:rsidR="00DD705A">
        <w:rPr>
          <w:rFonts w:ascii="Arial" w:hAnsi="Arial" w:cs="Arial"/>
          <w:sz w:val="20"/>
          <w:szCs w:val="20"/>
          <w:lang w:val="en-GB"/>
        </w:rPr>
        <w:t>financing</w:t>
      </w:r>
      <w:r w:rsidRPr="00FD199C">
        <w:rPr>
          <w:rFonts w:ascii="Arial" w:hAnsi="Arial" w:cs="Arial"/>
          <w:sz w:val="20"/>
          <w:szCs w:val="20"/>
          <w:lang w:val="en-GB"/>
        </w:rPr>
        <w:t xml:space="preserve"> institutions, details power plant management processes, eliminates redundant requirements, and simplifies the development process of renewable resources power plants.</w:t>
      </w:r>
    </w:p>
    <w:p w14:paraId="6DF6AFF6" w14:textId="3AB40156" w:rsidR="00FD199C" w:rsidRDefault="00FD199C" w:rsidP="00FD199C">
      <w:pPr>
        <w:spacing w:line="22" w:lineRule="atLeast"/>
        <w:jc w:val="both"/>
        <w:rPr>
          <w:rFonts w:ascii="Arial" w:hAnsi="Arial" w:cs="Arial"/>
          <w:sz w:val="20"/>
          <w:szCs w:val="20"/>
          <w:lang w:val="en-GB"/>
        </w:rPr>
      </w:pPr>
      <w:r w:rsidRPr="00FD199C">
        <w:rPr>
          <w:rFonts w:ascii="Arial" w:hAnsi="Arial" w:cs="Arial"/>
          <w:sz w:val="20"/>
          <w:szCs w:val="20"/>
          <w:lang w:val="en-GB"/>
        </w:rPr>
        <w:t xml:space="preserve">In April, </w:t>
      </w:r>
      <w:r w:rsidR="00DD705A">
        <w:rPr>
          <w:rFonts w:ascii="Arial" w:hAnsi="Arial" w:cs="Arial"/>
          <w:sz w:val="20"/>
          <w:szCs w:val="20"/>
          <w:lang w:val="en-GB"/>
        </w:rPr>
        <w:t>a</w:t>
      </w:r>
      <w:r w:rsidRPr="00FD199C">
        <w:rPr>
          <w:rFonts w:ascii="Arial" w:hAnsi="Arial" w:cs="Arial"/>
          <w:sz w:val="20"/>
          <w:szCs w:val="20"/>
          <w:lang w:val="en-GB"/>
        </w:rPr>
        <w:t xml:space="preserve"> solar power plant with permitted generation capacity</w:t>
      </w:r>
      <w:r w:rsidR="00DD705A">
        <w:rPr>
          <w:rFonts w:ascii="Arial" w:hAnsi="Arial" w:cs="Arial"/>
          <w:sz w:val="20"/>
          <w:szCs w:val="20"/>
          <w:lang w:val="en-GB"/>
        </w:rPr>
        <w:t xml:space="preserve"> of 80 MW</w:t>
      </w:r>
      <w:r w:rsidRPr="00FD199C">
        <w:rPr>
          <w:rFonts w:ascii="Arial" w:hAnsi="Arial" w:cs="Arial"/>
          <w:sz w:val="20"/>
          <w:szCs w:val="20"/>
          <w:lang w:val="en-GB"/>
        </w:rPr>
        <w:t xml:space="preserve"> was connected to the grid in </w:t>
      </w:r>
      <w:proofErr w:type="spellStart"/>
      <w:r w:rsidRPr="00FD199C">
        <w:rPr>
          <w:rFonts w:ascii="Arial" w:hAnsi="Arial" w:cs="Arial"/>
          <w:sz w:val="20"/>
          <w:szCs w:val="20"/>
          <w:lang w:val="en-GB"/>
        </w:rPr>
        <w:t>Molėtai</w:t>
      </w:r>
      <w:proofErr w:type="spellEnd"/>
      <w:r w:rsidRPr="00FD199C">
        <w:rPr>
          <w:rFonts w:ascii="Arial" w:hAnsi="Arial" w:cs="Arial"/>
          <w:sz w:val="20"/>
          <w:szCs w:val="20"/>
          <w:lang w:val="en-GB"/>
        </w:rPr>
        <w:t xml:space="preserve"> district, and in June, the first hybrid park, where wind and solar power plants can produce electricity</w:t>
      </w:r>
      <w:r w:rsidR="00A02F35">
        <w:rPr>
          <w:rFonts w:ascii="Arial" w:hAnsi="Arial" w:cs="Arial"/>
          <w:sz w:val="20"/>
          <w:szCs w:val="20"/>
          <w:lang w:val="en-GB"/>
        </w:rPr>
        <w:t xml:space="preserve">, was connected in </w:t>
      </w:r>
      <w:proofErr w:type="spellStart"/>
      <w:r w:rsidR="00A02F35" w:rsidRPr="00FD199C">
        <w:rPr>
          <w:rFonts w:ascii="Arial" w:hAnsi="Arial" w:cs="Arial"/>
          <w:sz w:val="20"/>
          <w:szCs w:val="20"/>
          <w:lang w:val="en-GB"/>
        </w:rPr>
        <w:t>Tauragė</w:t>
      </w:r>
      <w:proofErr w:type="spellEnd"/>
      <w:r w:rsidR="00A02F35" w:rsidRPr="00FD199C">
        <w:rPr>
          <w:rFonts w:ascii="Arial" w:hAnsi="Arial" w:cs="Arial"/>
          <w:sz w:val="20"/>
          <w:szCs w:val="20"/>
          <w:lang w:val="en-GB"/>
        </w:rPr>
        <w:t xml:space="preserve"> district</w:t>
      </w:r>
      <w:r w:rsidRPr="00FD199C">
        <w:rPr>
          <w:rFonts w:ascii="Arial" w:hAnsi="Arial" w:cs="Arial"/>
          <w:sz w:val="20"/>
          <w:szCs w:val="20"/>
          <w:lang w:val="en-GB"/>
        </w:rPr>
        <w:t xml:space="preserve">. During the transmission network reservation cycle that ended in June, Litgrid preliminarily reserved 1.7 GW </w:t>
      </w:r>
      <w:r w:rsidR="00A02F35">
        <w:rPr>
          <w:rFonts w:ascii="Arial" w:hAnsi="Arial" w:cs="Arial"/>
          <w:sz w:val="20"/>
          <w:szCs w:val="20"/>
          <w:lang w:val="en-GB"/>
        </w:rPr>
        <w:t>capacity</w:t>
      </w:r>
      <w:r w:rsidRPr="00FD199C">
        <w:rPr>
          <w:rFonts w:ascii="Arial" w:hAnsi="Arial" w:cs="Arial"/>
          <w:sz w:val="20"/>
          <w:szCs w:val="20"/>
          <w:lang w:val="en-GB"/>
        </w:rPr>
        <w:t xml:space="preserve"> for renewable energy projects based on 15 requests.</w:t>
      </w:r>
    </w:p>
    <w:p w14:paraId="13B38EE9" w14:textId="72883218" w:rsidR="003E3EB1" w:rsidRPr="00DB0F8C" w:rsidRDefault="003E3EB1" w:rsidP="00FD199C">
      <w:pPr>
        <w:spacing w:line="22" w:lineRule="atLeast"/>
        <w:jc w:val="both"/>
        <w:rPr>
          <w:rFonts w:ascii="Arial" w:hAnsi="Arial" w:cs="Arial"/>
          <w:b/>
          <w:bCs/>
          <w:sz w:val="20"/>
          <w:szCs w:val="20"/>
          <w:lang w:val="en-GB"/>
        </w:rPr>
      </w:pPr>
      <w:r w:rsidRPr="00DB0F8C">
        <w:rPr>
          <w:rFonts w:ascii="Arial" w:hAnsi="Arial" w:cs="Arial"/>
          <w:b/>
          <w:bCs/>
          <w:sz w:val="20"/>
          <w:szCs w:val="20"/>
          <w:lang w:val="en-GB"/>
        </w:rPr>
        <w:t>Reliability of supply</w:t>
      </w:r>
    </w:p>
    <w:p w14:paraId="5CEC00D6" w14:textId="69596D63" w:rsidR="00EC6921" w:rsidRPr="00DB0F8C" w:rsidRDefault="007213AE" w:rsidP="007B4FB7">
      <w:pPr>
        <w:spacing w:line="22" w:lineRule="atLeast"/>
        <w:jc w:val="both"/>
        <w:rPr>
          <w:rFonts w:ascii="Arial" w:hAnsi="Arial" w:cs="Arial"/>
          <w:sz w:val="20"/>
          <w:szCs w:val="20"/>
          <w:lang w:val="en-GB"/>
        </w:rPr>
      </w:pPr>
      <w:r w:rsidRPr="00DB0F8C">
        <w:rPr>
          <w:rFonts w:ascii="Arial" w:hAnsi="Arial" w:cs="Arial"/>
          <w:sz w:val="20"/>
          <w:szCs w:val="20"/>
          <w:lang w:val="en-GB"/>
        </w:rPr>
        <w:t>The amount of electricity transmitted through Lithuania</w:t>
      </w:r>
      <w:r w:rsidR="00DC0DA4">
        <w:rPr>
          <w:rFonts w:ascii="Arial" w:hAnsi="Arial" w:cs="Arial"/>
          <w:sz w:val="20"/>
          <w:szCs w:val="20"/>
          <w:lang w:val="en-GB"/>
        </w:rPr>
        <w:t>n</w:t>
      </w:r>
      <w:r w:rsidRPr="00DB0F8C">
        <w:rPr>
          <w:rFonts w:ascii="Arial" w:hAnsi="Arial" w:cs="Arial"/>
          <w:sz w:val="20"/>
          <w:szCs w:val="20"/>
          <w:lang w:val="en-GB"/>
        </w:rPr>
        <w:t xml:space="preserve"> transmission grid to meet the country's needs increased by </w:t>
      </w:r>
      <w:r w:rsidR="00DC0DA4">
        <w:rPr>
          <w:rFonts w:ascii="Arial" w:hAnsi="Arial" w:cs="Arial"/>
          <w:sz w:val="20"/>
          <w:szCs w:val="20"/>
          <w:lang w:val="en-GB"/>
        </w:rPr>
        <w:t>0.5</w:t>
      </w:r>
      <w:r w:rsidRPr="00DB0F8C">
        <w:rPr>
          <w:rFonts w:ascii="Arial" w:hAnsi="Arial" w:cs="Arial"/>
          <w:sz w:val="20"/>
          <w:szCs w:val="20"/>
          <w:lang w:val="en-GB"/>
        </w:rPr>
        <w:t xml:space="preserve">% from </w:t>
      </w:r>
      <w:r w:rsidR="00DC0DA4">
        <w:rPr>
          <w:rFonts w:ascii="Arial" w:hAnsi="Arial" w:cs="Arial"/>
          <w:sz w:val="20"/>
          <w:szCs w:val="20"/>
          <w:lang w:val="en-GB"/>
        </w:rPr>
        <w:t>4.718</w:t>
      </w:r>
      <w:r w:rsidRPr="00DB0F8C">
        <w:rPr>
          <w:rFonts w:ascii="Arial" w:hAnsi="Arial" w:cs="Arial"/>
          <w:sz w:val="20"/>
          <w:szCs w:val="20"/>
          <w:lang w:val="en-GB"/>
        </w:rPr>
        <w:t xml:space="preserve"> TWh in the first </w:t>
      </w:r>
      <w:r w:rsidR="00DC0DA4">
        <w:rPr>
          <w:rFonts w:ascii="Arial" w:hAnsi="Arial" w:cs="Arial"/>
          <w:sz w:val="20"/>
          <w:szCs w:val="20"/>
          <w:lang w:val="en-GB"/>
        </w:rPr>
        <w:t>half</w:t>
      </w:r>
      <w:r w:rsidRPr="00DB0F8C">
        <w:rPr>
          <w:rFonts w:ascii="Arial" w:hAnsi="Arial" w:cs="Arial"/>
          <w:sz w:val="20"/>
          <w:szCs w:val="20"/>
          <w:lang w:val="en-GB"/>
        </w:rPr>
        <w:t xml:space="preserve"> of last year to </w:t>
      </w:r>
      <w:r w:rsidR="002F4DD7">
        <w:rPr>
          <w:rFonts w:ascii="Arial" w:hAnsi="Arial" w:cs="Arial"/>
          <w:sz w:val="20"/>
          <w:szCs w:val="20"/>
          <w:lang w:val="en-GB"/>
        </w:rPr>
        <w:t>4</w:t>
      </w:r>
      <w:r w:rsidRPr="00DB0F8C">
        <w:rPr>
          <w:rFonts w:ascii="Arial" w:hAnsi="Arial" w:cs="Arial"/>
          <w:sz w:val="20"/>
          <w:szCs w:val="20"/>
          <w:lang w:val="en-GB"/>
        </w:rPr>
        <w:t>.7</w:t>
      </w:r>
      <w:r w:rsidR="002F4DD7">
        <w:rPr>
          <w:rFonts w:ascii="Arial" w:hAnsi="Arial" w:cs="Arial"/>
          <w:sz w:val="20"/>
          <w:szCs w:val="20"/>
          <w:lang w:val="en-GB"/>
        </w:rPr>
        <w:t>39</w:t>
      </w:r>
      <w:r w:rsidRPr="00DB0F8C">
        <w:rPr>
          <w:rFonts w:ascii="Arial" w:hAnsi="Arial" w:cs="Arial"/>
          <w:sz w:val="20"/>
          <w:szCs w:val="20"/>
          <w:lang w:val="en-GB"/>
        </w:rPr>
        <w:t xml:space="preserve"> TWh in January</w:t>
      </w:r>
      <w:r w:rsidR="002F4DD7">
        <w:rPr>
          <w:rFonts w:ascii="Arial" w:hAnsi="Arial" w:cs="Arial"/>
          <w:sz w:val="20"/>
          <w:szCs w:val="20"/>
          <w:lang w:val="en-GB"/>
        </w:rPr>
        <w:t>–June</w:t>
      </w:r>
      <w:r w:rsidRPr="00DB0F8C">
        <w:rPr>
          <w:rFonts w:ascii="Arial" w:hAnsi="Arial" w:cs="Arial"/>
          <w:sz w:val="20"/>
          <w:szCs w:val="20"/>
          <w:lang w:val="en-GB"/>
        </w:rPr>
        <w:t xml:space="preserve"> this year. </w:t>
      </w:r>
    </w:p>
    <w:p w14:paraId="12174DC8" w14:textId="2B08284F" w:rsidR="007213AE" w:rsidRPr="00DB0F8C" w:rsidRDefault="007213AE" w:rsidP="007B4FB7">
      <w:pPr>
        <w:spacing w:line="22" w:lineRule="atLeast"/>
        <w:jc w:val="both"/>
        <w:rPr>
          <w:rFonts w:ascii="Arial" w:hAnsi="Arial" w:cs="Arial"/>
          <w:sz w:val="20"/>
          <w:szCs w:val="20"/>
          <w:lang w:val="en-GB"/>
        </w:rPr>
      </w:pPr>
      <w:r w:rsidRPr="00DB0F8C">
        <w:rPr>
          <w:rFonts w:ascii="Arial" w:hAnsi="Arial" w:cs="Arial"/>
          <w:sz w:val="20"/>
          <w:szCs w:val="20"/>
          <w:lang w:val="en-GB"/>
        </w:rPr>
        <w:t xml:space="preserve">Litgrid maintained and managed the electricity transmission system, consistently meeting its reliability targets. In the first </w:t>
      </w:r>
      <w:r w:rsidR="002F4DD7">
        <w:rPr>
          <w:rFonts w:ascii="Arial" w:hAnsi="Arial" w:cs="Arial"/>
          <w:sz w:val="20"/>
          <w:szCs w:val="20"/>
          <w:lang w:val="en-GB"/>
        </w:rPr>
        <w:t>6 months</w:t>
      </w:r>
      <w:r w:rsidRPr="00DB0F8C">
        <w:rPr>
          <w:rFonts w:ascii="Arial" w:hAnsi="Arial" w:cs="Arial"/>
          <w:sz w:val="20"/>
          <w:szCs w:val="20"/>
          <w:lang w:val="en-GB"/>
        </w:rPr>
        <w:t xml:space="preserve"> of 2024, the average interruption time (AIT) indicator was 0.3</w:t>
      </w:r>
      <w:r w:rsidR="002F4DD7">
        <w:rPr>
          <w:rFonts w:ascii="Arial" w:hAnsi="Arial" w:cs="Arial"/>
          <w:sz w:val="20"/>
          <w:szCs w:val="20"/>
          <w:lang w:val="en-GB"/>
        </w:rPr>
        <w:t>8</w:t>
      </w:r>
      <w:r w:rsidRPr="00DB0F8C">
        <w:rPr>
          <w:rFonts w:ascii="Arial" w:hAnsi="Arial" w:cs="Arial"/>
          <w:sz w:val="20"/>
          <w:szCs w:val="20"/>
          <w:lang w:val="en-GB"/>
        </w:rPr>
        <w:t xml:space="preserve"> minutes, and the energy not supplied (ENS) indicator was 10.</w:t>
      </w:r>
      <w:r w:rsidR="007D7DB5">
        <w:rPr>
          <w:rFonts w:ascii="Arial" w:hAnsi="Arial" w:cs="Arial"/>
          <w:sz w:val="20"/>
          <w:szCs w:val="20"/>
          <w:lang w:val="en-GB"/>
        </w:rPr>
        <w:t>64</w:t>
      </w:r>
      <w:r w:rsidRPr="00DB0F8C">
        <w:rPr>
          <w:rFonts w:ascii="Arial" w:hAnsi="Arial" w:cs="Arial"/>
          <w:sz w:val="20"/>
          <w:szCs w:val="20"/>
          <w:lang w:val="en-GB"/>
        </w:rPr>
        <w:t xml:space="preserve"> MWh. </w:t>
      </w:r>
      <w:r w:rsidR="00ED27FC" w:rsidRPr="00DB0F8C">
        <w:rPr>
          <w:rFonts w:ascii="Arial" w:hAnsi="Arial" w:cs="Arial"/>
          <w:sz w:val="20"/>
          <w:szCs w:val="20"/>
          <w:lang w:val="en-GB"/>
        </w:rPr>
        <w:t>NERC</w:t>
      </w:r>
      <w:r w:rsidRPr="00DB0F8C">
        <w:rPr>
          <w:rFonts w:ascii="Arial" w:hAnsi="Arial" w:cs="Arial"/>
          <w:sz w:val="20"/>
          <w:szCs w:val="20"/>
          <w:lang w:val="en-GB"/>
        </w:rPr>
        <w:t xml:space="preserve"> has set the AIT for the whole year at 0.934 minutes and the ENS at 27.251 MWh.</w:t>
      </w:r>
    </w:p>
    <w:p w14:paraId="7951388C" w14:textId="3DBAAAC0" w:rsidR="004D3758" w:rsidRPr="00DB0F8C" w:rsidRDefault="007213AE" w:rsidP="007B4FB7">
      <w:pPr>
        <w:spacing w:line="22" w:lineRule="atLeast"/>
        <w:jc w:val="both"/>
        <w:rPr>
          <w:rFonts w:ascii="Arial" w:hAnsi="Arial" w:cs="Arial"/>
          <w:b/>
          <w:sz w:val="20"/>
          <w:szCs w:val="20"/>
          <w:lang w:val="en-GB"/>
        </w:rPr>
      </w:pPr>
      <w:r w:rsidRPr="00DB0F8C">
        <w:rPr>
          <w:rFonts w:ascii="Arial" w:hAnsi="Arial" w:cs="Arial"/>
          <w:sz w:val="20"/>
          <w:szCs w:val="20"/>
          <w:lang w:val="en-GB"/>
        </w:rPr>
        <w:t>The overall availability of the interconnectors with Sweden (NordBalt) and Poland (LitPol Link) in the first</w:t>
      </w:r>
      <w:r w:rsidR="007D7DB5">
        <w:rPr>
          <w:rFonts w:ascii="Arial" w:hAnsi="Arial" w:cs="Arial"/>
          <w:sz w:val="20"/>
          <w:szCs w:val="20"/>
          <w:lang w:val="en-GB"/>
        </w:rPr>
        <w:t xml:space="preserve"> 6 months</w:t>
      </w:r>
      <w:r w:rsidRPr="00DB0F8C">
        <w:rPr>
          <w:rFonts w:ascii="Arial" w:hAnsi="Arial" w:cs="Arial"/>
          <w:sz w:val="20"/>
          <w:szCs w:val="20"/>
          <w:lang w:val="en-GB"/>
        </w:rPr>
        <w:t xml:space="preserve"> was 9</w:t>
      </w:r>
      <w:r w:rsidR="00A60953">
        <w:rPr>
          <w:rFonts w:ascii="Arial" w:hAnsi="Arial" w:cs="Arial"/>
          <w:sz w:val="20"/>
          <w:szCs w:val="20"/>
          <w:lang w:val="en-GB"/>
        </w:rPr>
        <w:t>2</w:t>
      </w:r>
      <w:r w:rsidRPr="00DB0F8C">
        <w:rPr>
          <w:rFonts w:ascii="Arial" w:hAnsi="Arial" w:cs="Arial"/>
          <w:sz w:val="20"/>
          <w:szCs w:val="20"/>
          <w:lang w:val="en-GB"/>
        </w:rPr>
        <w:t>.</w:t>
      </w:r>
      <w:r w:rsidR="00A60953">
        <w:rPr>
          <w:rFonts w:ascii="Arial" w:hAnsi="Arial" w:cs="Arial"/>
          <w:sz w:val="20"/>
          <w:szCs w:val="20"/>
          <w:lang w:val="en-GB"/>
        </w:rPr>
        <w:t>18</w:t>
      </w:r>
      <w:r w:rsidRPr="00DB0F8C">
        <w:rPr>
          <w:rFonts w:ascii="Arial" w:hAnsi="Arial" w:cs="Arial"/>
          <w:sz w:val="20"/>
          <w:szCs w:val="20"/>
          <w:lang w:val="en-GB"/>
        </w:rPr>
        <w:t>% and 9</w:t>
      </w:r>
      <w:r w:rsidR="00A60953">
        <w:rPr>
          <w:rFonts w:ascii="Arial" w:hAnsi="Arial" w:cs="Arial"/>
          <w:sz w:val="20"/>
          <w:szCs w:val="20"/>
          <w:lang w:val="en-GB"/>
        </w:rPr>
        <w:t>8</w:t>
      </w:r>
      <w:r w:rsidRPr="00DB0F8C">
        <w:rPr>
          <w:rFonts w:ascii="Arial" w:hAnsi="Arial" w:cs="Arial"/>
          <w:sz w:val="20"/>
          <w:szCs w:val="20"/>
          <w:lang w:val="en-GB"/>
        </w:rPr>
        <w:t>.</w:t>
      </w:r>
      <w:r w:rsidR="00A60953">
        <w:rPr>
          <w:rFonts w:ascii="Arial" w:hAnsi="Arial" w:cs="Arial"/>
          <w:sz w:val="20"/>
          <w:szCs w:val="20"/>
          <w:lang w:val="en-GB"/>
        </w:rPr>
        <w:t>19</w:t>
      </w:r>
      <w:r w:rsidRPr="00DB0F8C">
        <w:rPr>
          <w:rFonts w:ascii="Arial" w:hAnsi="Arial" w:cs="Arial"/>
          <w:sz w:val="20"/>
          <w:szCs w:val="20"/>
          <w:lang w:val="en-GB"/>
        </w:rPr>
        <w:t xml:space="preserve">%, respectively. </w:t>
      </w:r>
      <w:r w:rsidR="000C7DB6">
        <w:rPr>
          <w:rFonts w:ascii="Arial" w:hAnsi="Arial" w:cs="Arial"/>
          <w:sz w:val="20"/>
          <w:szCs w:val="20"/>
          <w:lang w:val="en-GB"/>
        </w:rPr>
        <w:t xml:space="preserve">NordBalt availability </w:t>
      </w:r>
      <w:r w:rsidR="004C6975">
        <w:rPr>
          <w:rFonts w:ascii="Arial" w:hAnsi="Arial" w:cs="Arial"/>
          <w:sz w:val="20"/>
          <w:szCs w:val="20"/>
          <w:lang w:val="en-GB"/>
        </w:rPr>
        <w:t xml:space="preserve">was primarily affected by </w:t>
      </w:r>
      <w:r w:rsidR="000D2CB9">
        <w:rPr>
          <w:rFonts w:ascii="Arial" w:hAnsi="Arial" w:cs="Arial"/>
          <w:sz w:val="20"/>
          <w:szCs w:val="20"/>
          <w:lang w:val="en-GB"/>
        </w:rPr>
        <w:t xml:space="preserve">repairs, carried out by Swedish operator Svenska </w:t>
      </w:r>
      <w:proofErr w:type="spellStart"/>
      <w:r w:rsidR="000D2CB9">
        <w:rPr>
          <w:rFonts w:ascii="Arial" w:hAnsi="Arial" w:cs="Arial"/>
          <w:sz w:val="20"/>
          <w:szCs w:val="20"/>
          <w:lang w:val="en-GB"/>
        </w:rPr>
        <w:t>Kraftnat</w:t>
      </w:r>
      <w:proofErr w:type="spellEnd"/>
      <w:r w:rsidR="000D2CB9">
        <w:rPr>
          <w:rFonts w:ascii="Arial" w:hAnsi="Arial" w:cs="Arial"/>
          <w:sz w:val="20"/>
          <w:szCs w:val="20"/>
          <w:lang w:val="en-GB"/>
        </w:rPr>
        <w:t xml:space="preserve">, and </w:t>
      </w:r>
      <w:r w:rsidRPr="00DB0F8C">
        <w:rPr>
          <w:rFonts w:ascii="Arial" w:hAnsi="Arial" w:cs="Arial"/>
          <w:sz w:val="20"/>
          <w:szCs w:val="20"/>
          <w:lang w:val="en-GB"/>
        </w:rPr>
        <w:t>LitPol Link availability was primarily affected by planned works conducted by the Polish operator PSE.</w:t>
      </w:r>
    </w:p>
    <w:p w14:paraId="19CECE2E" w14:textId="77777777" w:rsidR="004D3758" w:rsidRPr="00DB0F8C" w:rsidRDefault="004D3758" w:rsidP="007B4FB7">
      <w:pPr>
        <w:spacing w:line="22" w:lineRule="atLeast"/>
        <w:jc w:val="both"/>
        <w:rPr>
          <w:rFonts w:ascii="Arial" w:hAnsi="Arial" w:cs="Arial"/>
          <w:b/>
          <w:sz w:val="20"/>
          <w:szCs w:val="20"/>
          <w:lang w:val="en-GB"/>
        </w:rPr>
      </w:pPr>
      <w:r w:rsidRPr="00DB0F8C">
        <w:rPr>
          <w:rFonts w:ascii="Arial" w:hAnsi="Arial" w:cs="Arial"/>
          <w:b/>
          <w:sz w:val="20"/>
          <w:szCs w:val="20"/>
          <w:lang w:val="en-GB"/>
        </w:rPr>
        <w:t>Financial results</w:t>
      </w:r>
    </w:p>
    <w:p w14:paraId="2DC87349" w14:textId="29243133" w:rsidR="004D3758" w:rsidRPr="00DB0F8C" w:rsidRDefault="004D3758"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According to unaudited data, Litgrid revenues in the first </w:t>
      </w:r>
      <w:r w:rsidR="00922D1F">
        <w:rPr>
          <w:rFonts w:ascii="Arial" w:hAnsi="Arial" w:cs="Arial"/>
          <w:bCs/>
          <w:sz w:val="20"/>
          <w:szCs w:val="20"/>
          <w:lang w:val="en-GB"/>
        </w:rPr>
        <w:t>half</w:t>
      </w:r>
      <w:r w:rsidRPr="00DB0F8C">
        <w:rPr>
          <w:rFonts w:ascii="Arial" w:hAnsi="Arial" w:cs="Arial"/>
          <w:bCs/>
          <w:sz w:val="20"/>
          <w:szCs w:val="20"/>
          <w:lang w:val="en-GB"/>
        </w:rPr>
        <w:t xml:space="preserve"> of 2024 amounted to EUR 1</w:t>
      </w:r>
      <w:r w:rsidR="00922D1F">
        <w:rPr>
          <w:rFonts w:ascii="Arial" w:hAnsi="Arial" w:cs="Arial"/>
          <w:bCs/>
          <w:sz w:val="20"/>
          <w:szCs w:val="20"/>
          <w:lang w:val="en-GB"/>
        </w:rPr>
        <w:t>97</w:t>
      </w:r>
      <w:r w:rsidRPr="00DB0F8C">
        <w:rPr>
          <w:rFonts w:ascii="Arial" w:hAnsi="Arial" w:cs="Arial"/>
          <w:bCs/>
          <w:sz w:val="20"/>
          <w:szCs w:val="20"/>
          <w:lang w:val="en-GB"/>
        </w:rPr>
        <w:t>.</w:t>
      </w:r>
      <w:r w:rsidR="00922D1F">
        <w:rPr>
          <w:rFonts w:ascii="Arial" w:hAnsi="Arial" w:cs="Arial"/>
          <w:bCs/>
          <w:sz w:val="20"/>
          <w:szCs w:val="20"/>
          <w:lang w:val="en-GB"/>
        </w:rPr>
        <w:t>7</w:t>
      </w:r>
      <w:r w:rsidRPr="00DB0F8C">
        <w:rPr>
          <w:rFonts w:ascii="Arial" w:hAnsi="Arial" w:cs="Arial"/>
          <w:bCs/>
          <w:sz w:val="20"/>
          <w:szCs w:val="20"/>
          <w:lang w:val="en-GB"/>
        </w:rPr>
        <w:t xml:space="preserve"> million. Compared to the same period last year, it was </w:t>
      </w:r>
      <w:r w:rsidR="00922D1F">
        <w:rPr>
          <w:rFonts w:ascii="Arial" w:hAnsi="Arial" w:cs="Arial"/>
          <w:bCs/>
          <w:sz w:val="20"/>
          <w:szCs w:val="20"/>
          <w:lang w:val="en-GB"/>
        </w:rPr>
        <w:t>18</w:t>
      </w:r>
      <w:r w:rsidRPr="00DB0F8C">
        <w:rPr>
          <w:rFonts w:ascii="Arial" w:hAnsi="Arial" w:cs="Arial"/>
          <w:bCs/>
          <w:sz w:val="20"/>
          <w:szCs w:val="20"/>
          <w:lang w:val="en-GB"/>
        </w:rPr>
        <w:t xml:space="preserve">% higher. </w:t>
      </w:r>
    </w:p>
    <w:p w14:paraId="7DFB7050" w14:textId="07C316DB" w:rsidR="004D3758" w:rsidRPr="00DB0F8C" w:rsidRDefault="004D3758"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Transmission revenues (including congestion management revenues used for tariff reduction) decreased by </w:t>
      </w:r>
      <w:r w:rsidR="00922D1F">
        <w:rPr>
          <w:rFonts w:ascii="Arial" w:hAnsi="Arial" w:cs="Arial"/>
          <w:bCs/>
          <w:sz w:val="20"/>
          <w:szCs w:val="20"/>
          <w:lang w:val="en-GB"/>
        </w:rPr>
        <w:t>37</w:t>
      </w:r>
      <w:r w:rsidRPr="00DB0F8C">
        <w:rPr>
          <w:rFonts w:ascii="Arial" w:hAnsi="Arial" w:cs="Arial"/>
          <w:bCs/>
          <w:sz w:val="20"/>
          <w:szCs w:val="20"/>
          <w:lang w:val="en-GB"/>
        </w:rPr>
        <w:t xml:space="preserve">% to EUR </w:t>
      </w:r>
      <w:r w:rsidR="00922D1F">
        <w:rPr>
          <w:rFonts w:ascii="Arial" w:hAnsi="Arial" w:cs="Arial"/>
          <w:bCs/>
          <w:sz w:val="20"/>
          <w:szCs w:val="20"/>
          <w:lang w:val="en-GB"/>
        </w:rPr>
        <w:t>65</w:t>
      </w:r>
      <w:r w:rsidRPr="00DB0F8C">
        <w:rPr>
          <w:rFonts w:ascii="Arial" w:hAnsi="Arial" w:cs="Arial"/>
          <w:bCs/>
          <w:sz w:val="20"/>
          <w:szCs w:val="20"/>
          <w:lang w:val="en-GB"/>
        </w:rPr>
        <w:t>.</w:t>
      </w:r>
      <w:r w:rsidR="00922D1F">
        <w:rPr>
          <w:rFonts w:ascii="Arial" w:hAnsi="Arial" w:cs="Arial"/>
          <w:bCs/>
          <w:sz w:val="20"/>
          <w:szCs w:val="20"/>
          <w:lang w:val="en-GB"/>
        </w:rPr>
        <w:t>1</w:t>
      </w:r>
      <w:r w:rsidRPr="00DB0F8C">
        <w:rPr>
          <w:rFonts w:ascii="Arial" w:hAnsi="Arial" w:cs="Arial"/>
          <w:bCs/>
          <w:sz w:val="20"/>
          <w:szCs w:val="20"/>
          <w:lang w:val="en-GB"/>
        </w:rPr>
        <w:t xml:space="preserve"> million. The average effective transmission price increased by a factor </w:t>
      </w:r>
      <w:r w:rsidRPr="00DB0F8C">
        <w:rPr>
          <w:rFonts w:ascii="Arial" w:hAnsi="Arial" w:cs="Arial"/>
          <w:bCs/>
          <w:sz w:val="20"/>
          <w:szCs w:val="20"/>
          <w:lang w:val="en-GB"/>
        </w:rPr>
        <w:lastRenderedPageBreak/>
        <w:t xml:space="preserve">of 2 year-on-year, but the decrease in revenues is due to the use of congestion management revenues of EUR </w:t>
      </w:r>
      <w:r w:rsidR="00333E27">
        <w:rPr>
          <w:rFonts w:ascii="Arial" w:hAnsi="Arial" w:cs="Arial"/>
          <w:bCs/>
          <w:sz w:val="20"/>
          <w:szCs w:val="20"/>
          <w:lang w:val="en-GB"/>
        </w:rPr>
        <w:t>71</w:t>
      </w:r>
      <w:r w:rsidRPr="00DB0F8C">
        <w:rPr>
          <w:rFonts w:ascii="Arial" w:hAnsi="Arial" w:cs="Arial"/>
          <w:bCs/>
          <w:sz w:val="20"/>
          <w:szCs w:val="20"/>
          <w:lang w:val="en-GB"/>
        </w:rPr>
        <w:t>.</w:t>
      </w:r>
      <w:r w:rsidR="00333E27">
        <w:rPr>
          <w:rFonts w:ascii="Arial" w:hAnsi="Arial" w:cs="Arial"/>
          <w:bCs/>
          <w:sz w:val="20"/>
          <w:szCs w:val="20"/>
          <w:lang w:val="en-GB"/>
        </w:rPr>
        <w:t>2</w:t>
      </w:r>
      <w:r w:rsidRPr="00DB0F8C">
        <w:rPr>
          <w:rFonts w:ascii="Arial" w:hAnsi="Arial" w:cs="Arial"/>
          <w:bCs/>
          <w:sz w:val="20"/>
          <w:szCs w:val="20"/>
          <w:lang w:val="en-GB"/>
        </w:rPr>
        <w:t xml:space="preserve"> million to reduce the tariff in the first </w:t>
      </w:r>
      <w:r w:rsidR="00333E27">
        <w:rPr>
          <w:rFonts w:ascii="Arial" w:hAnsi="Arial" w:cs="Arial"/>
          <w:bCs/>
          <w:sz w:val="20"/>
          <w:szCs w:val="20"/>
          <w:lang w:val="en-GB"/>
        </w:rPr>
        <w:t>half</w:t>
      </w:r>
      <w:r w:rsidRPr="00DB0F8C">
        <w:rPr>
          <w:rFonts w:ascii="Arial" w:hAnsi="Arial" w:cs="Arial"/>
          <w:bCs/>
          <w:sz w:val="20"/>
          <w:szCs w:val="20"/>
          <w:lang w:val="en-GB"/>
        </w:rPr>
        <w:t xml:space="preserve"> of 2023. </w:t>
      </w:r>
    </w:p>
    <w:p w14:paraId="3210A121" w14:textId="58499128" w:rsidR="004D3758" w:rsidRPr="00DB0F8C" w:rsidRDefault="004D3758"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Revenue from ancillary services increased by a factor of 5.</w:t>
      </w:r>
      <w:r w:rsidR="0048178F">
        <w:rPr>
          <w:rFonts w:ascii="Arial" w:hAnsi="Arial" w:cs="Arial"/>
          <w:bCs/>
          <w:sz w:val="20"/>
          <w:szCs w:val="20"/>
          <w:lang w:val="en-GB"/>
        </w:rPr>
        <w:t>2</w:t>
      </w:r>
      <w:r w:rsidRPr="00DB0F8C">
        <w:rPr>
          <w:rFonts w:ascii="Arial" w:hAnsi="Arial" w:cs="Arial"/>
          <w:bCs/>
          <w:sz w:val="20"/>
          <w:szCs w:val="20"/>
          <w:lang w:val="en-GB"/>
        </w:rPr>
        <w:t xml:space="preserve"> to EUR </w:t>
      </w:r>
      <w:r w:rsidR="0048178F">
        <w:rPr>
          <w:rFonts w:ascii="Arial" w:hAnsi="Arial" w:cs="Arial"/>
          <w:bCs/>
          <w:sz w:val="20"/>
          <w:szCs w:val="20"/>
          <w:lang w:val="en-GB"/>
        </w:rPr>
        <w:t>71</w:t>
      </w:r>
      <w:r w:rsidRPr="00DB0F8C">
        <w:rPr>
          <w:rFonts w:ascii="Arial" w:hAnsi="Arial" w:cs="Arial"/>
          <w:bCs/>
          <w:sz w:val="20"/>
          <w:szCs w:val="20"/>
          <w:lang w:val="en-GB"/>
        </w:rPr>
        <w:t xml:space="preserve">.7 million. The main reason for the change was the 5.5 times increase in the price of ancillary services due to the planned higher costs in </w:t>
      </w:r>
      <w:r w:rsidR="00A57B7B" w:rsidRPr="00DB0F8C">
        <w:rPr>
          <w:rFonts w:ascii="Arial" w:hAnsi="Arial" w:cs="Arial"/>
          <w:bCs/>
          <w:sz w:val="20"/>
          <w:szCs w:val="20"/>
          <w:lang w:val="en-GB"/>
        </w:rPr>
        <w:t>NERC</w:t>
      </w:r>
      <w:r w:rsidRPr="00DB0F8C">
        <w:rPr>
          <w:rFonts w:ascii="Arial" w:hAnsi="Arial" w:cs="Arial"/>
          <w:bCs/>
          <w:sz w:val="20"/>
          <w:szCs w:val="20"/>
          <w:lang w:val="en-GB"/>
        </w:rPr>
        <w:t>.</w:t>
      </w:r>
    </w:p>
    <w:p w14:paraId="43023067" w14:textId="14B38DEB" w:rsidR="004D3758" w:rsidRPr="00DB0F8C" w:rsidRDefault="004D3758"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Revenue from balancing activities increased by </w:t>
      </w:r>
      <w:r w:rsidR="0048178F">
        <w:rPr>
          <w:rFonts w:ascii="Arial" w:hAnsi="Arial" w:cs="Arial"/>
          <w:bCs/>
          <w:sz w:val="20"/>
          <w:szCs w:val="20"/>
          <w:lang w:val="en-GB"/>
        </w:rPr>
        <w:t>29</w:t>
      </w:r>
      <w:r w:rsidRPr="00DB0F8C">
        <w:rPr>
          <w:rFonts w:ascii="Arial" w:hAnsi="Arial" w:cs="Arial"/>
          <w:bCs/>
          <w:sz w:val="20"/>
          <w:szCs w:val="20"/>
          <w:lang w:val="en-GB"/>
        </w:rPr>
        <w:t xml:space="preserve">% to EUR </w:t>
      </w:r>
      <w:r w:rsidR="0048178F">
        <w:rPr>
          <w:rFonts w:ascii="Arial" w:hAnsi="Arial" w:cs="Arial"/>
          <w:bCs/>
          <w:sz w:val="20"/>
          <w:szCs w:val="20"/>
          <w:lang w:val="en-GB"/>
        </w:rPr>
        <w:t>57</w:t>
      </w:r>
      <w:r w:rsidRPr="00DB0F8C">
        <w:rPr>
          <w:rFonts w:ascii="Arial" w:hAnsi="Arial" w:cs="Arial"/>
          <w:bCs/>
          <w:sz w:val="20"/>
          <w:szCs w:val="20"/>
          <w:lang w:val="en-GB"/>
        </w:rPr>
        <w:t>.</w:t>
      </w:r>
      <w:r w:rsidR="0048178F">
        <w:rPr>
          <w:rFonts w:ascii="Arial" w:hAnsi="Arial" w:cs="Arial"/>
          <w:bCs/>
          <w:sz w:val="20"/>
          <w:szCs w:val="20"/>
          <w:lang w:val="en-GB"/>
        </w:rPr>
        <w:t>7</w:t>
      </w:r>
      <w:r w:rsidRPr="00DB0F8C">
        <w:rPr>
          <w:rFonts w:ascii="Arial" w:hAnsi="Arial" w:cs="Arial"/>
          <w:bCs/>
          <w:sz w:val="20"/>
          <w:szCs w:val="20"/>
          <w:lang w:val="en-GB"/>
        </w:rPr>
        <w:t xml:space="preserve"> million, but system balancing service is always zero-marginal</w:t>
      </w:r>
      <w:r w:rsidR="0048178F">
        <w:rPr>
          <w:rFonts w:ascii="Arial" w:hAnsi="Arial" w:cs="Arial"/>
          <w:bCs/>
          <w:sz w:val="20"/>
          <w:szCs w:val="20"/>
          <w:lang w:val="en-GB"/>
        </w:rPr>
        <w:t xml:space="preserve"> for Litgrid</w:t>
      </w:r>
      <w:r w:rsidRPr="00DB0F8C">
        <w:rPr>
          <w:rFonts w:ascii="Arial" w:hAnsi="Arial" w:cs="Arial"/>
          <w:bCs/>
          <w:sz w:val="20"/>
          <w:szCs w:val="20"/>
          <w:lang w:val="en-GB"/>
        </w:rPr>
        <w:t>, i.e. the change in revenue has no impact on the profit/loss as it only covers the actual costs incurred.</w:t>
      </w:r>
    </w:p>
    <w:p w14:paraId="2564D94D" w14:textId="7B728764" w:rsidR="000075C0" w:rsidRPr="00DB0F8C" w:rsidRDefault="000075C0"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The company's earnings before interest, taxes, depreciation and amortisation (EBITDA) for the first </w:t>
      </w:r>
      <w:r w:rsidR="008C432E">
        <w:rPr>
          <w:rFonts w:ascii="Arial" w:hAnsi="Arial" w:cs="Arial"/>
          <w:bCs/>
          <w:sz w:val="20"/>
          <w:szCs w:val="20"/>
          <w:lang w:val="en-GB"/>
        </w:rPr>
        <w:t>half</w:t>
      </w:r>
      <w:r w:rsidRPr="00DB0F8C">
        <w:rPr>
          <w:rFonts w:ascii="Arial" w:hAnsi="Arial" w:cs="Arial"/>
          <w:bCs/>
          <w:sz w:val="20"/>
          <w:szCs w:val="20"/>
          <w:lang w:val="en-GB"/>
        </w:rPr>
        <w:t xml:space="preserve"> of 2024 were EUR </w:t>
      </w:r>
      <w:r w:rsidR="008C432E">
        <w:rPr>
          <w:rFonts w:ascii="Arial" w:hAnsi="Arial" w:cs="Arial"/>
          <w:bCs/>
          <w:sz w:val="20"/>
          <w:szCs w:val="20"/>
          <w:lang w:val="en-GB"/>
        </w:rPr>
        <w:t>40</w:t>
      </w:r>
      <w:r w:rsidRPr="00DB0F8C">
        <w:rPr>
          <w:rFonts w:ascii="Arial" w:hAnsi="Arial" w:cs="Arial"/>
          <w:bCs/>
          <w:sz w:val="20"/>
          <w:szCs w:val="20"/>
          <w:lang w:val="en-GB"/>
        </w:rPr>
        <w:t>.</w:t>
      </w:r>
      <w:r w:rsidR="008C432E">
        <w:rPr>
          <w:rFonts w:ascii="Arial" w:hAnsi="Arial" w:cs="Arial"/>
          <w:bCs/>
          <w:sz w:val="20"/>
          <w:szCs w:val="20"/>
          <w:lang w:val="en-GB"/>
        </w:rPr>
        <w:t>6</w:t>
      </w:r>
      <w:r w:rsidRPr="00DB0F8C">
        <w:rPr>
          <w:rFonts w:ascii="Arial" w:hAnsi="Arial" w:cs="Arial"/>
          <w:bCs/>
          <w:sz w:val="20"/>
          <w:szCs w:val="20"/>
          <w:lang w:val="en-GB"/>
        </w:rPr>
        <w:t xml:space="preserve"> million, </w:t>
      </w:r>
      <w:r w:rsidR="008C432E">
        <w:rPr>
          <w:rFonts w:ascii="Arial" w:hAnsi="Arial" w:cs="Arial"/>
          <w:bCs/>
          <w:sz w:val="20"/>
          <w:szCs w:val="20"/>
          <w:lang w:val="en-GB"/>
        </w:rPr>
        <w:t>16</w:t>
      </w:r>
      <w:r w:rsidRPr="00DB0F8C">
        <w:rPr>
          <w:rFonts w:ascii="Arial" w:hAnsi="Arial" w:cs="Arial"/>
          <w:bCs/>
          <w:sz w:val="20"/>
          <w:szCs w:val="20"/>
          <w:lang w:val="en-GB"/>
        </w:rPr>
        <w:t xml:space="preserve">% more than at the same time last year, when EBITDA was EUR </w:t>
      </w:r>
      <w:r w:rsidR="008C432E">
        <w:rPr>
          <w:rFonts w:ascii="Arial" w:hAnsi="Arial" w:cs="Arial"/>
          <w:bCs/>
          <w:sz w:val="20"/>
          <w:szCs w:val="20"/>
          <w:lang w:val="en-GB"/>
        </w:rPr>
        <w:t>35</w:t>
      </w:r>
      <w:r w:rsidRPr="00DB0F8C">
        <w:rPr>
          <w:rFonts w:ascii="Arial" w:hAnsi="Arial" w:cs="Arial"/>
          <w:bCs/>
          <w:sz w:val="20"/>
          <w:szCs w:val="20"/>
          <w:lang w:val="en-GB"/>
        </w:rPr>
        <w:t xml:space="preserve"> million. Adjusted EBITDA (after adjustments for temporary regulatory deviations from the levels approved by </w:t>
      </w:r>
      <w:r w:rsidR="008C432E">
        <w:rPr>
          <w:rFonts w:ascii="Arial" w:hAnsi="Arial" w:cs="Arial"/>
          <w:bCs/>
          <w:sz w:val="20"/>
          <w:szCs w:val="20"/>
          <w:lang w:val="en-GB"/>
        </w:rPr>
        <w:t>NERC</w:t>
      </w:r>
      <w:r w:rsidRPr="00DB0F8C">
        <w:rPr>
          <w:rFonts w:ascii="Arial" w:hAnsi="Arial" w:cs="Arial"/>
          <w:bCs/>
          <w:sz w:val="20"/>
          <w:szCs w:val="20"/>
          <w:lang w:val="en-GB"/>
        </w:rPr>
        <w:t xml:space="preserve">) amounted to EUR </w:t>
      </w:r>
      <w:r w:rsidR="00E2134E">
        <w:rPr>
          <w:rFonts w:ascii="Arial" w:hAnsi="Arial" w:cs="Arial"/>
          <w:bCs/>
          <w:sz w:val="20"/>
          <w:szCs w:val="20"/>
          <w:lang w:val="en-GB"/>
        </w:rPr>
        <w:t>24</w:t>
      </w:r>
      <w:r w:rsidRPr="00DB0F8C">
        <w:rPr>
          <w:rFonts w:ascii="Arial" w:hAnsi="Arial" w:cs="Arial"/>
          <w:bCs/>
          <w:sz w:val="20"/>
          <w:szCs w:val="20"/>
          <w:lang w:val="en-GB"/>
        </w:rPr>
        <w:t xml:space="preserve">.8 million. This compares to an adjusted EBITDA of EUR </w:t>
      </w:r>
      <w:r w:rsidR="00E2134E">
        <w:rPr>
          <w:rFonts w:ascii="Arial" w:hAnsi="Arial" w:cs="Arial"/>
          <w:bCs/>
          <w:sz w:val="20"/>
          <w:szCs w:val="20"/>
          <w:lang w:val="en-GB"/>
        </w:rPr>
        <w:t>20</w:t>
      </w:r>
      <w:r w:rsidRPr="00DB0F8C">
        <w:rPr>
          <w:rFonts w:ascii="Arial" w:hAnsi="Arial" w:cs="Arial"/>
          <w:bCs/>
          <w:sz w:val="20"/>
          <w:szCs w:val="20"/>
          <w:lang w:val="en-GB"/>
        </w:rPr>
        <w:t>.</w:t>
      </w:r>
      <w:r w:rsidR="00E2134E">
        <w:rPr>
          <w:rFonts w:ascii="Arial" w:hAnsi="Arial" w:cs="Arial"/>
          <w:bCs/>
          <w:sz w:val="20"/>
          <w:szCs w:val="20"/>
          <w:lang w:val="en-GB"/>
        </w:rPr>
        <w:t>3</w:t>
      </w:r>
      <w:r w:rsidRPr="00DB0F8C">
        <w:rPr>
          <w:rFonts w:ascii="Arial" w:hAnsi="Arial" w:cs="Arial"/>
          <w:bCs/>
          <w:sz w:val="20"/>
          <w:szCs w:val="20"/>
          <w:lang w:val="en-GB"/>
        </w:rPr>
        <w:t xml:space="preserve"> million for the first </w:t>
      </w:r>
      <w:r w:rsidR="00E2134E">
        <w:rPr>
          <w:rFonts w:ascii="Arial" w:hAnsi="Arial" w:cs="Arial"/>
          <w:bCs/>
          <w:sz w:val="20"/>
          <w:szCs w:val="20"/>
          <w:lang w:val="en-GB"/>
        </w:rPr>
        <w:t>half</w:t>
      </w:r>
      <w:r w:rsidRPr="00DB0F8C">
        <w:rPr>
          <w:rFonts w:ascii="Arial" w:hAnsi="Arial" w:cs="Arial"/>
          <w:bCs/>
          <w:sz w:val="20"/>
          <w:szCs w:val="20"/>
          <w:lang w:val="en-GB"/>
        </w:rPr>
        <w:t xml:space="preserve"> of 2023. Adjusted EBITDA was mainly driven by the </w:t>
      </w:r>
      <w:r w:rsidR="0025741E">
        <w:rPr>
          <w:rFonts w:ascii="Arial" w:hAnsi="Arial" w:cs="Arial"/>
          <w:bCs/>
          <w:sz w:val="20"/>
          <w:szCs w:val="20"/>
          <w:lang w:val="en-GB"/>
        </w:rPr>
        <w:t xml:space="preserve">EUR 6 million </w:t>
      </w:r>
      <w:r w:rsidRPr="00DB0F8C">
        <w:rPr>
          <w:rFonts w:ascii="Arial" w:hAnsi="Arial" w:cs="Arial"/>
          <w:bCs/>
          <w:sz w:val="20"/>
          <w:szCs w:val="20"/>
          <w:lang w:val="en-GB"/>
        </w:rPr>
        <w:t>additional component for the financing of investments in the 2024 transmission revenues.</w:t>
      </w:r>
    </w:p>
    <w:p w14:paraId="28F132AB" w14:textId="749F62AB" w:rsidR="000075C0" w:rsidRPr="00DB0F8C" w:rsidRDefault="000075C0"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Net profit in the first </w:t>
      </w:r>
      <w:r w:rsidR="003F0F32">
        <w:rPr>
          <w:rFonts w:ascii="Arial" w:hAnsi="Arial" w:cs="Arial"/>
          <w:bCs/>
          <w:sz w:val="20"/>
          <w:szCs w:val="20"/>
          <w:lang w:val="en-GB"/>
        </w:rPr>
        <w:t>half</w:t>
      </w:r>
      <w:r w:rsidRPr="00DB0F8C">
        <w:rPr>
          <w:rFonts w:ascii="Arial" w:hAnsi="Arial" w:cs="Arial"/>
          <w:bCs/>
          <w:sz w:val="20"/>
          <w:szCs w:val="20"/>
          <w:lang w:val="en-GB"/>
        </w:rPr>
        <w:t xml:space="preserve"> of 2024 was EUR </w:t>
      </w:r>
      <w:r w:rsidR="0025741E">
        <w:rPr>
          <w:rFonts w:ascii="Arial" w:hAnsi="Arial" w:cs="Arial"/>
          <w:bCs/>
          <w:sz w:val="20"/>
          <w:szCs w:val="20"/>
          <w:lang w:val="en-GB"/>
        </w:rPr>
        <w:t>28.</w:t>
      </w:r>
      <w:r w:rsidRPr="00DB0F8C">
        <w:rPr>
          <w:rFonts w:ascii="Arial" w:hAnsi="Arial" w:cs="Arial"/>
          <w:bCs/>
          <w:sz w:val="20"/>
          <w:szCs w:val="20"/>
          <w:lang w:val="en-GB"/>
        </w:rPr>
        <w:t xml:space="preserve">1 million, </w:t>
      </w:r>
      <w:r w:rsidR="0025741E">
        <w:rPr>
          <w:rFonts w:ascii="Arial" w:hAnsi="Arial" w:cs="Arial"/>
          <w:bCs/>
          <w:sz w:val="20"/>
          <w:szCs w:val="20"/>
          <w:lang w:val="en-GB"/>
        </w:rPr>
        <w:t>22</w:t>
      </w:r>
      <w:r w:rsidRPr="00DB0F8C">
        <w:rPr>
          <w:rFonts w:ascii="Arial" w:hAnsi="Arial" w:cs="Arial"/>
          <w:bCs/>
          <w:sz w:val="20"/>
          <w:szCs w:val="20"/>
          <w:lang w:val="en-GB"/>
        </w:rPr>
        <w:t xml:space="preserve">% more than in </w:t>
      </w:r>
      <w:r w:rsidR="0025741E">
        <w:rPr>
          <w:rFonts w:ascii="Arial" w:hAnsi="Arial" w:cs="Arial"/>
          <w:bCs/>
          <w:sz w:val="20"/>
          <w:szCs w:val="20"/>
          <w:lang w:val="en-GB"/>
        </w:rPr>
        <w:t>first 6 months of</w:t>
      </w:r>
      <w:r w:rsidRPr="00DB0F8C">
        <w:rPr>
          <w:rFonts w:ascii="Arial" w:hAnsi="Arial" w:cs="Arial"/>
          <w:bCs/>
          <w:sz w:val="20"/>
          <w:szCs w:val="20"/>
          <w:lang w:val="en-GB"/>
        </w:rPr>
        <w:t xml:space="preserve"> 2023, when net profit was EUR </w:t>
      </w:r>
      <w:r w:rsidR="00506206">
        <w:rPr>
          <w:rFonts w:ascii="Arial" w:hAnsi="Arial" w:cs="Arial"/>
          <w:bCs/>
          <w:sz w:val="20"/>
          <w:szCs w:val="20"/>
          <w:lang w:val="en-GB"/>
        </w:rPr>
        <w:t>23</w:t>
      </w:r>
      <w:r w:rsidRPr="00DB0F8C">
        <w:rPr>
          <w:rFonts w:ascii="Arial" w:hAnsi="Arial" w:cs="Arial"/>
          <w:bCs/>
          <w:sz w:val="20"/>
          <w:szCs w:val="20"/>
          <w:lang w:val="en-GB"/>
        </w:rPr>
        <w:t xml:space="preserve"> million. The higher profit was mainly due to a better result from ancillary services, </w:t>
      </w:r>
      <w:r w:rsidR="00506206">
        <w:rPr>
          <w:rFonts w:ascii="Arial" w:hAnsi="Arial" w:cs="Arial"/>
          <w:bCs/>
          <w:sz w:val="20"/>
          <w:szCs w:val="20"/>
          <w:lang w:val="en-GB"/>
        </w:rPr>
        <w:t xml:space="preserve">and </w:t>
      </w:r>
      <w:r w:rsidRPr="00DB0F8C">
        <w:rPr>
          <w:rFonts w:ascii="Arial" w:hAnsi="Arial" w:cs="Arial"/>
          <w:bCs/>
          <w:sz w:val="20"/>
          <w:szCs w:val="20"/>
          <w:lang w:val="en-GB"/>
        </w:rPr>
        <w:t>lower costs for compensation of technological losses</w:t>
      </w:r>
      <w:r w:rsidR="00506206">
        <w:rPr>
          <w:rFonts w:ascii="Arial" w:hAnsi="Arial" w:cs="Arial"/>
          <w:bCs/>
          <w:sz w:val="20"/>
          <w:szCs w:val="20"/>
          <w:lang w:val="en-GB"/>
        </w:rPr>
        <w:t>. T</w:t>
      </w:r>
      <w:r w:rsidRPr="00DB0F8C">
        <w:rPr>
          <w:rFonts w:ascii="Arial" w:hAnsi="Arial" w:cs="Arial"/>
          <w:bCs/>
          <w:sz w:val="20"/>
          <w:szCs w:val="20"/>
          <w:lang w:val="en-GB"/>
        </w:rPr>
        <w:t>he result was negatively affected by lower transmission revenues</w:t>
      </w:r>
      <w:r w:rsidR="00FA0C03">
        <w:rPr>
          <w:rFonts w:ascii="Arial" w:hAnsi="Arial" w:cs="Arial"/>
          <w:bCs/>
          <w:sz w:val="20"/>
          <w:szCs w:val="20"/>
          <w:lang w:val="en-GB"/>
        </w:rPr>
        <w:t>,</w:t>
      </w:r>
      <w:r w:rsidRPr="00DB0F8C">
        <w:rPr>
          <w:rFonts w:ascii="Arial" w:hAnsi="Arial" w:cs="Arial"/>
          <w:bCs/>
          <w:sz w:val="20"/>
          <w:szCs w:val="20"/>
          <w:lang w:val="en-GB"/>
        </w:rPr>
        <w:t xml:space="preserve"> a worse result from other transmission activities</w:t>
      </w:r>
      <w:r w:rsidR="00FA0C03">
        <w:rPr>
          <w:rFonts w:ascii="Arial" w:hAnsi="Arial" w:cs="Arial"/>
          <w:bCs/>
          <w:sz w:val="20"/>
          <w:szCs w:val="20"/>
          <w:lang w:val="en-GB"/>
        </w:rPr>
        <w:t>, increased operating costs</w:t>
      </w:r>
      <w:r w:rsidRPr="00DB0F8C">
        <w:rPr>
          <w:rFonts w:ascii="Arial" w:hAnsi="Arial" w:cs="Arial"/>
          <w:bCs/>
          <w:sz w:val="20"/>
          <w:szCs w:val="20"/>
          <w:lang w:val="en-GB"/>
        </w:rPr>
        <w:t xml:space="preserve">. Adjusted net profit for the first </w:t>
      </w:r>
      <w:r w:rsidR="003F0F32">
        <w:rPr>
          <w:rFonts w:ascii="Arial" w:hAnsi="Arial" w:cs="Arial"/>
          <w:bCs/>
          <w:sz w:val="20"/>
          <w:szCs w:val="20"/>
          <w:lang w:val="en-GB"/>
        </w:rPr>
        <w:t>half</w:t>
      </w:r>
      <w:r w:rsidRPr="00DB0F8C">
        <w:rPr>
          <w:rFonts w:ascii="Arial" w:hAnsi="Arial" w:cs="Arial"/>
          <w:bCs/>
          <w:sz w:val="20"/>
          <w:szCs w:val="20"/>
          <w:lang w:val="en-GB"/>
        </w:rPr>
        <w:t xml:space="preserve"> of 2024 amounted to EUR </w:t>
      </w:r>
      <w:r w:rsidR="00FA0C03">
        <w:rPr>
          <w:rFonts w:ascii="Arial" w:hAnsi="Arial" w:cs="Arial"/>
          <w:bCs/>
          <w:sz w:val="20"/>
          <w:szCs w:val="20"/>
          <w:lang w:val="en-GB"/>
        </w:rPr>
        <w:t>14</w:t>
      </w:r>
      <w:r w:rsidRPr="00DB0F8C">
        <w:rPr>
          <w:rFonts w:ascii="Arial" w:hAnsi="Arial" w:cs="Arial"/>
          <w:bCs/>
          <w:sz w:val="20"/>
          <w:szCs w:val="20"/>
          <w:lang w:val="en-GB"/>
        </w:rPr>
        <w:t>.</w:t>
      </w:r>
      <w:r w:rsidR="00FA0C03">
        <w:rPr>
          <w:rFonts w:ascii="Arial" w:hAnsi="Arial" w:cs="Arial"/>
          <w:bCs/>
          <w:sz w:val="20"/>
          <w:szCs w:val="20"/>
          <w:lang w:val="en-GB"/>
        </w:rPr>
        <w:t>7</w:t>
      </w:r>
      <w:r w:rsidRPr="00DB0F8C">
        <w:rPr>
          <w:rFonts w:ascii="Arial" w:hAnsi="Arial" w:cs="Arial"/>
          <w:bCs/>
          <w:sz w:val="20"/>
          <w:szCs w:val="20"/>
          <w:lang w:val="en-GB"/>
        </w:rPr>
        <w:t xml:space="preserve"> million, an increase of </w:t>
      </w:r>
      <w:r w:rsidR="00FA0C03">
        <w:rPr>
          <w:rFonts w:ascii="Arial" w:hAnsi="Arial" w:cs="Arial"/>
          <w:bCs/>
          <w:sz w:val="20"/>
          <w:szCs w:val="20"/>
          <w:lang w:val="en-GB"/>
        </w:rPr>
        <w:t>41</w:t>
      </w:r>
      <w:r w:rsidRPr="00DB0F8C">
        <w:rPr>
          <w:rFonts w:ascii="Arial" w:hAnsi="Arial" w:cs="Arial"/>
          <w:bCs/>
          <w:sz w:val="20"/>
          <w:szCs w:val="20"/>
          <w:lang w:val="en-GB"/>
        </w:rPr>
        <w:t xml:space="preserve">% compared to EUR </w:t>
      </w:r>
      <w:r w:rsidR="003F0F32">
        <w:rPr>
          <w:rFonts w:ascii="Arial" w:hAnsi="Arial" w:cs="Arial"/>
          <w:bCs/>
          <w:sz w:val="20"/>
          <w:szCs w:val="20"/>
          <w:lang w:val="en-GB"/>
        </w:rPr>
        <w:t>10</w:t>
      </w:r>
      <w:r w:rsidRPr="00DB0F8C">
        <w:rPr>
          <w:rFonts w:ascii="Arial" w:hAnsi="Arial" w:cs="Arial"/>
          <w:bCs/>
          <w:sz w:val="20"/>
          <w:szCs w:val="20"/>
          <w:lang w:val="en-GB"/>
        </w:rPr>
        <w:t>.</w:t>
      </w:r>
      <w:r w:rsidR="003F0F32">
        <w:rPr>
          <w:rFonts w:ascii="Arial" w:hAnsi="Arial" w:cs="Arial"/>
          <w:bCs/>
          <w:sz w:val="20"/>
          <w:szCs w:val="20"/>
          <w:lang w:val="en-GB"/>
        </w:rPr>
        <w:t>4</w:t>
      </w:r>
      <w:r w:rsidRPr="00DB0F8C">
        <w:rPr>
          <w:rFonts w:ascii="Arial" w:hAnsi="Arial" w:cs="Arial"/>
          <w:bCs/>
          <w:sz w:val="20"/>
          <w:szCs w:val="20"/>
          <w:lang w:val="en-GB"/>
        </w:rPr>
        <w:t xml:space="preserve"> million in the same period last year. </w:t>
      </w:r>
    </w:p>
    <w:p w14:paraId="48319FD7" w14:textId="4DE75DCA" w:rsidR="000075C0" w:rsidRPr="00DB0F8C" w:rsidRDefault="000075C0"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Litgrid's investments in the first </w:t>
      </w:r>
      <w:r w:rsidR="003F0F32">
        <w:rPr>
          <w:rFonts w:ascii="Arial" w:hAnsi="Arial" w:cs="Arial"/>
          <w:bCs/>
          <w:sz w:val="20"/>
          <w:szCs w:val="20"/>
          <w:lang w:val="en-GB"/>
        </w:rPr>
        <w:t>half</w:t>
      </w:r>
      <w:r w:rsidRPr="00DB0F8C">
        <w:rPr>
          <w:rFonts w:ascii="Arial" w:hAnsi="Arial" w:cs="Arial"/>
          <w:bCs/>
          <w:sz w:val="20"/>
          <w:szCs w:val="20"/>
          <w:lang w:val="en-GB"/>
        </w:rPr>
        <w:t xml:space="preserve"> of 2024 amounted to EUR </w:t>
      </w:r>
      <w:r w:rsidR="003F0F32">
        <w:rPr>
          <w:rFonts w:ascii="Arial" w:hAnsi="Arial" w:cs="Arial"/>
          <w:bCs/>
          <w:sz w:val="20"/>
          <w:szCs w:val="20"/>
          <w:lang w:val="en-GB"/>
        </w:rPr>
        <w:t>90</w:t>
      </w:r>
      <w:r w:rsidRPr="00DB0F8C">
        <w:rPr>
          <w:rFonts w:ascii="Arial" w:hAnsi="Arial" w:cs="Arial"/>
          <w:bCs/>
          <w:sz w:val="20"/>
          <w:szCs w:val="20"/>
          <w:lang w:val="en-GB"/>
        </w:rPr>
        <w:t>.</w:t>
      </w:r>
      <w:r w:rsidR="003F0F32">
        <w:rPr>
          <w:rFonts w:ascii="Arial" w:hAnsi="Arial" w:cs="Arial"/>
          <w:bCs/>
          <w:sz w:val="20"/>
          <w:szCs w:val="20"/>
          <w:lang w:val="en-GB"/>
        </w:rPr>
        <w:t>2</w:t>
      </w:r>
      <w:r w:rsidRPr="00DB0F8C">
        <w:rPr>
          <w:rFonts w:ascii="Arial" w:hAnsi="Arial" w:cs="Arial"/>
          <w:bCs/>
          <w:sz w:val="20"/>
          <w:szCs w:val="20"/>
          <w:lang w:val="en-GB"/>
        </w:rPr>
        <w:t xml:space="preserve"> million, of which 6</w:t>
      </w:r>
      <w:r w:rsidR="003F0F32">
        <w:rPr>
          <w:rFonts w:ascii="Arial" w:hAnsi="Arial" w:cs="Arial"/>
          <w:bCs/>
          <w:sz w:val="20"/>
          <w:szCs w:val="20"/>
          <w:lang w:val="en-GB"/>
        </w:rPr>
        <w:t>2</w:t>
      </w:r>
      <w:r w:rsidRPr="00DB0F8C">
        <w:rPr>
          <w:rFonts w:ascii="Arial" w:hAnsi="Arial" w:cs="Arial"/>
          <w:bCs/>
          <w:sz w:val="20"/>
          <w:szCs w:val="20"/>
          <w:lang w:val="en-GB"/>
        </w:rPr>
        <w:t>% was allocated to the implementation of strategic and nationally important electricity projects and 3</w:t>
      </w:r>
      <w:r w:rsidR="003F0F32">
        <w:rPr>
          <w:rFonts w:ascii="Arial" w:hAnsi="Arial" w:cs="Arial"/>
          <w:bCs/>
          <w:sz w:val="20"/>
          <w:szCs w:val="20"/>
          <w:lang w:val="en-GB"/>
        </w:rPr>
        <w:t>8</w:t>
      </w:r>
      <w:r w:rsidRPr="00DB0F8C">
        <w:rPr>
          <w:rFonts w:ascii="Arial" w:hAnsi="Arial" w:cs="Arial"/>
          <w:bCs/>
          <w:sz w:val="20"/>
          <w:szCs w:val="20"/>
          <w:lang w:val="en-GB"/>
        </w:rPr>
        <w:t>% to the reconstruction and development of the transmission network and operational support.</w:t>
      </w:r>
    </w:p>
    <w:p w14:paraId="2EE566F9" w14:textId="577859A8" w:rsidR="00122B96" w:rsidRPr="00DB0F8C" w:rsidRDefault="000075C0" w:rsidP="007B4FB7">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Congestion management revenues in the first </w:t>
      </w:r>
      <w:r w:rsidR="003F0F32">
        <w:rPr>
          <w:rFonts w:ascii="Arial" w:hAnsi="Arial" w:cs="Arial"/>
          <w:bCs/>
          <w:sz w:val="20"/>
          <w:szCs w:val="20"/>
          <w:lang w:val="en-GB"/>
        </w:rPr>
        <w:t>half</w:t>
      </w:r>
      <w:r w:rsidRPr="00DB0F8C">
        <w:rPr>
          <w:rFonts w:ascii="Arial" w:hAnsi="Arial" w:cs="Arial"/>
          <w:bCs/>
          <w:sz w:val="20"/>
          <w:szCs w:val="20"/>
          <w:lang w:val="en-GB"/>
        </w:rPr>
        <w:t xml:space="preserve"> of 2024 amounted to EUR </w:t>
      </w:r>
      <w:r w:rsidR="003F0F32">
        <w:rPr>
          <w:rFonts w:ascii="Arial" w:hAnsi="Arial" w:cs="Arial"/>
          <w:bCs/>
          <w:sz w:val="20"/>
          <w:szCs w:val="20"/>
          <w:lang w:val="en-GB"/>
        </w:rPr>
        <w:t>53</w:t>
      </w:r>
      <w:r w:rsidRPr="00DB0F8C">
        <w:rPr>
          <w:rFonts w:ascii="Arial" w:hAnsi="Arial" w:cs="Arial"/>
          <w:bCs/>
          <w:sz w:val="20"/>
          <w:szCs w:val="20"/>
          <w:lang w:val="en-GB"/>
        </w:rPr>
        <w:t xml:space="preserve"> million, an increase of 4</w:t>
      </w:r>
      <w:r w:rsidR="003F0F32">
        <w:rPr>
          <w:rFonts w:ascii="Arial" w:hAnsi="Arial" w:cs="Arial"/>
          <w:bCs/>
          <w:sz w:val="20"/>
          <w:szCs w:val="20"/>
          <w:lang w:val="en-GB"/>
        </w:rPr>
        <w:t>9</w:t>
      </w:r>
      <w:r w:rsidRPr="00DB0F8C">
        <w:rPr>
          <w:rFonts w:ascii="Arial" w:hAnsi="Arial" w:cs="Arial"/>
          <w:bCs/>
          <w:sz w:val="20"/>
          <w:szCs w:val="20"/>
          <w:lang w:val="en-GB"/>
        </w:rPr>
        <w:t>% compared to the same period last year. The congestion management revenue is not revenue neutral and does not directly contribute to Litgrid's operating result, and its use is governed by Regulation 2019/943 of the European Parliament and of the Council and the methodology approved by the Agency for the Cooperation of Energy Regulators of the European Union (ACER). Congestion management revenues are mainly used to partially finance the company's investments to increase the capacity of interconnectors.</w:t>
      </w:r>
    </w:p>
    <w:p w14:paraId="5C2CDDF6" w14:textId="77777777" w:rsidR="0057431E" w:rsidRPr="00DB0F8C" w:rsidRDefault="0057431E" w:rsidP="007B4FB7">
      <w:pPr>
        <w:spacing w:line="22" w:lineRule="atLeast"/>
        <w:jc w:val="both"/>
        <w:rPr>
          <w:rFonts w:ascii="Arial" w:hAnsi="Arial" w:cs="Arial"/>
          <w:b/>
          <w:bCs/>
          <w:sz w:val="20"/>
          <w:szCs w:val="20"/>
          <w:lang w:val="en-GB"/>
        </w:rPr>
      </w:pPr>
    </w:p>
    <w:p w14:paraId="25846A76" w14:textId="77777777" w:rsidR="004F4E04" w:rsidRPr="00DB0F8C" w:rsidRDefault="004F4E04" w:rsidP="007B4FB7">
      <w:pPr>
        <w:spacing w:line="22" w:lineRule="atLeast"/>
        <w:jc w:val="both"/>
        <w:rPr>
          <w:rFonts w:ascii="Arial" w:hAnsi="Arial" w:cs="Arial"/>
          <w:b/>
          <w:bCs/>
          <w:sz w:val="20"/>
          <w:szCs w:val="20"/>
          <w:lang w:val="en-GB"/>
        </w:rPr>
      </w:pPr>
      <w:r w:rsidRPr="00DB0F8C">
        <w:rPr>
          <w:rFonts w:ascii="Arial" w:hAnsi="Arial" w:cs="Arial"/>
          <w:b/>
          <w:bCs/>
          <w:sz w:val="20"/>
          <w:szCs w:val="20"/>
          <w:lang w:val="en-GB"/>
        </w:rPr>
        <w:t>About Litgrid:</w:t>
      </w:r>
    </w:p>
    <w:p w14:paraId="63F4F666" w14:textId="77777777" w:rsidR="004F4E04" w:rsidRPr="00DB0F8C" w:rsidRDefault="004F4E04" w:rsidP="007B4FB7">
      <w:pPr>
        <w:spacing w:line="22" w:lineRule="atLeast"/>
        <w:jc w:val="both"/>
        <w:rPr>
          <w:rFonts w:ascii="Arial" w:hAnsi="Arial" w:cs="Arial"/>
          <w:sz w:val="20"/>
          <w:szCs w:val="20"/>
          <w:lang w:val="en-GB"/>
        </w:rPr>
      </w:pPr>
      <w:r w:rsidRPr="00DB0F8C">
        <w:rPr>
          <w:rFonts w:ascii="Arial" w:hAnsi="Arial" w:cs="Arial"/>
          <w:sz w:val="20"/>
          <w:szCs w:val="20"/>
          <w:lang w:val="en-GB"/>
        </w:rPr>
        <w:t xml:space="preserve">Litgrid, the operator of the Lithuanian electricity transmission system, maintains the stable operation of the country's electricity system, manages electricity flows, and creates conditions for competition in the open electricity market. The company manages more than 7,000 km of overhead lines, more than 200 transformer substations, and 17 interconnectors with other countries in Lithuania and maintains them on a regular basis to ensure the adequate transmission of electricity to all the country's residents, institutions, and other organisations.  </w:t>
      </w:r>
    </w:p>
    <w:p w14:paraId="479D9679" w14:textId="77777777" w:rsidR="004F4E04" w:rsidRPr="00DB0F8C" w:rsidRDefault="004F4E04" w:rsidP="007B4FB7">
      <w:pPr>
        <w:spacing w:line="22" w:lineRule="atLeast"/>
        <w:jc w:val="both"/>
        <w:rPr>
          <w:rFonts w:ascii="Arial" w:hAnsi="Arial" w:cs="Arial"/>
          <w:sz w:val="20"/>
          <w:szCs w:val="20"/>
          <w:lang w:val="en-GB"/>
        </w:rPr>
      </w:pPr>
      <w:r w:rsidRPr="00DB0F8C">
        <w:rPr>
          <w:rFonts w:ascii="Arial" w:hAnsi="Arial" w:cs="Arial"/>
          <w:sz w:val="20"/>
          <w:szCs w:val="20"/>
          <w:lang w:val="en-GB"/>
        </w:rPr>
        <w:t>Since 22nd December 2010, Litgrid shares are listed on the Nasdaq Vilnius Stock Exchange's supplementary trading list. 97.5% of the shares of Litgrid are listed on the stock exchange. Litgrid's shares are owned by the energy transmission and exchange group EPSO-G, 100% of which is owned by the Ministry of Energy of the Republic of Lithuania.</w:t>
      </w:r>
    </w:p>
    <w:p w14:paraId="44275561" w14:textId="77777777" w:rsidR="0057431E" w:rsidRPr="00DB0F8C" w:rsidRDefault="0057431E" w:rsidP="007B4FB7">
      <w:pPr>
        <w:spacing w:line="22" w:lineRule="atLeast"/>
        <w:jc w:val="both"/>
        <w:rPr>
          <w:rFonts w:ascii="Arial" w:hAnsi="Arial" w:cs="Arial"/>
          <w:b/>
          <w:sz w:val="20"/>
          <w:szCs w:val="20"/>
          <w:lang w:val="en-GB"/>
        </w:rPr>
      </w:pPr>
    </w:p>
    <w:sectPr w:rsidR="0057431E" w:rsidRPr="00DB0F8C" w:rsidSect="00F777AF">
      <w:head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E83FC" w14:textId="77777777" w:rsidR="00453762" w:rsidRDefault="00453762" w:rsidP="00C96E08">
      <w:pPr>
        <w:spacing w:after="0" w:line="240" w:lineRule="auto"/>
      </w:pPr>
      <w:r>
        <w:separator/>
      </w:r>
    </w:p>
  </w:endnote>
  <w:endnote w:type="continuationSeparator" w:id="0">
    <w:p w14:paraId="0232CBE6" w14:textId="77777777" w:rsidR="00453762" w:rsidRDefault="00453762" w:rsidP="00C9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46E07" w14:textId="77777777" w:rsidR="00453762" w:rsidRDefault="00453762" w:rsidP="00C96E08">
      <w:pPr>
        <w:spacing w:after="0" w:line="240" w:lineRule="auto"/>
      </w:pPr>
      <w:r>
        <w:separator/>
      </w:r>
    </w:p>
  </w:footnote>
  <w:footnote w:type="continuationSeparator" w:id="0">
    <w:p w14:paraId="47DB27E6" w14:textId="77777777" w:rsidR="00453762" w:rsidRDefault="00453762" w:rsidP="00C9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440B" w14:textId="1C3B3E6A" w:rsidR="00C96E08" w:rsidRDefault="007B4FB7">
    <w:pPr>
      <w:pStyle w:val="Header"/>
    </w:pPr>
    <w:r>
      <w:rPr>
        <w:noProof/>
      </w:rPr>
      <w:drawing>
        <wp:inline distT="0" distB="0" distL="0" distR="0" wp14:anchorId="27D6304A" wp14:editId="7362447A">
          <wp:extent cx="1692275" cy="621030"/>
          <wp:effectExtent l="0" t="0" r="3175" b="7620"/>
          <wp:docPr id="376212932" name="Picture 3762129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275" cy="6210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4B"/>
    <w:rsid w:val="000075C0"/>
    <w:rsid w:val="00020648"/>
    <w:rsid w:val="000C2027"/>
    <w:rsid w:val="000C7DB6"/>
    <w:rsid w:val="000D2CB9"/>
    <w:rsid w:val="00122B96"/>
    <w:rsid w:val="001B6716"/>
    <w:rsid w:val="001B72D6"/>
    <w:rsid w:val="001C3926"/>
    <w:rsid w:val="00200055"/>
    <w:rsid w:val="0025741E"/>
    <w:rsid w:val="002D0AA5"/>
    <w:rsid w:val="002F06BF"/>
    <w:rsid w:val="002F2BA0"/>
    <w:rsid w:val="002F4DD7"/>
    <w:rsid w:val="002F7E35"/>
    <w:rsid w:val="00333E27"/>
    <w:rsid w:val="00380017"/>
    <w:rsid w:val="003E3EB1"/>
    <w:rsid w:val="003F0F32"/>
    <w:rsid w:val="003F7B5D"/>
    <w:rsid w:val="00417325"/>
    <w:rsid w:val="00422B39"/>
    <w:rsid w:val="00453762"/>
    <w:rsid w:val="00462CB3"/>
    <w:rsid w:val="0048178F"/>
    <w:rsid w:val="004C6975"/>
    <w:rsid w:val="004D3758"/>
    <w:rsid w:val="004F4E04"/>
    <w:rsid w:val="00506206"/>
    <w:rsid w:val="00543500"/>
    <w:rsid w:val="00571A55"/>
    <w:rsid w:val="0057431E"/>
    <w:rsid w:val="005769E6"/>
    <w:rsid w:val="005828CB"/>
    <w:rsid w:val="005B4512"/>
    <w:rsid w:val="005E609F"/>
    <w:rsid w:val="005F45F7"/>
    <w:rsid w:val="005F60EB"/>
    <w:rsid w:val="00634D18"/>
    <w:rsid w:val="00687078"/>
    <w:rsid w:val="007213AE"/>
    <w:rsid w:val="00783B9D"/>
    <w:rsid w:val="007B4FB7"/>
    <w:rsid w:val="007C65B3"/>
    <w:rsid w:val="007D7DB5"/>
    <w:rsid w:val="007F63D3"/>
    <w:rsid w:val="007F76FA"/>
    <w:rsid w:val="00830982"/>
    <w:rsid w:val="008A3BEC"/>
    <w:rsid w:val="008C432E"/>
    <w:rsid w:val="00922D1F"/>
    <w:rsid w:val="0096248D"/>
    <w:rsid w:val="00964C0E"/>
    <w:rsid w:val="00973EDD"/>
    <w:rsid w:val="009B5D35"/>
    <w:rsid w:val="009C1362"/>
    <w:rsid w:val="009E2F3A"/>
    <w:rsid w:val="00A02F35"/>
    <w:rsid w:val="00A0705F"/>
    <w:rsid w:val="00A57B7B"/>
    <w:rsid w:val="00A60953"/>
    <w:rsid w:val="00A77BF4"/>
    <w:rsid w:val="00A96CE6"/>
    <w:rsid w:val="00AC5738"/>
    <w:rsid w:val="00B06817"/>
    <w:rsid w:val="00B85250"/>
    <w:rsid w:val="00C743D5"/>
    <w:rsid w:val="00C851AB"/>
    <w:rsid w:val="00C87308"/>
    <w:rsid w:val="00C91EDF"/>
    <w:rsid w:val="00C96E08"/>
    <w:rsid w:val="00CB0AF0"/>
    <w:rsid w:val="00CE01AF"/>
    <w:rsid w:val="00D427AC"/>
    <w:rsid w:val="00D559AE"/>
    <w:rsid w:val="00DB0F8C"/>
    <w:rsid w:val="00DC0DA4"/>
    <w:rsid w:val="00DD705A"/>
    <w:rsid w:val="00DE5FD4"/>
    <w:rsid w:val="00E16D4B"/>
    <w:rsid w:val="00E2134E"/>
    <w:rsid w:val="00E33A4D"/>
    <w:rsid w:val="00EC6921"/>
    <w:rsid w:val="00ED27FC"/>
    <w:rsid w:val="00F15962"/>
    <w:rsid w:val="00F64050"/>
    <w:rsid w:val="00F777AF"/>
    <w:rsid w:val="00FA0C03"/>
    <w:rsid w:val="00FA1506"/>
    <w:rsid w:val="00FA70E6"/>
    <w:rsid w:val="00FD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D34E5"/>
  <w15:chartTrackingRefBased/>
  <w15:docId w15:val="{160FA308-91BD-43AB-93A1-782EACFD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D4B"/>
    <w:rPr>
      <w:rFonts w:eastAsiaTheme="majorEastAsia" w:cstheme="majorBidi"/>
      <w:color w:val="272727" w:themeColor="text1" w:themeTint="D8"/>
    </w:rPr>
  </w:style>
  <w:style w:type="paragraph" w:styleId="Title">
    <w:name w:val="Title"/>
    <w:basedOn w:val="Normal"/>
    <w:next w:val="Normal"/>
    <w:link w:val="TitleChar"/>
    <w:uiPriority w:val="10"/>
    <w:qFormat/>
    <w:rsid w:val="00E1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D4B"/>
    <w:pPr>
      <w:spacing w:before="160"/>
      <w:jc w:val="center"/>
    </w:pPr>
    <w:rPr>
      <w:i/>
      <w:iCs/>
      <w:color w:val="404040" w:themeColor="text1" w:themeTint="BF"/>
    </w:rPr>
  </w:style>
  <w:style w:type="character" w:customStyle="1" w:styleId="QuoteChar">
    <w:name w:val="Quote Char"/>
    <w:basedOn w:val="DefaultParagraphFont"/>
    <w:link w:val="Quote"/>
    <w:uiPriority w:val="29"/>
    <w:rsid w:val="00E16D4B"/>
    <w:rPr>
      <w:i/>
      <w:iCs/>
      <w:color w:val="404040" w:themeColor="text1" w:themeTint="BF"/>
    </w:rPr>
  </w:style>
  <w:style w:type="paragraph" w:styleId="ListParagraph">
    <w:name w:val="List Paragraph"/>
    <w:basedOn w:val="Normal"/>
    <w:uiPriority w:val="34"/>
    <w:qFormat/>
    <w:rsid w:val="00E16D4B"/>
    <w:pPr>
      <w:ind w:left="720"/>
      <w:contextualSpacing/>
    </w:pPr>
  </w:style>
  <w:style w:type="character" w:styleId="IntenseEmphasis">
    <w:name w:val="Intense Emphasis"/>
    <w:basedOn w:val="DefaultParagraphFont"/>
    <w:uiPriority w:val="21"/>
    <w:qFormat/>
    <w:rsid w:val="00E16D4B"/>
    <w:rPr>
      <w:i/>
      <w:iCs/>
      <w:color w:val="0F4761" w:themeColor="accent1" w:themeShade="BF"/>
    </w:rPr>
  </w:style>
  <w:style w:type="paragraph" w:styleId="IntenseQuote">
    <w:name w:val="Intense Quote"/>
    <w:basedOn w:val="Normal"/>
    <w:next w:val="Normal"/>
    <w:link w:val="IntenseQuoteChar"/>
    <w:uiPriority w:val="30"/>
    <w:qFormat/>
    <w:rsid w:val="00E16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D4B"/>
    <w:rPr>
      <w:i/>
      <w:iCs/>
      <w:color w:val="0F4761" w:themeColor="accent1" w:themeShade="BF"/>
    </w:rPr>
  </w:style>
  <w:style w:type="character" w:styleId="IntenseReference">
    <w:name w:val="Intense Reference"/>
    <w:basedOn w:val="DefaultParagraphFont"/>
    <w:uiPriority w:val="32"/>
    <w:qFormat/>
    <w:rsid w:val="00E16D4B"/>
    <w:rPr>
      <w:b/>
      <w:bCs/>
      <w:smallCaps/>
      <w:color w:val="0F4761" w:themeColor="accent1" w:themeShade="BF"/>
      <w:spacing w:val="5"/>
    </w:rPr>
  </w:style>
  <w:style w:type="paragraph" w:customStyle="1" w:styleId="paragraph">
    <w:name w:val="paragraph"/>
    <w:basedOn w:val="Normal"/>
    <w:rsid w:val="00E16D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16D4B"/>
  </w:style>
  <w:style w:type="character" w:customStyle="1" w:styleId="eop">
    <w:name w:val="eop"/>
    <w:basedOn w:val="DefaultParagraphFont"/>
    <w:rsid w:val="00E16D4B"/>
  </w:style>
  <w:style w:type="paragraph" w:styleId="Header">
    <w:name w:val="header"/>
    <w:basedOn w:val="Normal"/>
    <w:link w:val="HeaderChar"/>
    <w:uiPriority w:val="99"/>
    <w:unhideWhenUsed/>
    <w:rsid w:val="00C96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E08"/>
  </w:style>
  <w:style w:type="paragraph" w:styleId="Footer">
    <w:name w:val="footer"/>
    <w:basedOn w:val="Normal"/>
    <w:link w:val="FooterChar"/>
    <w:uiPriority w:val="99"/>
    <w:unhideWhenUsed/>
    <w:rsid w:val="00C96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71782">
      <w:bodyDiv w:val="1"/>
      <w:marLeft w:val="0"/>
      <w:marRight w:val="0"/>
      <w:marTop w:val="0"/>
      <w:marBottom w:val="0"/>
      <w:divBdr>
        <w:top w:val="none" w:sz="0" w:space="0" w:color="auto"/>
        <w:left w:val="none" w:sz="0" w:space="0" w:color="auto"/>
        <w:bottom w:val="none" w:sz="0" w:space="0" w:color="auto"/>
        <w:right w:val="none" w:sz="0" w:space="0" w:color="auto"/>
      </w:divBdr>
      <w:divsChild>
        <w:div w:id="642848820">
          <w:marLeft w:val="0"/>
          <w:marRight w:val="0"/>
          <w:marTop w:val="0"/>
          <w:marBottom w:val="0"/>
          <w:divBdr>
            <w:top w:val="none" w:sz="0" w:space="0" w:color="auto"/>
            <w:left w:val="none" w:sz="0" w:space="0" w:color="auto"/>
            <w:bottom w:val="none" w:sz="0" w:space="0" w:color="auto"/>
            <w:right w:val="none" w:sz="0" w:space="0" w:color="auto"/>
          </w:divBdr>
        </w:div>
        <w:div w:id="834995081">
          <w:marLeft w:val="0"/>
          <w:marRight w:val="0"/>
          <w:marTop w:val="0"/>
          <w:marBottom w:val="0"/>
          <w:divBdr>
            <w:top w:val="none" w:sz="0" w:space="0" w:color="auto"/>
            <w:left w:val="none" w:sz="0" w:space="0" w:color="auto"/>
            <w:bottom w:val="none" w:sz="0" w:space="0" w:color="auto"/>
            <w:right w:val="none" w:sz="0" w:space="0" w:color="auto"/>
          </w:divBdr>
        </w:div>
        <w:div w:id="2032100143">
          <w:marLeft w:val="0"/>
          <w:marRight w:val="0"/>
          <w:marTop w:val="0"/>
          <w:marBottom w:val="0"/>
          <w:divBdr>
            <w:top w:val="none" w:sz="0" w:space="0" w:color="auto"/>
            <w:left w:val="none" w:sz="0" w:space="0" w:color="auto"/>
            <w:bottom w:val="none" w:sz="0" w:space="0" w:color="auto"/>
            <w:right w:val="none" w:sz="0" w:space="0" w:color="auto"/>
          </w:divBdr>
        </w:div>
      </w:divsChild>
    </w:div>
    <w:div w:id="1015571017">
      <w:bodyDiv w:val="1"/>
      <w:marLeft w:val="0"/>
      <w:marRight w:val="0"/>
      <w:marTop w:val="0"/>
      <w:marBottom w:val="0"/>
      <w:divBdr>
        <w:top w:val="none" w:sz="0" w:space="0" w:color="auto"/>
        <w:left w:val="none" w:sz="0" w:space="0" w:color="auto"/>
        <w:bottom w:val="none" w:sz="0" w:space="0" w:color="auto"/>
        <w:right w:val="none" w:sz="0" w:space="0" w:color="auto"/>
      </w:divBdr>
      <w:divsChild>
        <w:div w:id="425419657">
          <w:marLeft w:val="0"/>
          <w:marRight w:val="0"/>
          <w:marTop w:val="0"/>
          <w:marBottom w:val="0"/>
          <w:divBdr>
            <w:top w:val="none" w:sz="0" w:space="0" w:color="auto"/>
            <w:left w:val="none" w:sz="0" w:space="0" w:color="auto"/>
            <w:bottom w:val="none" w:sz="0" w:space="0" w:color="auto"/>
            <w:right w:val="none" w:sz="0" w:space="0" w:color="auto"/>
          </w:divBdr>
        </w:div>
        <w:div w:id="830678502">
          <w:marLeft w:val="0"/>
          <w:marRight w:val="0"/>
          <w:marTop w:val="0"/>
          <w:marBottom w:val="0"/>
          <w:divBdr>
            <w:top w:val="none" w:sz="0" w:space="0" w:color="auto"/>
            <w:left w:val="none" w:sz="0" w:space="0" w:color="auto"/>
            <w:bottom w:val="none" w:sz="0" w:space="0" w:color="auto"/>
            <w:right w:val="none" w:sz="0" w:space="0" w:color="auto"/>
          </w:divBdr>
        </w:div>
        <w:div w:id="2082368741">
          <w:marLeft w:val="0"/>
          <w:marRight w:val="0"/>
          <w:marTop w:val="0"/>
          <w:marBottom w:val="0"/>
          <w:divBdr>
            <w:top w:val="none" w:sz="0" w:space="0" w:color="auto"/>
            <w:left w:val="none" w:sz="0" w:space="0" w:color="auto"/>
            <w:bottom w:val="none" w:sz="0" w:space="0" w:color="auto"/>
            <w:right w:val="none" w:sz="0" w:space="0" w:color="auto"/>
          </w:divBdr>
        </w:div>
      </w:divsChild>
    </w:div>
    <w:div w:id="1658847496">
      <w:bodyDiv w:val="1"/>
      <w:marLeft w:val="0"/>
      <w:marRight w:val="0"/>
      <w:marTop w:val="0"/>
      <w:marBottom w:val="0"/>
      <w:divBdr>
        <w:top w:val="none" w:sz="0" w:space="0" w:color="auto"/>
        <w:left w:val="none" w:sz="0" w:space="0" w:color="auto"/>
        <w:bottom w:val="none" w:sz="0" w:space="0" w:color="auto"/>
        <w:right w:val="none" w:sz="0" w:space="0" w:color="auto"/>
      </w:divBdr>
      <w:divsChild>
        <w:div w:id="1199243637">
          <w:marLeft w:val="0"/>
          <w:marRight w:val="0"/>
          <w:marTop w:val="0"/>
          <w:marBottom w:val="0"/>
          <w:divBdr>
            <w:top w:val="none" w:sz="0" w:space="0" w:color="auto"/>
            <w:left w:val="none" w:sz="0" w:space="0" w:color="auto"/>
            <w:bottom w:val="none" w:sz="0" w:space="0" w:color="auto"/>
            <w:right w:val="none" w:sz="0" w:space="0" w:color="auto"/>
          </w:divBdr>
          <w:divsChild>
            <w:div w:id="491415694">
              <w:marLeft w:val="0"/>
              <w:marRight w:val="0"/>
              <w:marTop w:val="0"/>
              <w:marBottom w:val="0"/>
              <w:divBdr>
                <w:top w:val="none" w:sz="0" w:space="0" w:color="auto"/>
                <w:left w:val="none" w:sz="0" w:space="0" w:color="auto"/>
                <w:bottom w:val="none" w:sz="0" w:space="0" w:color="auto"/>
                <w:right w:val="none" w:sz="0" w:space="0" w:color="auto"/>
              </w:divBdr>
              <w:divsChild>
                <w:div w:id="3581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Mantas Bieliauskas</DisplayName>
        <AccountId>21</AccountId>
        <AccountType/>
      </UserInfo>
    </SharedWithUsers>
  </documentManagement>
</p:properties>
</file>

<file path=customXml/itemProps1.xml><?xml version="1.0" encoding="utf-8"?>
<ds:datastoreItem xmlns:ds="http://schemas.openxmlformats.org/officeDocument/2006/customXml" ds:itemID="{8FB4EF1B-7B77-4FCF-AA16-F93DA579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2CC2A-D65A-474A-821A-27C44487B79E}">
  <ds:schemaRefs>
    <ds:schemaRef ds:uri="http://schemas.microsoft.com/sharepoint/v3/contenttype/forms"/>
  </ds:schemaRefs>
</ds:datastoreItem>
</file>

<file path=customXml/itemProps3.xml><?xml version="1.0" encoding="utf-8"?>
<ds:datastoreItem xmlns:ds="http://schemas.openxmlformats.org/officeDocument/2006/customXml" ds:itemID="{48044BF2-1BCC-401B-9825-9B1EBB75E048}">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Mažeika</dc:creator>
  <cp:keywords/>
  <dc:description/>
  <cp:lastModifiedBy>Jurga Eivaitė</cp:lastModifiedBy>
  <cp:revision>2</cp:revision>
  <dcterms:created xsi:type="dcterms:W3CDTF">2024-08-09T12:17:00Z</dcterms:created>
  <dcterms:modified xsi:type="dcterms:W3CDTF">2024-08-09T12:17:00Z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2024-05-10T12:48:03Z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fe3503a7-eeb2-4876-99ee-d9b454bb3b87</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