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CD2D" w14:textId="77777777" w:rsidR="00A77B3E" w:rsidRDefault="000A256E">
      <w:pPr>
        <w:keepNext/>
        <w:spacing w:line="276" w:lineRule="auto"/>
        <w:outlineLvl w:val="0"/>
        <w:rPr>
          <w:sz w:val="20"/>
        </w:rPr>
      </w:pPr>
      <w:bookmarkStart w:id="0" w:name="Section1"/>
      <w:bookmarkEnd w:id="0"/>
      <w:r>
        <w:rPr>
          <w:sz w:val="20"/>
        </w:rPr>
        <w:t xml:space="preserve">Unaudited Condensed Consolidated Interim Statements of Profit or Loss and Other Comprehensive Income or Loss for the </w:t>
      </w:r>
      <w:r>
        <w:rPr>
          <w:color w:val="000000"/>
          <w:sz w:val="20"/>
        </w:rPr>
        <w:t>six months ended 30 June 2025</w:t>
      </w:r>
      <w:r>
        <w:rPr>
          <w:rFonts w:ascii="Arial" w:eastAsia="Arial" w:hAnsi="Arial" w:cs="Arial"/>
        </w:rPr>
        <w:t xml:space="preserve"> </w:t>
      </w:r>
      <w:r>
        <w:rPr>
          <w:sz w:val="20"/>
        </w:rPr>
        <w:t xml:space="preserve">and </w:t>
      </w:r>
      <w:r>
        <w:rPr>
          <w:color w:val="000000"/>
          <w:sz w:val="20"/>
        </w:rPr>
        <w:t>2024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06626A" w14:paraId="637A395D" w14:textId="77777777">
        <w:trPr>
          <w:cantSplit/>
          <w:trHeight w:hRule="exact" w:val="120"/>
        </w:trPr>
        <w:tc>
          <w:tcPr>
            <w:tcW w:w="9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AF94A" w14:textId="77777777" w:rsidR="0006626A" w:rsidRDefault="0006626A"/>
        </w:tc>
      </w:tr>
    </w:tbl>
    <w:p w14:paraId="62F78870" w14:textId="77777777" w:rsidR="0006626A" w:rsidRDefault="0006626A">
      <w:pPr>
        <w:keepNext/>
        <w:spacing w:before="140" w:line="276" w:lineRule="auto"/>
        <w:jc w:val="center"/>
        <w:rPr>
          <w:sz w:val="10"/>
        </w:rPr>
      </w:pP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4"/>
        <w:gridCol w:w="80"/>
        <w:gridCol w:w="1317"/>
        <w:gridCol w:w="60"/>
        <w:gridCol w:w="1377"/>
        <w:gridCol w:w="1497"/>
      </w:tblGrid>
      <w:tr w:rsidR="0006626A" w14:paraId="31566D75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D3A20DB" w14:textId="77777777" w:rsidR="0006626A" w:rsidRDefault="000A256E">
            <w:pPr>
              <w:keepNext/>
              <w:spacing w:before="65" w:after="20"/>
            </w:pPr>
            <w:r>
              <w:rPr>
                <w:i/>
                <w:color w:val="000000"/>
                <w:sz w:val="16"/>
              </w:rPr>
              <w:t>USD in thousands, except for per share amounts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B482D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DDCBF4A" w14:textId="77777777" w:rsidR="0006626A" w:rsidRDefault="000A256E">
            <w:pPr>
              <w:keepNext/>
              <w:spacing w:before="65" w:after="20"/>
              <w:jc w:val="center"/>
            </w:pPr>
            <w:r>
              <w:rPr>
                <w:b/>
                <w:color w:val="000000"/>
                <w:sz w:val="16"/>
              </w:rPr>
              <w:t>Six months ended 30 June 2025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A344AA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A8DEBDF" w14:textId="77777777" w:rsidR="0006626A" w:rsidRDefault="000A256E">
            <w:pPr>
              <w:keepNext/>
              <w:spacing w:before="65" w:after="20"/>
              <w:jc w:val="center"/>
            </w:pPr>
            <w:r>
              <w:rPr>
                <w:b/>
                <w:color w:val="000000"/>
                <w:sz w:val="16"/>
              </w:rPr>
              <w:t xml:space="preserve">Six months </w:t>
            </w:r>
            <w:r>
              <w:rPr>
                <w:b/>
                <w:color w:val="000000"/>
                <w:sz w:val="16"/>
              </w:rPr>
              <w:t>ended 30 June 2024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9EBA1B" w14:textId="77777777" w:rsidR="0006626A" w:rsidRDefault="0006626A">
            <w:pPr>
              <w:keepNext/>
            </w:pPr>
          </w:p>
        </w:tc>
      </w:tr>
      <w:tr w:rsidR="0006626A" w14:paraId="0BE6C460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BB1FE90" w14:textId="77777777" w:rsidR="0006626A" w:rsidRDefault="000A256E">
            <w:pPr>
              <w:keepNext/>
              <w:spacing w:before="45" w:after="20"/>
            </w:pPr>
            <w:r>
              <w:rPr>
                <w:color w:val="000000"/>
                <w:sz w:val="20"/>
              </w:rPr>
              <w:t>Product revenue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7FCB14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F9EA643" w14:textId="77777777" w:rsidR="0006626A" w:rsidRDefault="000A256E">
            <w:pPr>
              <w:keepNext/>
              <w:tabs>
                <w:tab w:val="left" w:pos="537"/>
                <w:tab w:val="left" w:pos="1252"/>
              </w:tabs>
              <w:spacing w:before="45" w:after="20"/>
              <w:jc w:val="right"/>
            </w:pPr>
            <w:r>
              <w:rPr>
                <w:color w:val="000000"/>
                <w:sz w:val="20"/>
              </w:rPr>
              <w:tab/>
              <w:t>204,733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5D5D0B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CC7167D" w14:textId="77777777" w:rsidR="0006626A" w:rsidRDefault="000A256E">
            <w:pPr>
              <w:keepNext/>
              <w:tabs>
                <w:tab w:val="left" w:pos="697"/>
                <w:tab w:val="left" w:pos="1312"/>
              </w:tabs>
              <w:spacing w:before="45" w:after="20"/>
              <w:jc w:val="right"/>
            </w:pPr>
            <w:r>
              <w:rPr>
                <w:color w:val="000000"/>
                <w:sz w:val="20"/>
              </w:rPr>
              <w:tab/>
              <w:t>65,912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B66252" w14:textId="77777777" w:rsidR="0006626A" w:rsidRDefault="0006626A">
            <w:pPr>
              <w:keepNext/>
            </w:pPr>
          </w:p>
        </w:tc>
      </w:tr>
      <w:tr w:rsidR="0006626A" w14:paraId="0BFDD61A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F084F86" w14:textId="77777777" w:rsidR="0006626A" w:rsidRDefault="000A256E">
            <w:pPr>
              <w:keepNext/>
              <w:spacing w:before="65" w:after="20"/>
            </w:pPr>
            <w:r>
              <w:rPr>
                <w:color w:val="000000"/>
                <w:sz w:val="20"/>
              </w:rPr>
              <w:t>License and other revenue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DF8771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65BE9FE" w14:textId="77777777" w:rsidR="0006626A" w:rsidRDefault="000A256E">
            <w:pPr>
              <w:keepNext/>
              <w:tabs>
                <w:tab w:val="left" w:pos="537"/>
                <w:tab w:val="left" w:pos="125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101,271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2C9D80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DA30461" w14:textId="77777777" w:rsidR="0006626A" w:rsidRDefault="000A256E">
            <w:pPr>
              <w:keepNext/>
              <w:tabs>
                <w:tab w:val="left" w:pos="597"/>
                <w:tab w:val="left" w:pos="131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169,678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EBBEA7" w14:textId="77777777" w:rsidR="0006626A" w:rsidRDefault="0006626A">
            <w:pPr>
              <w:keepNext/>
            </w:pPr>
          </w:p>
        </w:tc>
      </w:tr>
      <w:tr w:rsidR="0006626A" w14:paraId="0C7D45EA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40B5739" w14:textId="77777777" w:rsidR="0006626A" w:rsidRDefault="000A256E">
            <w:pPr>
              <w:keepNext/>
              <w:spacing w:before="65" w:after="20"/>
            </w:pPr>
            <w:r>
              <w:rPr>
                <w:color w:val="000000"/>
                <w:sz w:val="20"/>
              </w:rPr>
              <w:t>Other income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1DECE3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115AFBC" w14:textId="77777777" w:rsidR="0006626A" w:rsidRDefault="000A256E">
            <w:pPr>
              <w:keepNext/>
              <w:tabs>
                <w:tab w:val="left" w:pos="887"/>
                <w:tab w:val="left" w:pos="125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143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038F06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B9296D9" w14:textId="77777777" w:rsidR="0006626A" w:rsidRDefault="000A256E">
            <w:pPr>
              <w:keepNext/>
              <w:tabs>
                <w:tab w:val="left" w:pos="1047"/>
                <w:tab w:val="left" w:pos="131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57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1C91E" w14:textId="77777777" w:rsidR="0006626A" w:rsidRDefault="0006626A">
            <w:pPr>
              <w:keepNext/>
            </w:pPr>
          </w:p>
        </w:tc>
      </w:tr>
      <w:tr w:rsidR="0006626A" w14:paraId="762D635C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CEFD675" w14:textId="77777777" w:rsidR="0006626A" w:rsidRDefault="000A256E">
            <w:pPr>
              <w:keepNext/>
              <w:spacing w:before="65" w:after="20"/>
            </w:pPr>
            <w:r>
              <w:rPr>
                <w:color w:val="000000"/>
                <w:sz w:val="20"/>
              </w:rPr>
              <w:t>Cost of product revenue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032609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BD717D1" w14:textId="77777777" w:rsidR="0006626A" w:rsidRDefault="000A256E">
            <w:pPr>
              <w:keepNext/>
              <w:tabs>
                <w:tab w:val="left" w:pos="47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(139,272)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B959A8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2B16CBB" w14:textId="77777777" w:rsidR="0006626A" w:rsidRDefault="000A256E">
            <w:pPr>
              <w:keepNext/>
              <w:tabs>
                <w:tab w:val="left" w:pos="63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(65,167)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50E96" w14:textId="77777777" w:rsidR="0006626A" w:rsidRDefault="0006626A">
            <w:pPr>
              <w:keepNext/>
            </w:pPr>
          </w:p>
        </w:tc>
      </w:tr>
      <w:tr w:rsidR="0006626A" w14:paraId="5AAE926F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649BC94" w14:textId="77777777" w:rsidR="0006626A" w:rsidRDefault="000A256E">
            <w:pPr>
              <w:keepNext/>
              <w:spacing w:before="65" w:after="20"/>
            </w:pPr>
            <w:r>
              <w:rPr>
                <w:color w:val="000000"/>
                <w:sz w:val="20"/>
              </w:rPr>
              <w:t>Research and development expenses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D452DC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D7B7447" w14:textId="77777777" w:rsidR="0006626A" w:rsidRDefault="000A256E">
            <w:pPr>
              <w:keepNext/>
              <w:tabs>
                <w:tab w:val="left" w:pos="57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(92,889)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287DAA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069D39A" w14:textId="77777777" w:rsidR="0006626A" w:rsidRDefault="000A256E">
            <w:pPr>
              <w:keepNext/>
              <w:tabs>
                <w:tab w:val="left" w:pos="63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(97,479)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E7838C" w14:textId="77777777" w:rsidR="0006626A" w:rsidRDefault="0006626A">
            <w:pPr>
              <w:keepNext/>
            </w:pPr>
          </w:p>
        </w:tc>
      </w:tr>
      <w:tr w:rsidR="0006626A" w14:paraId="45E52812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634A0D6" w14:textId="77777777" w:rsidR="0006626A" w:rsidRDefault="000A256E">
            <w:pPr>
              <w:keepNext/>
              <w:spacing w:before="65" w:after="20"/>
            </w:pPr>
            <w:r>
              <w:rPr>
                <w:color w:val="000000"/>
                <w:sz w:val="20"/>
              </w:rPr>
              <w:t>General and administrative expenses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0B1CE3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1602714" w14:textId="77777777" w:rsidR="0006626A" w:rsidRDefault="000A256E">
            <w:pPr>
              <w:keepNext/>
              <w:tabs>
                <w:tab w:val="left" w:pos="57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(45,347)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C7F259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1A91022" w14:textId="77777777" w:rsidR="0006626A" w:rsidRDefault="000A256E">
            <w:pPr>
              <w:keepNext/>
              <w:tabs>
                <w:tab w:val="left" w:pos="63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(29,554)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DCACFC" w14:textId="77777777" w:rsidR="0006626A" w:rsidRDefault="0006626A">
            <w:pPr>
              <w:keepNext/>
            </w:pPr>
          </w:p>
        </w:tc>
      </w:tr>
      <w:tr w:rsidR="0006626A" w14:paraId="3CAA22DC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33F235E" w14:textId="77777777" w:rsidR="0006626A" w:rsidRDefault="000A256E">
            <w:pPr>
              <w:keepNext/>
              <w:spacing w:before="45" w:after="20"/>
            </w:pPr>
            <w:r>
              <w:rPr>
                <w:b/>
                <w:color w:val="000000"/>
                <w:sz w:val="20"/>
              </w:rPr>
              <w:t>Operating profit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3C850C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4C8E42C" w14:textId="77777777" w:rsidR="0006626A" w:rsidRDefault="000A256E">
            <w:pPr>
              <w:keepNext/>
              <w:tabs>
                <w:tab w:val="left" w:pos="637"/>
                <w:tab w:val="left" w:pos="1252"/>
              </w:tabs>
              <w:spacing w:before="45" w:after="20"/>
              <w:jc w:val="right"/>
            </w:pPr>
            <w:r>
              <w:rPr>
                <w:color w:val="000000"/>
                <w:sz w:val="20"/>
              </w:rPr>
              <w:tab/>
              <w:t>28,639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E6290E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DC1B2FD" w14:textId="77777777" w:rsidR="0006626A" w:rsidRDefault="000A256E">
            <w:pPr>
              <w:keepNext/>
              <w:tabs>
                <w:tab w:val="left" w:pos="697"/>
                <w:tab w:val="left" w:pos="1312"/>
              </w:tabs>
              <w:spacing w:before="45" w:after="20"/>
              <w:jc w:val="right"/>
            </w:pPr>
            <w:r>
              <w:rPr>
                <w:color w:val="000000"/>
                <w:sz w:val="20"/>
              </w:rPr>
              <w:tab/>
              <w:t>43,447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FC5086" w14:textId="77777777" w:rsidR="0006626A" w:rsidRDefault="0006626A">
            <w:pPr>
              <w:keepNext/>
            </w:pPr>
          </w:p>
        </w:tc>
      </w:tr>
      <w:tr w:rsidR="0006626A" w14:paraId="0D9FB506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6082743" w14:textId="77777777" w:rsidR="0006626A" w:rsidRDefault="000A256E">
            <w:pPr>
              <w:keepNext/>
              <w:spacing w:before="65" w:after="20" w:line="274" w:lineRule="auto"/>
              <w:ind w:left="200" w:hanging="200"/>
            </w:pPr>
            <w:r>
              <w:rPr>
                <w:color w:val="000000"/>
                <w:sz w:val="20"/>
              </w:rPr>
              <w:t>Loss on sale of interest in joint venture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61D73145" w14:textId="77777777" w:rsidR="0006626A" w:rsidRDefault="0006626A">
            <w:pPr>
              <w:keepNext/>
              <w:spacing w:before="65" w:after="20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78A0E8B" w14:textId="77777777" w:rsidR="0006626A" w:rsidRDefault="000A256E">
            <w:pPr>
              <w:keepNext/>
              <w:tabs>
                <w:tab w:val="left" w:pos="987"/>
                <w:tab w:val="left" w:pos="125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—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65CA23F" w14:textId="77777777" w:rsidR="0006626A" w:rsidRDefault="0006626A">
            <w:pPr>
              <w:keepNext/>
              <w:spacing w:before="65" w:after="20"/>
              <w:jc w:val="right"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AC903C2" w14:textId="77777777" w:rsidR="0006626A" w:rsidRDefault="000A256E">
            <w:pPr>
              <w:keepNext/>
              <w:tabs>
                <w:tab w:val="left" w:pos="73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(2,970)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CA1FE26" w14:textId="77777777" w:rsidR="0006626A" w:rsidRDefault="0006626A">
            <w:pPr>
              <w:keepNext/>
              <w:spacing w:before="65" w:after="20"/>
            </w:pPr>
          </w:p>
        </w:tc>
      </w:tr>
      <w:tr w:rsidR="0006626A" w14:paraId="07DA4252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2F06A04" w14:textId="77777777" w:rsidR="0006626A" w:rsidRDefault="000A256E">
            <w:pPr>
              <w:keepNext/>
              <w:spacing w:before="65" w:after="20"/>
            </w:pPr>
            <w:r>
              <w:rPr>
                <w:color w:val="000000"/>
                <w:sz w:val="20"/>
              </w:rPr>
              <w:t>Finance income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1FF632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1348E5F" w14:textId="77777777" w:rsidR="0006626A" w:rsidRDefault="000A256E">
            <w:pPr>
              <w:keepNext/>
              <w:tabs>
                <w:tab w:val="left" w:pos="537"/>
                <w:tab w:val="left" w:pos="125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149,247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467A73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2D46080" w14:textId="77777777" w:rsidR="0006626A" w:rsidRDefault="000A256E">
            <w:pPr>
              <w:keepNext/>
              <w:tabs>
                <w:tab w:val="left" w:pos="697"/>
                <w:tab w:val="left" w:pos="131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80,823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86D65C" w14:textId="77777777" w:rsidR="0006626A" w:rsidRDefault="0006626A">
            <w:pPr>
              <w:keepNext/>
            </w:pPr>
          </w:p>
        </w:tc>
      </w:tr>
      <w:tr w:rsidR="0006626A" w14:paraId="2713DBA9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B2EEE6C" w14:textId="77777777" w:rsidR="0006626A" w:rsidRDefault="000A256E">
            <w:pPr>
              <w:keepNext/>
              <w:spacing w:before="65" w:after="20"/>
            </w:pPr>
            <w:r>
              <w:rPr>
                <w:color w:val="000000"/>
                <w:sz w:val="20"/>
              </w:rPr>
              <w:t>Finance costs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7D8CA3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589162B" w14:textId="77777777" w:rsidR="0006626A" w:rsidRDefault="000A256E">
            <w:pPr>
              <w:keepNext/>
              <w:tabs>
                <w:tab w:val="left" w:pos="57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(72,190)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243800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38543AC" w14:textId="77777777" w:rsidR="0006626A" w:rsidRDefault="000A256E">
            <w:pPr>
              <w:keepNext/>
              <w:tabs>
                <w:tab w:val="left" w:pos="53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(277,414)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81F800" w14:textId="77777777" w:rsidR="0006626A" w:rsidRDefault="0006626A">
            <w:pPr>
              <w:keepNext/>
            </w:pPr>
          </w:p>
        </w:tc>
      </w:tr>
      <w:tr w:rsidR="0006626A" w14:paraId="46946BE1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FDEBD0F" w14:textId="77777777" w:rsidR="0006626A" w:rsidRDefault="000A256E">
            <w:pPr>
              <w:keepNext/>
              <w:spacing w:before="65" w:after="20"/>
            </w:pPr>
            <w:r>
              <w:rPr>
                <w:color w:val="000000"/>
                <w:sz w:val="20"/>
              </w:rPr>
              <w:t xml:space="preserve">Exchange rate </w:t>
            </w:r>
            <w:r>
              <w:rPr>
                <w:color w:val="000000"/>
                <w:sz w:val="20"/>
              </w:rPr>
              <w:t>differences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07BA0B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67930C8" w14:textId="77777777" w:rsidR="0006626A" w:rsidRDefault="000A256E">
            <w:pPr>
              <w:keepNext/>
              <w:tabs>
                <w:tab w:val="left" w:pos="57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(19,683)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13B01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15160BD" w14:textId="77777777" w:rsidR="0006626A" w:rsidRDefault="000A256E">
            <w:pPr>
              <w:keepNext/>
              <w:tabs>
                <w:tab w:val="left" w:pos="797"/>
                <w:tab w:val="left" w:pos="131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7,742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F92885" w14:textId="77777777" w:rsidR="0006626A" w:rsidRDefault="0006626A">
            <w:pPr>
              <w:keepNext/>
            </w:pPr>
          </w:p>
        </w:tc>
      </w:tr>
      <w:tr w:rsidR="0006626A" w14:paraId="617F063C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6FB705A" w14:textId="77777777" w:rsidR="0006626A" w:rsidRDefault="000A256E">
            <w:pPr>
              <w:keepNext/>
              <w:spacing w:before="65" w:after="20"/>
            </w:pPr>
            <w:r>
              <w:rPr>
                <w:color w:val="000000"/>
                <w:sz w:val="20"/>
              </w:rPr>
              <w:t>Gain on modification and extinguishment of financial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120FD4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AF5F768" w14:textId="77777777" w:rsidR="0006626A" w:rsidRDefault="000A256E">
            <w:pPr>
              <w:keepNext/>
              <w:tabs>
                <w:tab w:val="left" w:pos="637"/>
                <w:tab w:val="left" w:pos="125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16,718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9211DE2" w14:textId="77777777" w:rsidR="0006626A" w:rsidRDefault="0006626A">
            <w:pPr>
              <w:keepNext/>
              <w:spacing w:before="65" w:after="20"/>
              <w:jc w:val="right"/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6843D6B" w14:textId="77777777" w:rsidR="0006626A" w:rsidRDefault="000A256E">
            <w:pPr>
              <w:keepNext/>
              <w:tabs>
                <w:tab w:val="left" w:pos="1047"/>
                <w:tab w:val="left" w:pos="131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—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35154C" w14:textId="77777777" w:rsidR="0006626A" w:rsidRDefault="0006626A">
            <w:pPr>
              <w:keepNext/>
            </w:pPr>
          </w:p>
        </w:tc>
      </w:tr>
      <w:tr w:rsidR="0006626A" w14:paraId="4F776885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11F0EED" w14:textId="77777777" w:rsidR="0006626A" w:rsidRDefault="000A256E">
            <w:pPr>
              <w:keepNext/>
              <w:spacing w:before="45" w:after="20"/>
            </w:pPr>
            <w:r>
              <w:rPr>
                <w:b/>
                <w:color w:val="000000"/>
                <w:sz w:val="20"/>
              </w:rPr>
              <w:t>Non-operating profit / (loss)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C7FD9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119B4C" w14:textId="77777777" w:rsidR="0006626A" w:rsidRDefault="000A256E">
            <w:pPr>
              <w:keepNext/>
              <w:tabs>
                <w:tab w:val="left" w:pos="637"/>
                <w:tab w:val="left" w:pos="1252"/>
              </w:tabs>
              <w:spacing w:before="45" w:after="20"/>
              <w:jc w:val="right"/>
            </w:pPr>
            <w:r>
              <w:rPr>
                <w:color w:val="000000"/>
                <w:sz w:val="20"/>
              </w:rPr>
              <w:tab/>
              <w:t>74,092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7F8900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9B7AF65" w14:textId="77777777" w:rsidR="0006626A" w:rsidRDefault="000A256E">
            <w:pPr>
              <w:keepNext/>
              <w:tabs>
                <w:tab w:val="left" w:pos="531"/>
              </w:tabs>
              <w:spacing w:before="45" w:after="20"/>
              <w:jc w:val="right"/>
            </w:pPr>
            <w:r>
              <w:rPr>
                <w:color w:val="000000"/>
                <w:sz w:val="20"/>
              </w:rPr>
              <w:tab/>
              <w:t>(191,819)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D0B332" w14:textId="77777777" w:rsidR="0006626A" w:rsidRDefault="0006626A">
            <w:pPr>
              <w:keepNext/>
            </w:pPr>
          </w:p>
        </w:tc>
      </w:tr>
      <w:tr w:rsidR="0006626A" w14:paraId="1E9F60ED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2F18A9D" w14:textId="77777777" w:rsidR="0006626A" w:rsidRDefault="000A256E">
            <w:pPr>
              <w:keepNext/>
              <w:spacing w:before="45" w:after="20"/>
            </w:pPr>
            <w:r>
              <w:rPr>
                <w:b/>
                <w:color w:val="000000"/>
                <w:sz w:val="20"/>
              </w:rPr>
              <w:t>Profit / (loss) before taxes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5F69C5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269A860" w14:textId="77777777" w:rsidR="0006626A" w:rsidRDefault="000A256E">
            <w:pPr>
              <w:keepNext/>
              <w:tabs>
                <w:tab w:val="left" w:pos="537"/>
                <w:tab w:val="left" w:pos="1252"/>
              </w:tabs>
              <w:spacing w:before="45" w:after="20"/>
              <w:jc w:val="right"/>
            </w:pPr>
            <w:r>
              <w:rPr>
                <w:color w:val="000000"/>
                <w:sz w:val="20"/>
              </w:rPr>
              <w:tab/>
              <w:t>102,731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6D1D74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70FB5EB" w14:textId="77777777" w:rsidR="0006626A" w:rsidRDefault="000A256E">
            <w:pPr>
              <w:keepNext/>
              <w:tabs>
                <w:tab w:val="left" w:pos="531"/>
              </w:tabs>
              <w:spacing w:before="45" w:after="20"/>
              <w:jc w:val="right"/>
            </w:pPr>
            <w:r>
              <w:rPr>
                <w:color w:val="000000"/>
                <w:sz w:val="20"/>
              </w:rPr>
              <w:tab/>
              <w:t>(148,372)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C2DCDA" w14:textId="77777777" w:rsidR="0006626A" w:rsidRDefault="0006626A">
            <w:pPr>
              <w:keepNext/>
            </w:pPr>
          </w:p>
        </w:tc>
      </w:tr>
      <w:tr w:rsidR="0006626A" w14:paraId="7F884FE0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35633BF" w14:textId="77777777" w:rsidR="0006626A" w:rsidRDefault="000A256E">
            <w:pPr>
              <w:keepNext/>
              <w:spacing w:before="65" w:after="20"/>
            </w:pPr>
            <w:r>
              <w:rPr>
                <w:color w:val="000000"/>
                <w:sz w:val="20"/>
              </w:rPr>
              <w:t xml:space="preserve">Income tax benefit / </w:t>
            </w:r>
            <w:r>
              <w:rPr>
                <w:color w:val="000000"/>
                <w:sz w:val="20"/>
              </w:rPr>
              <w:t>(expense)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0C0372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0ED1D2E" w14:textId="77777777" w:rsidR="0006626A" w:rsidRDefault="000A256E">
            <w:pPr>
              <w:keepNext/>
              <w:tabs>
                <w:tab w:val="left" w:pos="637"/>
                <w:tab w:val="left" w:pos="125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38,987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8555CA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D38E553" w14:textId="77777777" w:rsidR="0006626A" w:rsidRDefault="000A256E">
            <w:pPr>
              <w:keepNext/>
              <w:tabs>
                <w:tab w:val="left" w:pos="73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(5,132)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C26ACF" w14:textId="77777777" w:rsidR="0006626A" w:rsidRDefault="0006626A">
            <w:pPr>
              <w:keepNext/>
            </w:pPr>
          </w:p>
        </w:tc>
      </w:tr>
      <w:tr w:rsidR="0006626A" w14:paraId="2872CCBE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B6D4BEC" w14:textId="77777777" w:rsidR="0006626A" w:rsidRDefault="000A256E">
            <w:pPr>
              <w:keepNext/>
              <w:spacing w:before="45" w:after="20"/>
            </w:pPr>
            <w:r>
              <w:rPr>
                <w:b/>
                <w:color w:val="000000"/>
                <w:sz w:val="20"/>
              </w:rPr>
              <w:t>Profit / (loss) for the period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0666D7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FA4123B" w14:textId="77777777" w:rsidR="0006626A" w:rsidRDefault="000A256E">
            <w:pPr>
              <w:keepNext/>
              <w:tabs>
                <w:tab w:val="left" w:pos="537"/>
                <w:tab w:val="left" w:pos="1252"/>
              </w:tabs>
              <w:spacing w:before="45" w:after="20"/>
              <w:jc w:val="right"/>
            </w:pPr>
            <w:r>
              <w:rPr>
                <w:color w:val="000000"/>
                <w:sz w:val="20"/>
              </w:rPr>
              <w:tab/>
              <w:t>141,718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5C5041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47F99E4" w14:textId="77777777" w:rsidR="0006626A" w:rsidRDefault="000A256E">
            <w:pPr>
              <w:keepNext/>
              <w:tabs>
                <w:tab w:val="left" w:pos="531"/>
              </w:tabs>
              <w:spacing w:before="45" w:after="20"/>
              <w:jc w:val="right"/>
            </w:pPr>
            <w:r>
              <w:rPr>
                <w:color w:val="000000"/>
                <w:sz w:val="20"/>
              </w:rPr>
              <w:tab/>
              <w:t>(153,504)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3F9639" w14:textId="77777777" w:rsidR="0006626A" w:rsidRDefault="0006626A">
            <w:pPr>
              <w:keepNext/>
            </w:pPr>
          </w:p>
        </w:tc>
      </w:tr>
      <w:tr w:rsidR="0006626A" w14:paraId="7E746643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7256C2A" w14:textId="77777777" w:rsidR="0006626A" w:rsidRDefault="000A256E">
            <w:pPr>
              <w:keepNext/>
              <w:spacing w:before="5" w:after="20"/>
            </w:pPr>
            <w:r>
              <w:rPr>
                <w:b/>
                <w:color w:val="000000"/>
                <w:sz w:val="20"/>
              </w:rPr>
              <w:t>Other comprehensive profit / (loss)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B36A9D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0DDD54" w14:textId="77777777" w:rsidR="0006626A" w:rsidRDefault="0006626A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0C69F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0072D6" w14:textId="77777777" w:rsidR="0006626A" w:rsidRDefault="0006626A">
            <w:pPr>
              <w:keepNext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27AF8" w14:textId="77777777" w:rsidR="0006626A" w:rsidRDefault="0006626A">
            <w:pPr>
              <w:keepNext/>
            </w:pPr>
          </w:p>
        </w:tc>
      </w:tr>
      <w:tr w:rsidR="0006626A" w14:paraId="49D93C3F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284274D" w14:textId="77777777" w:rsidR="0006626A" w:rsidRDefault="000A256E">
            <w:pPr>
              <w:keepNext/>
              <w:spacing w:before="65" w:after="20"/>
            </w:pPr>
            <w:r>
              <w:rPr>
                <w:i/>
                <w:color w:val="000000"/>
                <w:sz w:val="20"/>
              </w:rPr>
              <w:t>Item that will be reclassified to profit or loss in subsequent periods: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4A4B1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8EED7A" w14:textId="77777777" w:rsidR="0006626A" w:rsidRDefault="0006626A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390642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B200DF" w14:textId="77777777" w:rsidR="0006626A" w:rsidRDefault="0006626A">
            <w:pPr>
              <w:keepNext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D83E41" w14:textId="77777777" w:rsidR="0006626A" w:rsidRDefault="0006626A">
            <w:pPr>
              <w:keepNext/>
            </w:pPr>
          </w:p>
        </w:tc>
      </w:tr>
      <w:tr w:rsidR="0006626A" w14:paraId="2F2A83C7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DE927D0" w14:textId="77777777" w:rsidR="0006626A" w:rsidRDefault="000A256E">
            <w:pPr>
              <w:keepNext/>
              <w:spacing w:before="65" w:after="20"/>
            </w:pPr>
            <w:r>
              <w:rPr>
                <w:color w:val="000000"/>
                <w:sz w:val="20"/>
              </w:rPr>
              <w:t xml:space="preserve">Exchange rate differences on </w:t>
            </w:r>
            <w:r>
              <w:rPr>
                <w:color w:val="000000"/>
                <w:sz w:val="20"/>
              </w:rPr>
              <w:t>translation of foreign operations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A911C1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51B05FC" w14:textId="77777777" w:rsidR="0006626A" w:rsidRDefault="000A256E">
            <w:pPr>
              <w:keepNext/>
              <w:tabs>
                <w:tab w:val="left" w:pos="737"/>
                <w:tab w:val="left" w:pos="125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3,434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C16B77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F4482AE" w14:textId="77777777" w:rsidR="0006626A" w:rsidRDefault="000A256E">
            <w:pPr>
              <w:keepNext/>
              <w:tabs>
                <w:tab w:val="left" w:pos="947"/>
                <w:tab w:val="left" w:pos="131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121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562DDF" w14:textId="77777777" w:rsidR="0006626A" w:rsidRDefault="0006626A">
            <w:pPr>
              <w:keepNext/>
            </w:pPr>
          </w:p>
        </w:tc>
      </w:tr>
      <w:tr w:rsidR="0006626A" w14:paraId="2CD6550D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D0E32E0" w14:textId="77777777" w:rsidR="0006626A" w:rsidRDefault="000A256E">
            <w:pPr>
              <w:keepNext/>
              <w:spacing w:before="5" w:after="20"/>
            </w:pPr>
            <w:r>
              <w:rPr>
                <w:b/>
                <w:color w:val="000000"/>
                <w:sz w:val="20"/>
              </w:rPr>
              <w:t>Total comprehensive profit / (loss)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C27D16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4459A4B" w14:textId="77777777" w:rsidR="0006626A" w:rsidRDefault="000A256E">
            <w:pPr>
              <w:keepNext/>
              <w:tabs>
                <w:tab w:val="left" w:pos="537"/>
                <w:tab w:val="left" w:pos="1252"/>
              </w:tabs>
              <w:spacing w:before="5" w:after="20"/>
              <w:jc w:val="right"/>
            </w:pPr>
            <w:r>
              <w:rPr>
                <w:color w:val="000000"/>
                <w:sz w:val="20"/>
              </w:rPr>
              <w:tab/>
              <w:t>145,152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3D1F43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CE53C63" w14:textId="77777777" w:rsidR="0006626A" w:rsidRDefault="000A256E">
            <w:pPr>
              <w:keepNext/>
              <w:tabs>
                <w:tab w:val="left" w:pos="531"/>
              </w:tabs>
              <w:spacing w:before="5" w:after="20"/>
              <w:jc w:val="right"/>
            </w:pPr>
            <w:r>
              <w:rPr>
                <w:color w:val="000000"/>
                <w:sz w:val="20"/>
              </w:rPr>
              <w:tab/>
              <w:t>(153,383)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4A5CC8" w14:textId="77777777" w:rsidR="0006626A" w:rsidRDefault="0006626A">
            <w:pPr>
              <w:keepNext/>
            </w:pPr>
          </w:p>
        </w:tc>
      </w:tr>
      <w:tr w:rsidR="0006626A" w14:paraId="6E4D8AC5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58998E2" w14:textId="77777777" w:rsidR="0006626A" w:rsidRDefault="000A256E">
            <w:pPr>
              <w:keepNext/>
              <w:spacing w:before="5" w:after="20"/>
            </w:pPr>
            <w:r>
              <w:rPr>
                <w:b/>
                <w:color w:val="000000"/>
                <w:sz w:val="20"/>
              </w:rPr>
              <w:t>Profit / (loss) per share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BAE2AD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96F91C" w14:textId="77777777" w:rsidR="0006626A" w:rsidRDefault="0006626A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DFA786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2A9F5E" w14:textId="77777777" w:rsidR="0006626A" w:rsidRDefault="0006626A">
            <w:pPr>
              <w:keepNext/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308AE6" w14:textId="77777777" w:rsidR="0006626A" w:rsidRDefault="0006626A">
            <w:pPr>
              <w:keepNext/>
            </w:pPr>
          </w:p>
        </w:tc>
      </w:tr>
      <w:tr w:rsidR="0006626A" w14:paraId="6AFC92C2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FD19317" w14:textId="77777777" w:rsidR="0006626A" w:rsidRDefault="000A256E">
            <w:pPr>
              <w:keepNext/>
              <w:spacing w:before="65" w:after="20"/>
            </w:pPr>
            <w:r>
              <w:rPr>
                <w:color w:val="000000"/>
                <w:sz w:val="20"/>
              </w:rPr>
              <w:t>Basic profit / (loss) for the period per share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04A603" w14:textId="77777777" w:rsidR="0006626A" w:rsidRDefault="0006626A">
            <w:pPr>
              <w:keepNext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616D99" w14:textId="77777777" w:rsidR="0006626A" w:rsidRDefault="000A256E">
            <w:pPr>
              <w:keepNext/>
              <w:tabs>
                <w:tab w:val="left" w:pos="837"/>
                <w:tab w:val="left" w:pos="125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0.50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B65C5F" w14:textId="77777777" w:rsidR="0006626A" w:rsidRDefault="0006626A">
            <w:pPr>
              <w:keepNext/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602A7E4" w14:textId="77777777" w:rsidR="0006626A" w:rsidRDefault="000A256E">
            <w:pPr>
              <w:keepNext/>
              <w:tabs>
                <w:tab w:val="left" w:pos="83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(0.61)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EFA794" w14:textId="77777777" w:rsidR="0006626A" w:rsidRDefault="0006626A">
            <w:pPr>
              <w:keepNext/>
            </w:pPr>
          </w:p>
        </w:tc>
      </w:tr>
      <w:tr w:rsidR="0006626A" w14:paraId="6E49AF39" w14:textId="77777777">
        <w:trPr>
          <w:cantSplit/>
          <w:jc w:val="center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6970CF1" w14:textId="77777777" w:rsidR="0006626A" w:rsidRDefault="000A256E">
            <w:pPr>
              <w:spacing w:before="65" w:after="20"/>
            </w:pPr>
            <w:r>
              <w:rPr>
                <w:color w:val="000000"/>
                <w:sz w:val="20"/>
              </w:rPr>
              <w:t xml:space="preserve">Diluted profit / (loss) for the period per </w:t>
            </w:r>
            <w:r>
              <w:rPr>
                <w:color w:val="000000"/>
                <w:sz w:val="20"/>
              </w:rPr>
              <w:t>share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BD86C1E" w14:textId="77777777" w:rsidR="0006626A" w:rsidRDefault="0006626A"/>
        </w:tc>
        <w:tc>
          <w:tcPr>
            <w:tcW w:w="1320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8B88A65" w14:textId="77777777" w:rsidR="0006626A" w:rsidRDefault="000A256E">
            <w:pPr>
              <w:tabs>
                <w:tab w:val="left" w:pos="837"/>
                <w:tab w:val="left" w:pos="1252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0.49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A23A2E" w14:textId="77777777" w:rsidR="0006626A" w:rsidRDefault="0006626A"/>
        </w:tc>
        <w:tc>
          <w:tcPr>
            <w:tcW w:w="1380" w:type="dxa"/>
            <w:tcBorders>
              <w:top w:val="nil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C9EC95A" w14:textId="77777777" w:rsidR="0006626A" w:rsidRDefault="000A256E">
            <w:pPr>
              <w:tabs>
                <w:tab w:val="left" w:pos="831"/>
              </w:tabs>
              <w:spacing w:before="65" w:after="20"/>
              <w:jc w:val="right"/>
            </w:pPr>
            <w:r>
              <w:rPr>
                <w:color w:val="000000"/>
                <w:sz w:val="20"/>
              </w:rPr>
              <w:tab/>
              <w:t>(0.61)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9F8F4F" w14:textId="77777777" w:rsidR="0006626A" w:rsidRDefault="0006626A"/>
        </w:tc>
      </w:tr>
    </w:tbl>
    <w:p w14:paraId="1BD422B5" w14:textId="77777777" w:rsidR="0006626A" w:rsidRDefault="0006626A">
      <w:pPr>
        <w:keepNext/>
        <w:spacing w:before="140" w:line="276" w:lineRule="auto"/>
        <w:rPr>
          <w:sz w:val="20"/>
        </w:rPr>
      </w:pPr>
    </w:p>
    <w:p w14:paraId="34443D1E" w14:textId="77777777" w:rsidR="0006626A" w:rsidRDefault="0006626A">
      <w:pPr>
        <w:spacing w:before="240" w:line="276" w:lineRule="auto"/>
        <w:jc w:val="center"/>
        <w:rPr>
          <w:i/>
          <w:sz w:val="20"/>
        </w:rPr>
      </w:pPr>
    </w:p>
    <w:p w14:paraId="38E966B0" w14:textId="77777777" w:rsidR="0006626A" w:rsidRDefault="0006626A">
      <w:pPr>
        <w:spacing w:before="240" w:line="276" w:lineRule="auto"/>
        <w:jc w:val="center"/>
        <w:rPr>
          <w:sz w:val="20"/>
        </w:rPr>
        <w:sectPr w:rsidR="0006626A">
          <w:headerReference w:type="default" r:id="rId7"/>
          <w:footerReference w:type="default" r:id="rId8"/>
          <w:pgSz w:w="12240" w:h="15840"/>
          <w:pgMar w:top="900" w:right="1170" w:bottom="900" w:left="1170" w:header="0" w:footer="270" w:gutter="0"/>
          <w:cols w:space="708"/>
          <w:docGrid w:linePitch="360"/>
        </w:sectPr>
      </w:pPr>
    </w:p>
    <w:p w14:paraId="6D155004" w14:textId="77777777" w:rsidR="0006626A" w:rsidRDefault="000A256E">
      <w:pPr>
        <w:keepNext/>
        <w:spacing w:line="230" w:lineRule="exact"/>
        <w:outlineLvl w:val="0"/>
        <w:rPr>
          <w:sz w:val="20"/>
        </w:rPr>
      </w:pPr>
      <w:bookmarkStart w:id="1" w:name="Section2"/>
      <w:bookmarkEnd w:id="1"/>
      <w:r>
        <w:rPr>
          <w:sz w:val="20"/>
        </w:rPr>
        <w:lastRenderedPageBreak/>
        <w:t xml:space="preserve">Unaudited Condensed Consolidated Interim Statements of Financial Position as of </w:t>
      </w:r>
      <w:r>
        <w:rPr>
          <w:color w:val="000000"/>
          <w:sz w:val="20"/>
        </w:rPr>
        <w:t>30 June 2025</w:t>
      </w:r>
      <w:r>
        <w:rPr>
          <w:sz w:val="20"/>
        </w:rPr>
        <w:t xml:space="preserve"> and </w:t>
      </w:r>
      <w:r>
        <w:rPr>
          <w:color w:val="000000"/>
          <w:sz w:val="20"/>
        </w:rPr>
        <w:t>31 December 2024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06626A" w14:paraId="04425319" w14:textId="77777777">
        <w:trPr>
          <w:cantSplit/>
          <w:trHeight w:hRule="exact" w:val="120"/>
        </w:trPr>
        <w:tc>
          <w:tcPr>
            <w:tcW w:w="990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ABA0BD" w14:textId="77777777" w:rsidR="0006626A" w:rsidRDefault="0006626A"/>
        </w:tc>
      </w:tr>
    </w:tbl>
    <w:p w14:paraId="7F7A90CA" w14:textId="77777777" w:rsidR="0006626A" w:rsidRDefault="000A256E">
      <w:pPr>
        <w:keepNext/>
        <w:spacing w:before="260" w:after="240" w:line="276" w:lineRule="auto"/>
        <w:rPr>
          <w:sz w:val="20"/>
        </w:rPr>
      </w:pPr>
      <w:r>
        <w:rPr>
          <w:i/>
          <w:sz w:val="20"/>
        </w:rPr>
        <w:t xml:space="preserve">USD in thousands 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5"/>
        <w:gridCol w:w="60"/>
        <w:gridCol w:w="1305"/>
        <w:gridCol w:w="60"/>
        <w:gridCol w:w="1305"/>
      </w:tblGrid>
      <w:tr w:rsidR="0006626A" w14:paraId="3D003C82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C1183C1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b/>
                <w:color w:val="000000"/>
                <w:sz w:val="20"/>
              </w:rPr>
              <w:t>Non-current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F84C04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E892B8A" w14:textId="77777777" w:rsidR="0006626A" w:rsidRDefault="000A256E">
            <w:pPr>
              <w:keepNext/>
              <w:spacing w:before="65" w:after="20" w:line="276" w:lineRule="auto"/>
              <w:jc w:val="center"/>
            </w:pPr>
            <w:r>
              <w:rPr>
                <w:b/>
                <w:color w:val="000000"/>
                <w:sz w:val="16"/>
              </w:rPr>
              <w:t xml:space="preserve">30 June </w:t>
            </w:r>
            <w:r>
              <w:br/>
            </w:r>
            <w:r>
              <w:rPr>
                <w:b/>
                <w:color w:val="000000"/>
                <w:sz w:val="16"/>
              </w:rPr>
              <w:t>2025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83129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562DE8B" w14:textId="77777777" w:rsidR="0006626A" w:rsidRDefault="000A256E">
            <w:pPr>
              <w:keepNext/>
              <w:spacing w:before="65" w:after="20" w:line="276" w:lineRule="auto"/>
              <w:jc w:val="center"/>
            </w:pPr>
            <w:r>
              <w:rPr>
                <w:b/>
                <w:color w:val="000000"/>
                <w:sz w:val="16"/>
              </w:rPr>
              <w:t xml:space="preserve">31 December </w:t>
            </w:r>
            <w:r>
              <w:br/>
            </w:r>
            <w:r>
              <w:rPr>
                <w:b/>
                <w:color w:val="000000"/>
                <w:sz w:val="16"/>
              </w:rPr>
              <w:t>2024</w:t>
            </w:r>
          </w:p>
        </w:tc>
      </w:tr>
      <w:tr w:rsidR="0006626A" w14:paraId="5A487386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D1E220A" w14:textId="77777777" w:rsidR="0006626A" w:rsidRDefault="000A256E">
            <w:pPr>
              <w:keepNext/>
              <w:spacing w:before="45" w:after="20" w:line="274" w:lineRule="auto"/>
            </w:pPr>
            <w:r>
              <w:rPr>
                <w:color w:val="000000"/>
                <w:sz w:val="20"/>
              </w:rPr>
              <w:t>Property, plant and equipment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80CB92B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B2870CD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306,596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7C3B92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E061460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284,546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7A4B2EEE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884D4EA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Right-of-use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E8EACE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484937D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134,481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AF429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E1582E3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125,198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1BEB5662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15452F4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Goodwill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F231A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8F2425B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12,790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899D2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661AB08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11,330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0633D562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E5DB203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Other intangible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82F0B5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95944DE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54,688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B3CED2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D11FD6C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20,621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28B9BF32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D8DB19C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Contract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E374D2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4054E88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32,070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A27601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5960E92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22,710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7CBF69F7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8E8B7EE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Other long-term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50C57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8172837" w14:textId="77777777" w:rsidR="0006626A" w:rsidRDefault="000A256E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t>4,338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EB22E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0B64D46" w14:textId="77777777" w:rsidR="0006626A" w:rsidRDefault="000A256E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3,615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6E73579D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6512C61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Deferred tax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2064A0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CC10A5F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338,330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B7937D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1A1FCFD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298,360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16C57996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9F51CD7" w14:textId="77777777" w:rsidR="0006626A" w:rsidRDefault="000A256E">
            <w:pPr>
              <w:keepNext/>
              <w:spacing w:before="45" w:after="20" w:line="274" w:lineRule="auto"/>
            </w:pPr>
            <w:r>
              <w:rPr>
                <w:b/>
                <w:color w:val="000000"/>
                <w:sz w:val="20"/>
              </w:rPr>
              <w:t>Total non-current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05938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A4B8F83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883,293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CD6A16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66B8B21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766,380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4D023A3C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0D62810" w14:textId="77777777" w:rsidR="0006626A" w:rsidRDefault="000A256E">
            <w:pPr>
              <w:keepNext/>
              <w:spacing w:before="45" w:after="20" w:line="274" w:lineRule="auto"/>
            </w:pPr>
            <w:r>
              <w:rPr>
                <w:b/>
                <w:color w:val="000000"/>
                <w:sz w:val="20"/>
              </w:rPr>
              <w:t>Current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CBCCF9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833A27" w14:textId="77777777" w:rsidR="0006626A" w:rsidRDefault="0006626A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5AF83B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F1D843" w14:textId="77777777" w:rsidR="0006626A" w:rsidRDefault="0006626A">
            <w:pPr>
              <w:keepNext/>
            </w:pPr>
          </w:p>
        </w:tc>
      </w:tr>
      <w:tr w:rsidR="0006626A" w14:paraId="5C272282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980FCF7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Inventories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758286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B1D0CA4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155,490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7AF819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C8CAF20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127,889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549B4E9C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463C4CB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Trade receivables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818B57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ECB8284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108,103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5AC9BD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5FA0B96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160,217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2C731FDB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523AC15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Contract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8D93AC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666F27E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46,664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71B0C8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2979671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67,304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33E7241D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799CDE1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 xml:space="preserve">Other </w:t>
            </w:r>
            <w:r>
              <w:rPr>
                <w:color w:val="000000"/>
                <w:sz w:val="20"/>
              </w:rPr>
              <w:t>current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C08DB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B6C846A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47,579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209B97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6FDDBD3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48,064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68E5DE8D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5614D0B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Receivables from related parties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5770A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8447E84" w14:textId="77777777" w:rsidR="0006626A" w:rsidRDefault="000A256E">
            <w:pPr>
              <w:keepNext/>
              <w:tabs>
                <w:tab w:val="left" w:pos="87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173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B67D85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1FA42EA" w14:textId="77777777" w:rsidR="0006626A" w:rsidRDefault="000A256E">
            <w:pPr>
              <w:keepNext/>
              <w:tabs>
                <w:tab w:val="left" w:pos="87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118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2224A49D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597B55E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Cash and cash equivalents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5B170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344EACF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151,452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F0C7DC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13039C2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51,428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4A6AF028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2CBEC68" w14:textId="77777777" w:rsidR="0006626A" w:rsidRDefault="000A256E">
            <w:pPr>
              <w:keepNext/>
              <w:spacing w:before="45" w:after="20" w:line="274" w:lineRule="auto"/>
            </w:pPr>
            <w:r>
              <w:rPr>
                <w:b/>
                <w:color w:val="000000"/>
                <w:sz w:val="20"/>
              </w:rPr>
              <w:t>Total current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3935AA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1CC732D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509,461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B7CEF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5A4B2C4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455,020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356F052A" w14:textId="77777777">
        <w:trPr>
          <w:cantSplit/>
        </w:trPr>
        <w:tc>
          <w:tcPr>
            <w:tcW w:w="66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38BF831" w14:textId="77777777" w:rsidR="0006626A" w:rsidRDefault="000A256E">
            <w:pPr>
              <w:spacing w:before="45" w:after="20" w:line="274" w:lineRule="auto"/>
            </w:pPr>
            <w:r>
              <w:rPr>
                <w:b/>
                <w:color w:val="000000"/>
                <w:sz w:val="20"/>
              </w:rPr>
              <w:t>Total assets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BD121F" w14:textId="77777777" w:rsidR="0006626A" w:rsidRDefault="0006626A"/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F6CEA15" w14:textId="77777777" w:rsidR="0006626A" w:rsidRDefault="000A256E">
            <w:pPr>
              <w:tabs>
                <w:tab w:val="left" w:pos="37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1,392,754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05CF1A8" w14:textId="77777777" w:rsidR="0006626A" w:rsidRDefault="0006626A"/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8AFA58D" w14:textId="77777777" w:rsidR="0006626A" w:rsidRDefault="000A256E">
            <w:pPr>
              <w:tabs>
                <w:tab w:val="left" w:pos="37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1,221,400</w:t>
            </w:r>
            <w:r>
              <w:rPr>
                <w:color w:val="000000"/>
                <w:sz w:val="20"/>
              </w:rPr>
              <w:tab/>
            </w:r>
          </w:p>
        </w:tc>
      </w:tr>
    </w:tbl>
    <w:p w14:paraId="7F25E828" w14:textId="77777777" w:rsidR="0006626A" w:rsidRDefault="0006626A">
      <w:pPr>
        <w:spacing w:before="240" w:line="276" w:lineRule="auto"/>
        <w:jc w:val="center"/>
        <w:rPr>
          <w:i/>
          <w:sz w:val="20"/>
        </w:rPr>
      </w:pPr>
    </w:p>
    <w:p w14:paraId="6C4846CE" w14:textId="77777777" w:rsidR="0006626A" w:rsidRDefault="000A256E">
      <w:pPr>
        <w:keepNext/>
        <w:pageBreakBefore/>
        <w:spacing w:line="230" w:lineRule="exact"/>
        <w:rPr>
          <w:sz w:val="20"/>
        </w:rPr>
      </w:pPr>
      <w:r>
        <w:rPr>
          <w:sz w:val="20"/>
        </w:rPr>
        <w:lastRenderedPageBreak/>
        <w:t xml:space="preserve">Unaudited Condensed Consolidated Interim Statements of Financial Position as of </w:t>
      </w:r>
      <w:r>
        <w:rPr>
          <w:color w:val="000000"/>
          <w:sz w:val="20"/>
        </w:rPr>
        <w:t>30 June 2025</w:t>
      </w:r>
      <w:r>
        <w:rPr>
          <w:sz w:val="20"/>
        </w:rPr>
        <w:t xml:space="preserve"> and </w:t>
      </w:r>
      <w:r>
        <w:rPr>
          <w:color w:val="000000"/>
          <w:sz w:val="20"/>
        </w:rPr>
        <w:t>31 December 2024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06626A" w14:paraId="17574C74" w14:textId="77777777">
        <w:trPr>
          <w:cantSplit/>
          <w:trHeight w:hRule="exact" w:val="120"/>
        </w:trPr>
        <w:tc>
          <w:tcPr>
            <w:tcW w:w="9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D14BD7" w14:textId="77777777" w:rsidR="0006626A" w:rsidRDefault="0006626A"/>
        </w:tc>
      </w:tr>
    </w:tbl>
    <w:p w14:paraId="0B1CAD59" w14:textId="77777777" w:rsidR="0006626A" w:rsidRDefault="000A256E">
      <w:pPr>
        <w:keepNext/>
        <w:spacing w:before="360" w:after="120" w:line="276" w:lineRule="auto"/>
        <w:rPr>
          <w:sz w:val="20"/>
        </w:rPr>
      </w:pPr>
      <w:r>
        <w:rPr>
          <w:i/>
          <w:sz w:val="20"/>
        </w:rPr>
        <w:t xml:space="preserve">USD in thousands </w:t>
      </w:r>
    </w:p>
    <w:tbl>
      <w:tblPr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5"/>
        <w:gridCol w:w="60"/>
        <w:gridCol w:w="1305"/>
        <w:gridCol w:w="60"/>
        <w:gridCol w:w="1305"/>
      </w:tblGrid>
      <w:tr w:rsidR="0006626A" w14:paraId="5967F7DF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632F371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b/>
                <w:color w:val="000000"/>
                <w:sz w:val="20"/>
              </w:rPr>
              <w:t>Equity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B21429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9BC4822" w14:textId="77777777" w:rsidR="0006626A" w:rsidRDefault="000A256E">
            <w:pPr>
              <w:keepNext/>
              <w:spacing w:before="65" w:after="20" w:line="276" w:lineRule="auto"/>
              <w:jc w:val="center"/>
            </w:pPr>
            <w:r>
              <w:rPr>
                <w:b/>
                <w:color w:val="000000"/>
                <w:sz w:val="16"/>
              </w:rPr>
              <w:t xml:space="preserve">30 June </w:t>
            </w:r>
            <w:r>
              <w:br/>
            </w:r>
            <w:r>
              <w:rPr>
                <w:b/>
                <w:color w:val="000000"/>
                <w:sz w:val="16"/>
              </w:rPr>
              <w:t>2025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727EEA9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1FB869C" w14:textId="77777777" w:rsidR="0006626A" w:rsidRDefault="000A256E">
            <w:pPr>
              <w:keepNext/>
              <w:spacing w:before="65" w:after="20" w:line="276" w:lineRule="auto"/>
              <w:jc w:val="center"/>
            </w:pPr>
            <w:r>
              <w:rPr>
                <w:b/>
                <w:color w:val="000000"/>
                <w:sz w:val="16"/>
              </w:rPr>
              <w:t xml:space="preserve">31 December </w:t>
            </w:r>
            <w:r>
              <w:br/>
            </w:r>
            <w:r>
              <w:rPr>
                <w:b/>
                <w:color w:val="000000"/>
                <w:sz w:val="16"/>
              </w:rPr>
              <w:t>2024</w:t>
            </w:r>
          </w:p>
        </w:tc>
      </w:tr>
      <w:tr w:rsidR="0006626A" w14:paraId="13900CB5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49D00C1" w14:textId="77777777" w:rsidR="0006626A" w:rsidRDefault="000A256E">
            <w:pPr>
              <w:keepNext/>
              <w:spacing w:before="45" w:after="20" w:line="274" w:lineRule="auto"/>
            </w:pPr>
            <w:r>
              <w:rPr>
                <w:color w:val="000000"/>
                <w:sz w:val="20"/>
              </w:rPr>
              <w:t>Share capital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329E51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EF057BA" w14:textId="77777777" w:rsidR="0006626A" w:rsidRDefault="000A256E">
            <w:pPr>
              <w:keepNext/>
              <w:tabs>
                <w:tab w:val="left" w:pos="72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2,924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624D4A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73BFE1A" w14:textId="77777777" w:rsidR="0006626A" w:rsidRDefault="000A256E">
            <w:pPr>
              <w:keepNext/>
              <w:tabs>
                <w:tab w:val="left" w:pos="72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2,826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1D222BAB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8442664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Share premium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818B5F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9CC6219" w14:textId="77777777" w:rsidR="0006626A" w:rsidRDefault="000A256E">
            <w:pPr>
              <w:keepNext/>
              <w:tabs>
                <w:tab w:val="left" w:pos="37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2,102,896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DC47D4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DBC5553" w14:textId="77777777" w:rsidR="0006626A" w:rsidRDefault="000A256E">
            <w:pPr>
              <w:keepNext/>
              <w:tabs>
                <w:tab w:val="left" w:pos="37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2,007,058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58C85C70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2F202C8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Other reserves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618D51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E775464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15,627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ED2C64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FCCA450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17,272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019F4B00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98F2A8D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Translation reserve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603259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97852FB" w14:textId="77777777" w:rsidR="0006626A" w:rsidRDefault="000A256E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1,216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8142813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8521FEA" w14:textId="77777777" w:rsidR="0006626A" w:rsidRDefault="000A256E">
            <w:pPr>
              <w:keepNext/>
              <w:tabs>
                <w:tab w:val="left" w:pos="656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(2,218)</w:t>
            </w:r>
          </w:p>
        </w:tc>
      </w:tr>
      <w:tr w:rsidR="0006626A" w14:paraId="667FBD8B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70CDD32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Accumulated deficit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38EA8B9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2EB932E" w14:textId="77777777" w:rsidR="0006626A" w:rsidRDefault="000A256E">
            <w:pPr>
              <w:keepNext/>
              <w:tabs>
                <w:tab w:val="left" w:pos="306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(2,295,991)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7A1A9D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15BB6C6" w14:textId="77777777" w:rsidR="0006626A" w:rsidRDefault="000A256E">
            <w:pPr>
              <w:keepNext/>
              <w:tabs>
                <w:tab w:val="left" w:pos="306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(2,437,709)</w:t>
            </w:r>
          </w:p>
        </w:tc>
      </w:tr>
      <w:tr w:rsidR="0006626A" w14:paraId="20FB8E87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D9761D3" w14:textId="77777777" w:rsidR="0006626A" w:rsidRDefault="000A256E">
            <w:pPr>
              <w:keepNext/>
              <w:spacing w:before="45" w:after="20" w:line="274" w:lineRule="auto"/>
            </w:pPr>
            <w:r>
              <w:rPr>
                <w:b/>
                <w:color w:val="000000"/>
                <w:sz w:val="20"/>
              </w:rPr>
              <w:t>Total equity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90BDCF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2CE8618" w14:textId="77777777" w:rsidR="0006626A" w:rsidRDefault="000A256E">
            <w:pPr>
              <w:keepNext/>
              <w:tabs>
                <w:tab w:val="left" w:pos="456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(173,328)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AFCAA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2BBFD92" w14:textId="77777777" w:rsidR="0006626A" w:rsidRDefault="000A256E">
            <w:pPr>
              <w:keepNext/>
              <w:tabs>
                <w:tab w:val="left" w:pos="456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(412,771)</w:t>
            </w:r>
          </w:p>
        </w:tc>
      </w:tr>
      <w:tr w:rsidR="0006626A" w14:paraId="4357ED46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D978544" w14:textId="77777777" w:rsidR="0006626A" w:rsidRDefault="000A256E">
            <w:pPr>
              <w:keepNext/>
              <w:spacing w:before="5" w:after="20" w:line="274" w:lineRule="auto"/>
            </w:pPr>
            <w:r>
              <w:rPr>
                <w:b/>
                <w:color w:val="000000"/>
                <w:sz w:val="20"/>
              </w:rPr>
              <w:t>Non-current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E072B1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CED36" w14:textId="77777777" w:rsidR="0006626A" w:rsidRDefault="0006626A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44DC39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doub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C16BF9" w14:textId="77777777" w:rsidR="0006626A" w:rsidRDefault="0006626A">
            <w:pPr>
              <w:keepNext/>
            </w:pPr>
          </w:p>
        </w:tc>
      </w:tr>
      <w:tr w:rsidR="0006626A" w14:paraId="5B24F6E6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F366AA7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Borrowings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A64271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64F9E40" w14:textId="77777777" w:rsidR="0006626A" w:rsidRDefault="000A256E">
            <w:pPr>
              <w:keepNext/>
              <w:tabs>
                <w:tab w:val="left" w:pos="37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1,072,138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76D5BD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4F2A15B" w14:textId="77777777" w:rsidR="0006626A" w:rsidRDefault="000A256E">
            <w:pPr>
              <w:keepNext/>
              <w:tabs>
                <w:tab w:val="left" w:pos="37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1,035,882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7EBA4986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420C367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 xml:space="preserve">Derivative </w:t>
            </w:r>
            <w:r>
              <w:rPr>
                <w:color w:val="000000"/>
                <w:sz w:val="20"/>
              </w:rPr>
              <w:t>financial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F504D5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DC744FB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63,004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AE36B7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675C2AD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210,224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7792EBA9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BA3A259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Lease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981628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896F6F6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136,263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8D33EE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E0DEEE6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112,137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3B21EF83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A6797C5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Contract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3657A0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6CC8704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12,914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6481E3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DD7CEB5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80,721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354B8FE4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FEE54CD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Deferred tax liability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537F8A5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F4A7FF3" w14:textId="77777777" w:rsidR="0006626A" w:rsidRDefault="000A256E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2,014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1B54FD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B981ADF" w14:textId="77777777" w:rsidR="0006626A" w:rsidRDefault="000A256E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1,811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19E4B338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EDBDE1E" w14:textId="77777777" w:rsidR="0006626A" w:rsidRDefault="000A256E">
            <w:pPr>
              <w:keepNext/>
              <w:spacing w:before="45" w:after="20" w:line="274" w:lineRule="auto"/>
            </w:pPr>
            <w:r>
              <w:rPr>
                <w:b/>
                <w:color w:val="000000"/>
                <w:sz w:val="20"/>
              </w:rPr>
              <w:t>Total non-current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E4F8E5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22D346B" w14:textId="77777777" w:rsidR="0006626A" w:rsidRDefault="000A256E">
            <w:pPr>
              <w:keepNext/>
              <w:tabs>
                <w:tab w:val="left" w:pos="37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1,286,333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40D4CC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1306D79" w14:textId="77777777" w:rsidR="0006626A" w:rsidRDefault="000A256E">
            <w:pPr>
              <w:keepNext/>
              <w:tabs>
                <w:tab w:val="left" w:pos="37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1,440,775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003C5F16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5BC3346" w14:textId="77777777" w:rsidR="0006626A" w:rsidRDefault="000A256E">
            <w:pPr>
              <w:keepNext/>
              <w:spacing w:before="45" w:after="20" w:line="274" w:lineRule="auto"/>
            </w:pPr>
            <w:r>
              <w:rPr>
                <w:b/>
                <w:color w:val="000000"/>
                <w:sz w:val="20"/>
              </w:rPr>
              <w:t>Current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07ECA7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0EB5FB" w14:textId="77777777" w:rsidR="0006626A" w:rsidRDefault="0006626A">
            <w:pPr>
              <w:keepNext/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684CED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25C0BC5" w14:textId="77777777" w:rsidR="0006626A" w:rsidRDefault="0006626A">
            <w:pPr>
              <w:keepNext/>
            </w:pPr>
          </w:p>
        </w:tc>
      </w:tr>
      <w:tr w:rsidR="0006626A" w14:paraId="65B2129D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7186C4A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Trade and other payables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FF2D8C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E8333D8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84,282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68B32C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DAE6053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67,126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174FB911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B80EF4B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Lease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68FD6B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2CEBE60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13,591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06A2DCF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46C3C3D" w14:textId="77777777" w:rsidR="0006626A" w:rsidRDefault="000A256E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9,515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106C1F57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87B90E6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Current maturities of borrowings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2AB95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52D5FC7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46,026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C0174E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C4AE626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32,702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3C7FE801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EFB16DD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Liabilities to related parties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A8CFFD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43FDD1F" w14:textId="77777777" w:rsidR="0006626A" w:rsidRDefault="000A256E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1,641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2E1A8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679304" w14:textId="77777777" w:rsidR="0006626A" w:rsidRDefault="000A256E">
            <w:pPr>
              <w:keepNext/>
              <w:tabs>
                <w:tab w:val="left" w:pos="7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8,465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6396A285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1F454B8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Contract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2CEF7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AAAB572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60,333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1FF967B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53CABC5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15,980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7553AAD9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4E5AF1F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Taxes payable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7BF3D5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045F55E" w14:textId="77777777" w:rsidR="0006626A" w:rsidRDefault="000A256E">
            <w:pPr>
              <w:keepNext/>
              <w:tabs>
                <w:tab w:val="left" w:pos="87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741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E2D976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7BD5431" w14:textId="77777777" w:rsidR="0006626A" w:rsidRDefault="000A256E">
            <w:pPr>
              <w:keepNext/>
              <w:tabs>
                <w:tab w:val="left" w:pos="87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t>204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60EB7189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5CE38E0" w14:textId="77777777" w:rsidR="0006626A" w:rsidRDefault="000A256E">
            <w:pPr>
              <w:keepNext/>
              <w:spacing w:before="65" w:after="20" w:line="274" w:lineRule="auto"/>
            </w:pPr>
            <w:r>
              <w:rPr>
                <w:color w:val="000000"/>
                <w:sz w:val="20"/>
              </w:rPr>
              <w:t>Other current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68AE88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1FC8A59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73,135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544463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BD04B73" w14:textId="77777777" w:rsidR="0006626A" w:rsidRDefault="000A256E">
            <w:pPr>
              <w:keepNext/>
              <w:tabs>
                <w:tab w:val="left" w:pos="622"/>
                <w:tab w:val="left" w:pos="1237"/>
              </w:tabs>
              <w:spacing w:before="6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59,404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4AEE674C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36F9127" w14:textId="77777777" w:rsidR="0006626A" w:rsidRDefault="000A256E">
            <w:pPr>
              <w:keepNext/>
              <w:spacing w:before="45" w:after="20" w:line="274" w:lineRule="auto"/>
            </w:pPr>
            <w:r>
              <w:rPr>
                <w:b/>
                <w:color w:val="000000"/>
                <w:sz w:val="20"/>
              </w:rPr>
              <w:t>Total current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204CBA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42C40F4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279,749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C4B220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4F2352A" w14:textId="77777777" w:rsidR="0006626A" w:rsidRDefault="000A256E">
            <w:pPr>
              <w:keepNext/>
              <w:tabs>
                <w:tab w:val="left" w:pos="52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193,396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58585328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6FD9CAF" w14:textId="77777777" w:rsidR="0006626A" w:rsidRDefault="000A256E">
            <w:pPr>
              <w:keepNext/>
              <w:spacing w:before="45" w:after="20" w:line="274" w:lineRule="auto"/>
            </w:pPr>
            <w:r>
              <w:rPr>
                <w:b/>
                <w:color w:val="000000"/>
                <w:sz w:val="20"/>
              </w:rPr>
              <w:t>Total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70C9C1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3F8C556" w14:textId="77777777" w:rsidR="0006626A" w:rsidRDefault="000A256E">
            <w:pPr>
              <w:keepNext/>
              <w:tabs>
                <w:tab w:val="left" w:pos="37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1,566,082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B72E03" w14:textId="77777777" w:rsidR="0006626A" w:rsidRDefault="0006626A">
            <w:pPr>
              <w:keepNext/>
            </w:pPr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36D04A8" w14:textId="77777777" w:rsidR="0006626A" w:rsidRDefault="000A256E">
            <w:pPr>
              <w:keepNext/>
              <w:tabs>
                <w:tab w:val="left" w:pos="372"/>
                <w:tab w:val="left" w:pos="1237"/>
              </w:tabs>
              <w:spacing w:before="4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1,634,171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69316629" w14:textId="77777777">
        <w:trPr>
          <w:cantSplit/>
        </w:trPr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F7B133A" w14:textId="77777777" w:rsidR="0006626A" w:rsidRDefault="000A256E">
            <w:pPr>
              <w:spacing w:before="5" w:after="20" w:line="274" w:lineRule="auto"/>
            </w:pPr>
            <w:r>
              <w:rPr>
                <w:b/>
                <w:color w:val="000000"/>
                <w:sz w:val="20"/>
              </w:rPr>
              <w:t>Total equity and liabilities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D6EEA" w14:textId="77777777" w:rsidR="0006626A" w:rsidRDefault="0006626A"/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5B4CE7E" w14:textId="77777777" w:rsidR="0006626A" w:rsidRDefault="000A256E">
            <w:pPr>
              <w:tabs>
                <w:tab w:val="left" w:pos="372"/>
                <w:tab w:val="left" w:pos="1237"/>
              </w:tabs>
              <w:spacing w:before="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1,392,754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27630" w14:textId="77777777" w:rsidR="0006626A" w:rsidRDefault="0006626A"/>
        </w:tc>
        <w:tc>
          <w:tcPr>
            <w:tcW w:w="1305" w:type="dxa"/>
            <w:tcBorders>
              <w:top w:val="doub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05CF50A" w14:textId="77777777" w:rsidR="0006626A" w:rsidRDefault="000A256E">
            <w:pPr>
              <w:tabs>
                <w:tab w:val="left" w:pos="372"/>
                <w:tab w:val="left" w:pos="1237"/>
              </w:tabs>
              <w:spacing w:before="5" w:after="20" w:line="274" w:lineRule="auto"/>
              <w:jc w:val="right"/>
            </w:pPr>
            <w:r>
              <w:rPr>
                <w:color w:val="000000"/>
                <w:sz w:val="20"/>
              </w:rPr>
              <w:tab/>
              <w:t>1,221,400</w:t>
            </w:r>
            <w:r>
              <w:rPr>
                <w:color w:val="000000"/>
                <w:sz w:val="20"/>
              </w:rPr>
              <w:tab/>
            </w:r>
          </w:p>
        </w:tc>
      </w:tr>
    </w:tbl>
    <w:p w14:paraId="27291175" w14:textId="77777777" w:rsidR="0006626A" w:rsidRDefault="0006626A">
      <w:pPr>
        <w:spacing w:before="240" w:line="276" w:lineRule="auto"/>
        <w:jc w:val="center"/>
        <w:rPr>
          <w:i/>
          <w:sz w:val="20"/>
        </w:rPr>
      </w:pPr>
    </w:p>
    <w:p w14:paraId="6D8F71D2" w14:textId="77777777" w:rsidR="0006626A" w:rsidRDefault="0006626A">
      <w:pPr>
        <w:spacing w:before="240" w:line="276" w:lineRule="auto"/>
        <w:jc w:val="center"/>
        <w:rPr>
          <w:i/>
          <w:sz w:val="20"/>
        </w:rPr>
        <w:sectPr w:rsidR="0006626A">
          <w:headerReference w:type="default" r:id="rId9"/>
          <w:pgSz w:w="12240" w:h="15840"/>
          <w:pgMar w:top="900" w:right="1170" w:bottom="900" w:left="1170" w:header="0" w:footer="270" w:gutter="0"/>
          <w:cols w:space="708"/>
        </w:sectPr>
      </w:pPr>
    </w:p>
    <w:p w14:paraId="330E6799" w14:textId="77777777" w:rsidR="0006626A" w:rsidRDefault="000A256E">
      <w:pPr>
        <w:keepNext/>
        <w:spacing w:after="40" w:line="276" w:lineRule="auto"/>
        <w:outlineLvl w:val="0"/>
        <w:rPr>
          <w:sz w:val="20"/>
        </w:rPr>
      </w:pPr>
      <w:bookmarkStart w:id="2" w:name="Section3"/>
      <w:bookmarkEnd w:id="2"/>
      <w:r>
        <w:rPr>
          <w:sz w:val="20"/>
        </w:rPr>
        <w:lastRenderedPageBreak/>
        <w:t xml:space="preserve">Unaudited Condensed Consolidated Interim Statements of Cash Flows for the </w:t>
      </w:r>
      <w:r>
        <w:rPr>
          <w:color w:val="000000"/>
          <w:sz w:val="20"/>
        </w:rPr>
        <w:t>six months ended 30 June 2025</w:t>
      </w:r>
      <w:r>
        <w:rPr>
          <w:sz w:val="20"/>
        </w:rPr>
        <w:t xml:space="preserve"> and </w:t>
      </w:r>
      <w:r>
        <w:rPr>
          <w:color w:val="000000"/>
          <w:sz w:val="20"/>
        </w:rPr>
        <w:t>2024</w:t>
      </w: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06626A" w14:paraId="540C586E" w14:textId="77777777">
        <w:trPr>
          <w:cantSplit/>
          <w:trHeight w:hRule="exact" w:val="120"/>
        </w:trPr>
        <w:tc>
          <w:tcPr>
            <w:tcW w:w="990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A9180C" w14:textId="77777777" w:rsidR="0006626A" w:rsidRDefault="0006626A"/>
        </w:tc>
      </w:tr>
    </w:tbl>
    <w:p w14:paraId="78A94627" w14:textId="77777777" w:rsidR="0006626A" w:rsidRDefault="000A256E">
      <w:pPr>
        <w:keepNext/>
        <w:spacing w:before="360" w:after="120" w:line="288" w:lineRule="auto"/>
        <w:rPr>
          <w:i/>
          <w:sz w:val="20"/>
        </w:rPr>
      </w:pPr>
      <w:r>
        <w:rPr>
          <w:i/>
          <w:sz w:val="20"/>
        </w:rPr>
        <w:t xml:space="preserve">USD in thousands </w:t>
      </w:r>
    </w:p>
    <w:tbl>
      <w:tblPr>
        <w:tblW w:w="8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1"/>
        <w:gridCol w:w="165"/>
        <w:gridCol w:w="1302"/>
        <w:gridCol w:w="80"/>
        <w:gridCol w:w="1302"/>
      </w:tblGrid>
      <w:tr w:rsidR="0006626A" w14:paraId="40CEA183" w14:textId="77777777" w:rsidTr="008F1C3B">
        <w:trPr>
          <w:cantSplit/>
          <w:trHeight w:hRule="exact" w:val="52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0F55057" w14:textId="77777777" w:rsidR="0006626A" w:rsidRDefault="000A256E">
            <w:pPr>
              <w:spacing w:before="75" w:after="30" w:line="274" w:lineRule="auto"/>
            </w:pPr>
            <w:r>
              <w:rPr>
                <w:b/>
                <w:color w:val="000000"/>
                <w:sz w:val="18"/>
              </w:rPr>
              <w:t>Cash flows from operating activities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17CAFC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1D2F3EC" w14:textId="77777777" w:rsidR="0006626A" w:rsidRDefault="000A256E">
            <w:pPr>
              <w:spacing w:before="75" w:after="30"/>
              <w:jc w:val="center"/>
            </w:pPr>
            <w:r>
              <w:rPr>
                <w:b/>
                <w:color w:val="000000"/>
                <w:sz w:val="16"/>
              </w:rPr>
              <w:t>Six months ended 30 June 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E47E6C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CD2DF54" w14:textId="77777777" w:rsidR="0006626A" w:rsidRDefault="000A256E">
            <w:pPr>
              <w:spacing w:before="75" w:after="30"/>
              <w:jc w:val="center"/>
            </w:pPr>
            <w:r>
              <w:rPr>
                <w:b/>
                <w:color w:val="000000"/>
                <w:sz w:val="16"/>
              </w:rPr>
              <w:t>Six months ended 30 June 2024</w:t>
            </w:r>
          </w:p>
        </w:tc>
      </w:tr>
      <w:tr w:rsidR="0006626A" w14:paraId="2251DE30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216EC24" w14:textId="77777777" w:rsidR="0006626A" w:rsidRDefault="000A256E">
            <w:pPr>
              <w:spacing w:before="55" w:after="30" w:line="274" w:lineRule="auto"/>
            </w:pPr>
            <w:r>
              <w:rPr>
                <w:color w:val="000000"/>
                <w:sz w:val="20"/>
              </w:rPr>
              <w:t xml:space="preserve">Profit (loss) for </w:t>
            </w:r>
            <w:r>
              <w:rPr>
                <w:color w:val="000000"/>
                <w:sz w:val="20"/>
              </w:rPr>
              <w:t>the period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6DFAD7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A3CFB2D" w14:textId="77777777" w:rsidR="0006626A" w:rsidRDefault="000A256E">
            <w:pPr>
              <w:tabs>
                <w:tab w:val="left" w:pos="522"/>
                <w:tab w:val="left" w:pos="1237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141,718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7CA47F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8BF69FD" w14:textId="77777777" w:rsidR="0006626A" w:rsidRDefault="000A256E">
            <w:pPr>
              <w:tabs>
                <w:tab w:val="left" w:pos="456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(153,504)</w:t>
            </w:r>
          </w:p>
        </w:tc>
      </w:tr>
      <w:tr w:rsidR="0006626A" w14:paraId="22875742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9C591A8" w14:textId="77777777" w:rsidR="0006626A" w:rsidRDefault="000A256E">
            <w:pPr>
              <w:spacing w:before="75" w:after="30" w:line="274" w:lineRule="auto"/>
            </w:pPr>
            <w:r>
              <w:rPr>
                <w:b/>
                <w:color w:val="000000"/>
                <w:sz w:val="20"/>
              </w:rPr>
              <w:t>Adjustments for non-cash items: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71B90A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49AC4" w14:textId="77777777" w:rsidR="0006626A" w:rsidRDefault="0006626A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41F47E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4D74D1" w14:textId="77777777" w:rsidR="0006626A" w:rsidRDefault="0006626A"/>
        </w:tc>
      </w:tr>
      <w:tr w:rsidR="0006626A" w14:paraId="30CB01B4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D2B56F1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Depreciation and amortization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B33ED5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17E3EB4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17,156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3386A9E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65EE02C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14,748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30ECBEC5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70D2AD5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Change in inventory reserves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31226B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B023239" w14:textId="77777777" w:rsidR="0006626A" w:rsidRDefault="000A256E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5,238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4D75E6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B0AD14" w14:textId="77777777" w:rsidR="0006626A" w:rsidRDefault="000A256E">
            <w:pPr>
              <w:tabs>
                <w:tab w:val="left" w:pos="6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(6,936)</w:t>
            </w:r>
          </w:p>
        </w:tc>
      </w:tr>
      <w:tr w:rsidR="0006626A" w14:paraId="106036FD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55F51A1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Change in allowance for receivables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CB3A99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393C064" w14:textId="77777777" w:rsidR="0006626A" w:rsidRDefault="000A256E">
            <w:pPr>
              <w:tabs>
                <w:tab w:val="left" w:pos="87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703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47" w:type="dxa"/>
              <w:bottom w:w="0" w:type="dxa"/>
              <w:right w:w="13" w:type="dxa"/>
            </w:tcMar>
            <w:vAlign w:val="bottom"/>
          </w:tcPr>
          <w:p w14:paraId="0648C11B" w14:textId="77777777" w:rsidR="0006626A" w:rsidRDefault="0006626A">
            <w:pPr>
              <w:spacing w:before="75" w:after="30" w:line="274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024D731" w14:textId="77777777" w:rsidR="0006626A" w:rsidRDefault="000A256E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—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1246D7A0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62A46A0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Share-based payments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E4433D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5F45035" w14:textId="77777777" w:rsidR="0006626A" w:rsidRDefault="000A256E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3,418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B5BAF4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ED1D0DF" w14:textId="77777777" w:rsidR="0006626A" w:rsidRDefault="000A256E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t>5,294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07372125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2CADC15" w14:textId="77777777" w:rsidR="0006626A" w:rsidRDefault="000A256E">
            <w:pPr>
              <w:spacing w:before="75" w:after="30" w:line="274" w:lineRule="auto"/>
              <w:ind w:left="200" w:hanging="200"/>
            </w:pPr>
            <w:r>
              <w:rPr>
                <w:color w:val="000000"/>
                <w:sz w:val="20"/>
              </w:rPr>
              <w:t>Loss on sale of interest in joint venture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69EBFD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98F4B5D" w14:textId="77777777" w:rsidR="0006626A" w:rsidRDefault="000A256E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—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47" w:type="dxa"/>
              <w:bottom w:w="0" w:type="dxa"/>
              <w:right w:w="13" w:type="dxa"/>
            </w:tcMar>
            <w:vAlign w:val="bottom"/>
          </w:tcPr>
          <w:p w14:paraId="794AEB66" w14:textId="77777777" w:rsidR="0006626A" w:rsidRDefault="0006626A">
            <w:pPr>
              <w:spacing w:before="75" w:after="30" w:line="274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A35A63C" w14:textId="77777777" w:rsidR="0006626A" w:rsidRDefault="000A256E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2,970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479EFBD7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8FF37A5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Gain on modification and extinguishment of financial liabilities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069F6B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31E839D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(16,718)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13" w:type="dxa"/>
            </w:tcMar>
            <w:vAlign w:val="bottom"/>
          </w:tcPr>
          <w:p w14:paraId="74AC23A1" w14:textId="77777777" w:rsidR="0006626A" w:rsidRDefault="0006626A">
            <w:pPr>
              <w:spacing w:before="75" w:after="30" w:line="274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ADFD299" w14:textId="77777777" w:rsidR="0006626A" w:rsidRDefault="000A256E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—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0E474F50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9305327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Finance income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2D62A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80EB850" w14:textId="77777777" w:rsidR="0006626A" w:rsidRDefault="000A256E">
            <w:pPr>
              <w:tabs>
                <w:tab w:val="left" w:pos="4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(149,247)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C1B19A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CC720EF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(80,823)</w:t>
            </w:r>
          </w:p>
        </w:tc>
      </w:tr>
      <w:tr w:rsidR="0006626A" w14:paraId="0ECBFC6D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0BA6569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Finance costs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D15392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E7FED7F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72,190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C6D25E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2812096" w14:textId="77777777" w:rsidR="0006626A" w:rsidRDefault="000A256E">
            <w:pPr>
              <w:tabs>
                <w:tab w:val="left" w:pos="5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277,414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6EE4D170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29FA495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Exchange rate difference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79D0CF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94C3F29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t>19,683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1FD6F2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985D90F" w14:textId="77777777" w:rsidR="0006626A" w:rsidRDefault="000A256E">
            <w:pPr>
              <w:tabs>
                <w:tab w:val="left" w:pos="6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(7,742)</w:t>
            </w:r>
          </w:p>
        </w:tc>
      </w:tr>
      <w:tr w:rsidR="0006626A" w14:paraId="32A84960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B43B058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Income tax benefit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ED10725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40BF4DA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(38,987)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BD23F1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81898BD" w14:textId="77777777" w:rsidR="0006626A" w:rsidRDefault="000A256E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5,132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0CA7DAEE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D13C2FC" w14:textId="77777777" w:rsidR="0006626A" w:rsidRDefault="000A256E">
            <w:pPr>
              <w:spacing w:before="55" w:after="30" w:line="274" w:lineRule="auto"/>
            </w:pPr>
            <w:r>
              <w:rPr>
                <w:b/>
                <w:color w:val="000000"/>
                <w:sz w:val="20"/>
              </w:rPr>
              <w:t>Operating cash flow before movement in working capital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2C38F3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D91C8C7" w14:textId="77777777" w:rsidR="0006626A" w:rsidRDefault="000A256E">
            <w:pPr>
              <w:tabs>
                <w:tab w:val="left" w:pos="622"/>
                <w:tab w:val="left" w:pos="1237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55,154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D02F92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9BDAD22" w14:textId="77777777" w:rsidR="0006626A" w:rsidRDefault="000A256E">
            <w:pPr>
              <w:tabs>
                <w:tab w:val="left" w:pos="622"/>
                <w:tab w:val="left" w:pos="1237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56,553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50C85077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E868D51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Increase in inventories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82063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62F4624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(32,839)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29430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E1BEFB9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(15,205)</w:t>
            </w:r>
          </w:p>
        </w:tc>
      </w:tr>
      <w:tr w:rsidR="0006626A" w14:paraId="7F3572CD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FC3D147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Decrease / (increase) in trade receivables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4067CA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FDA5F6F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51,411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78C283A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6EFF922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(52,229)</w:t>
            </w:r>
          </w:p>
        </w:tc>
      </w:tr>
      <w:tr w:rsidR="0006626A" w14:paraId="30881B7E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082206D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(Increase) / decrease in receivables with related parties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22DC79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370F6DB" w14:textId="77777777" w:rsidR="0006626A" w:rsidRDefault="000A256E">
            <w:pPr>
              <w:tabs>
                <w:tab w:val="left" w:pos="90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(55)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BB14C8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7194C12" w14:textId="77777777" w:rsidR="0006626A" w:rsidRDefault="000A256E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92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21ADFF5B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0937927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Decrease / (increase) in contract assets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9BB8D7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50EEAB2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13,624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E794A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59008CA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(27,179)</w:t>
            </w:r>
          </w:p>
        </w:tc>
      </w:tr>
      <w:tr w:rsidR="0006626A" w14:paraId="0CCA3C99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B2A14F6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(Increase) / decrease  in other assets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72DF1D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9E6026C" w14:textId="77777777" w:rsidR="0006626A" w:rsidRDefault="000A256E">
            <w:pPr>
              <w:tabs>
                <w:tab w:val="left" w:pos="80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(990)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F7CD7D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8930F9A" w14:textId="77777777" w:rsidR="0006626A" w:rsidRDefault="000A256E">
            <w:pPr>
              <w:tabs>
                <w:tab w:val="left" w:pos="87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369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16804146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5836F28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Increase / (decrease) in trade and other payables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E4C2680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A6DD597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17,757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A7DA92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C78EF47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t>(21,758)</w:t>
            </w:r>
          </w:p>
        </w:tc>
      </w:tr>
      <w:tr w:rsidR="0006626A" w14:paraId="0C706826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154E309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Decrease in contract liabilities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96AA7C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F172532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(31,743)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FADA4F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395FF4F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(35,881)</w:t>
            </w:r>
          </w:p>
        </w:tc>
      </w:tr>
      <w:tr w:rsidR="0006626A" w14:paraId="401A337F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F58233D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(Decrease) / increase in liabilities with related parties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4CC629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35AD50F" w14:textId="77777777" w:rsidR="0006626A" w:rsidRDefault="000A256E">
            <w:pPr>
              <w:tabs>
                <w:tab w:val="left" w:pos="6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(3,917)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AC62D7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6589A09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16,677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5C09C88A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8365C17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Increase / (decrease) in other liabilities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77A6BC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14465F8" w14:textId="77777777" w:rsidR="0006626A" w:rsidRDefault="000A256E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8,127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08B59B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12BE556" w14:textId="77777777" w:rsidR="0006626A" w:rsidRDefault="000A256E">
            <w:pPr>
              <w:tabs>
                <w:tab w:val="left" w:pos="6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(6,056)</w:t>
            </w:r>
          </w:p>
        </w:tc>
      </w:tr>
      <w:tr w:rsidR="0006626A" w14:paraId="47894AEA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E5F4E17" w14:textId="77777777" w:rsidR="0006626A" w:rsidRDefault="000A256E">
            <w:pPr>
              <w:spacing w:before="55" w:after="30" w:line="274" w:lineRule="auto"/>
            </w:pPr>
            <w:r>
              <w:rPr>
                <w:b/>
                <w:color w:val="000000"/>
                <w:sz w:val="20"/>
              </w:rPr>
              <w:t>Cash from (used in) operations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43C124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755546D" w14:textId="77777777" w:rsidR="0006626A" w:rsidRDefault="000A256E">
            <w:pPr>
              <w:tabs>
                <w:tab w:val="left" w:pos="622"/>
                <w:tab w:val="left" w:pos="1237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76,529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94A4FB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489DA51" w14:textId="77777777" w:rsidR="0006626A" w:rsidRDefault="000A256E">
            <w:pPr>
              <w:tabs>
                <w:tab w:val="left" w:pos="556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</w:r>
            <w:r>
              <w:rPr>
                <w:color w:val="000000"/>
                <w:sz w:val="20"/>
              </w:rPr>
              <w:t>(84,617)</w:t>
            </w:r>
          </w:p>
        </w:tc>
      </w:tr>
      <w:tr w:rsidR="0006626A" w14:paraId="4C757F49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90BC5A7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Interest received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AA7EEB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ED3E2E6" w14:textId="77777777" w:rsidR="0006626A" w:rsidRDefault="000A256E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50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B4701E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23DEB37" w14:textId="77777777" w:rsidR="0006626A" w:rsidRDefault="000A256E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26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7B191434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2A0F959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Interest paid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8A9F68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512049D" w14:textId="77777777" w:rsidR="0006626A" w:rsidRDefault="000A256E">
            <w:pPr>
              <w:tabs>
                <w:tab w:val="left" w:pos="6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(8,039)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47DED7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33CB5D8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(41,037)</w:t>
            </w:r>
          </w:p>
        </w:tc>
      </w:tr>
      <w:tr w:rsidR="0006626A" w14:paraId="27684577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C290F19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Income tax paid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4DD78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D20FE96" w14:textId="77777777" w:rsidR="0006626A" w:rsidRDefault="000A256E">
            <w:pPr>
              <w:tabs>
                <w:tab w:val="left" w:pos="80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(249)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D3B0F6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5389992" w14:textId="77777777" w:rsidR="0006626A" w:rsidRDefault="000A256E">
            <w:pPr>
              <w:tabs>
                <w:tab w:val="left" w:pos="80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(372)</w:t>
            </w:r>
          </w:p>
        </w:tc>
      </w:tr>
      <w:tr w:rsidR="0006626A" w14:paraId="3D8A4FC0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63DAE62" w14:textId="77777777" w:rsidR="0006626A" w:rsidRDefault="000A256E">
            <w:pPr>
              <w:spacing w:before="55" w:after="30" w:line="274" w:lineRule="auto"/>
            </w:pPr>
            <w:r>
              <w:rPr>
                <w:b/>
                <w:color w:val="000000"/>
                <w:sz w:val="20"/>
              </w:rPr>
              <w:t>Net cash from (used in) operating activities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57E2BB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1A206D0" w14:textId="77777777" w:rsidR="0006626A" w:rsidRDefault="000A256E">
            <w:pPr>
              <w:tabs>
                <w:tab w:val="left" w:pos="622"/>
                <w:tab w:val="left" w:pos="1237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68,291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EC1C1A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FFED050" w14:textId="77777777" w:rsidR="0006626A" w:rsidRDefault="000A256E">
            <w:pPr>
              <w:tabs>
                <w:tab w:val="left" w:pos="456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(126,000)</w:t>
            </w:r>
          </w:p>
        </w:tc>
      </w:tr>
      <w:tr w:rsidR="0006626A" w14:paraId="1BE9D514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E22458C" w14:textId="77777777" w:rsidR="0006626A" w:rsidRDefault="000A256E">
            <w:pPr>
              <w:spacing w:before="55" w:after="30" w:line="274" w:lineRule="auto"/>
            </w:pPr>
            <w:r>
              <w:rPr>
                <w:b/>
                <w:color w:val="000000"/>
                <w:sz w:val="20"/>
              </w:rPr>
              <w:t>Cash flows from investing activities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3D31309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8DE775" w14:textId="77777777" w:rsidR="0006626A" w:rsidRDefault="0006626A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F54D46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A21AC5" w14:textId="77777777" w:rsidR="0006626A" w:rsidRDefault="0006626A"/>
        </w:tc>
      </w:tr>
      <w:tr w:rsidR="0006626A" w14:paraId="20666361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4A02E1D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 xml:space="preserve">Acquisition of property, plant </w:t>
            </w:r>
            <w:r>
              <w:rPr>
                <w:color w:val="000000"/>
                <w:sz w:val="20"/>
              </w:rPr>
              <w:t>and equipment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016042C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7AAECB8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(36,805)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48156D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F6AD47B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(10,271)</w:t>
            </w:r>
          </w:p>
        </w:tc>
      </w:tr>
      <w:tr w:rsidR="0006626A" w14:paraId="21545071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2FF3AE9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Acquisition of intangible assets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83B8BC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C52F810" w14:textId="77777777" w:rsidR="0006626A" w:rsidRDefault="000A256E">
            <w:pPr>
              <w:tabs>
                <w:tab w:val="left" w:pos="5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(15,168)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0349A5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72CEB86" w14:textId="77777777" w:rsidR="0006626A" w:rsidRDefault="000A256E">
            <w:pPr>
              <w:tabs>
                <w:tab w:val="left" w:pos="6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(1,430)</w:t>
            </w:r>
          </w:p>
        </w:tc>
      </w:tr>
      <w:tr w:rsidR="0006626A" w14:paraId="5C963A05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A9ED3F2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Restricted cash in connection with amended bond agreement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35BD08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AA1DF1A" w14:textId="77777777" w:rsidR="0006626A" w:rsidRDefault="000A256E">
            <w:pPr>
              <w:tabs>
                <w:tab w:val="left" w:pos="99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18"/>
              </w:rPr>
              <w:tab/>
              <w:t>—</w:t>
            </w:r>
            <w:r>
              <w:rPr>
                <w:color w:val="000000"/>
                <w:sz w:val="18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EF8EABF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E52766F" w14:textId="77777777" w:rsidR="0006626A" w:rsidRDefault="000A256E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1,132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6DCFF415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0A3CA66A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Proceeds from the sale in joint venture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3C8E6C1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D49676F" w14:textId="77777777" w:rsidR="0006626A" w:rsidRDefault="000A256E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2,975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11E7B0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DF22707" w14:textId="77777777" w:rsidR="0006626A" w:rsidRDefault="000A256E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—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1D2095AA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5DD3C0D7" w14:textId="77777777" w:rsidR="0006626A" w:rsidRDefault="000A256E">
            <w:pPr>
              <w:spacing w:before="55" w:after="30" w:line="274" w:lineRule="auto"/>
            </w:pPr>
            <w:r>
              <w:rPr>
                <w:b/>
                <w:color w:val="000000"/>
                <w:sz w:val="20"/>
              </w:rPr>
              <w:t xml:space="preserve">Net cash used in investing </w:t>
            </w:r>
            <w:r>
              <w:rPr>
                <w:b/>
                <w:color w:val="000000"/>
                <w:sz w:val="20"/>
              </w:rPr>
              <w:t>activities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99D1A6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B0C831A" w14:textId="77777777" w:rsidR="0006626A" w:rsidRDefault="000A256E">
            <w:pPr>
              <w:tabs>
                <w:tab w:val="left" w:pos="556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(48,998)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0E6651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5782496" w14:textId="77777777" w:rsidR="0006626A" w:rsidRDefault="000A256E">
            <w:pPr>
              <w:tabs>
                <w:tab w:val="left" w:pos="556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(10,569)</w:t>
            </w:r>
          </w:p>
        </w:tc>
      </w:tr>
      <w:tr w:rsidR="0006626A" w14:paraId="28F565FF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27C161" w14:textId="77777777" w:rsidR="0006626A" w:rsidRDefault="0006626A"/>
          <w:p w14:paraId="38FA67E3" w14:textId="77777777" w:rsidR="008F1C3B" w:rsidRDefault="008F1C3B"/>
          <w:p w14:paraId="63C7665C" w14:textId="77777777" w:rsidR="008F1C3B" w:rsidRDefault="008F1C3B"/>
          <w:p w14:paraId="061A6850" w14:textId="77777777" w:rsidR="008F1C3B" w:rsidRDefault="008F1C3B"/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207877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BA37EE" w14:textId="77777777" w:rsidR="0006626A" w:rsidRDefault="0006626A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900A956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96D1618" w14:textId="77777777" w:rsidR="0006626A" w:rsidRDefault="0006626A"/>
        </w:tc>
      </w:tr>
    </w:tbl>
    <w:p w14:paraId="126E0B03" w14:textId="77777777" w:rsidR="008F1C3B" w:rsidRDefault="008F1C3B">
      <w:r>
        <w:br w:type="page"/>
      </w:r>
    </w:p>
    <w:tbl>
      <w:tblPr>
        <w:tblW w:w="8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1"/>
        <w:gridCol w:w="165"/>
        <w:gridCol w:w="1302"/>
        <w:gridCol w:w="80"/>
        <w:gridCol w:w="1302"/>
      </w:tblGrid>
      <w:tr w:rsidR="0006626A" w14:paraId="3B1C6082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1B03C2" w14:textId="73AEC2A4" w:rsidR="0006626A" w:rsidRDefault="0006626A"/>
          <w:p w14:paraId="6956A1DB" w14:textId="77777777" w:rsidR="008F1C3B" w:rsidRDefault="008F1C3B"/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8C2D91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BCF9CE" w14:textId="77777777" w:rsidR="0006626A" w:rsidRDefault="0006626A"/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C81D6A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1D5395" w14:textId="77777777" w:rsidR="0006626A" w:rsidRDefault="0006626A"/>
        </w:tc>
      </w:tr>
      <w:tr w:rsidR="0006626A" w14:paraId="0E5AAF29" w14:textId="77777777" w:rsidTr="008F1C3B">
        <w:trPr>
          <w:cantSplit/>
          <w:trHeight w:hRule="exact" w:val="5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AAF2BED" w14:textId="77777777" w:rsidR="0006626A" w:rsidRDefault="000A256E">
            <w:pPr>
              <w:spacing w:before="75" w:after="30" w:line="274" w:lineRule="auto"/>
            </w:pPr>
            <w:r>
              <w:rPr>
                <w:b/>
                <w:color w:val="000000"/>
                <w:sz w:val="20"/>
              </w:rPr>
              <w:t>Cash flows from financing activities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34EEA0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2B34D90" w14:textId="77777777" w:rsidR="0006626A" w:rsidRDefault="000A256E">
            <w:pPr>
              <w:spacing w:before="75" w:after="30"/>
              <w:jc w:val="center"/>
            </w:pPr>
            <w:r>
              <w:rPr>
                <w:b/>
                <w:color w:val="000000"/>
                <w:sz w:val="16"/>
              </w:rPr>
              <w:t>Six months ended 30 June 2025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 w14:paraId="23B35432" w14:textId="77777777" w:rsidR="0006626A" w:rsidRDefault="0006626A">
            <w:pPr>
              <w:spacing w:before="75" w:after="30" w:line="274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1B1D58F" w14:textId="77777777" w:rsidR="0006626A" w:rsidRDefault="000A256E">
            <w:pPr>
              <w:spacing w:before="75" w:after="30"/>
              <w:jc w:val="center"/>
            </w:pPr>
            <w:r>
              <w:rPr>
                <w:b/>
                <w:color w:val="000000"/>
                <w:sz w:val="16"/>
              </w:rPr>
              <w:t>Six months ended 30 June 2024</w:t>
            </w:r>
          </w:p>
        </w:tc>
      </w:tr>
      <w:tr w:rsidR="0006626A" w14:paraId="42A7712D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7FE7410" w14:textId="77777777" w:rsidR="0006626A" w:rsidRDefault="000A256E">
            <w:pPr>
              <w:spacing w:before="55" w:after="30" w:line="274" w:lineRule="auto"/>
            </w:pPr>
            <w:r>
              <w:rPr>
                <w:color w:val="000000"/>
                <w:sz w:val="20"/>
              </w:rPr>
              <w:t>Repayments of borrowings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B75E2F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0A4F8C8" w14:textId="77777777" w:rsidR="0006626A" w:rsidRDefault="000A256E">
            <w:pPr>
              <w:tabs>
                <w:tab w:val="left" w:pos="656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(7,757)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3E8E3F9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87EC70F" w14:textId="77777777" w:rsidR="0006626A" w:rsidRDefault="000A256E">
            <w:pPr>
              <w:tabs>
                <w:tab w:val="left" w:pos="556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(75,059)</w:t>
            </w:r>
          </w:p>
        </w:tc>
      </w:tr>
      <w:tr w:rsidR="0006626A" w14:paraId="740B0E30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CADA650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 xml:space="preserve">Repayments of principal portion of lease </w:t>
            </w:r>
            <w:r>
              <w:rPr>
                <w:color w:val="000000"/>
                <w:sz w:val="20"/>
              </w:rPr>
              <w:t>liabilities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D2122C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20FE3EC" w14:textId="77777777" w:rsidR="0006626A" w:rsidRDefault="000A256E">
            <w:pPr>
              <w:tabs>
                <w:tab w:val="left" w:pos="6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(4,924)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6A7A893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8FB196C" w14:textId="77777777" w:rsidR="0006626A" w:rsidRDefault="000A256E">
            <w:pPr>
              <w:tabs>
                <w:tab w:val="left" w:pos="6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(4,815)</w:t>
            </w:r>
          </w:p>
        </w:tc>
      </w:tr>
      <w:tr w:rsidR="0006626A" w14:paraId="6D49F617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672C2BFD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Proceeds from new borrowings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A08020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3C5FFEBA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11,267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47" w:type="dxa"/>
              <w:bottom w:w="0" w:type="dxa"/>
              <w:right w:w="13" w:type="dxa"/>
            </w:tcMar>
            <w:vAlign w:val="bottom"/>
          </w:tcPr>
          <w:p w14:paraId="49BBFAC3" w14:textId="77777777" w:rsidR="0006626A" w:rsidRDefault="0006626A">
            <w:pPr>
              <w:spacing w:before="75" w:after="30" w:line="274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B8FF8D6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67,500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160A04BC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972D414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Gross proceeds from equity offering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53EE9B1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99810C0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82,481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9C793B5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87A4731" w14:textId="77777777" w:rsidR="0006626A" w:rsidRDefault="000A256E">
            <w:pPr>
              <w:tabs>
                <w:tab w:val="left" w:pos="5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150,451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4E0704F1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9646349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Fees from equity offering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41A9D5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611D20B3" w14:textId="77777777" w:rsidR="0006626A" w:rsidRDefault="000A256E">
            <w:pPr>
              <w:tabs>
                <w:tab w:val="left" w:pos="6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(3,759)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57C6871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0BF82BC" w14:textId="77777777" w:rsidR="0006626A" w:rsidRDefault="000A256E">
            <w:pPr>
              <w:tabs>
                <w:tab w:val="left" w:pos="65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(5,812)</w:t>
            </w:r>
          </w:p>
        </w:tc>
      </w:tr>
      <w:tr w:rsidR="0006626A" w14:paraId="08EB791A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E55768D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Proceeds from warrants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FB20532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5B7E204F" w14:textId="77777777" w:rsidR="0006626A" w:rsidRDefault="000A256E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—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AA6C0A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4FF8057" w14:textId="77777777" w:rsidR="0006626A" w:rsidRDefault="000A256E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4,841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40434B17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4C9198B6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 xml:space="preserve">Stock options </w:t>
            </w:r>
            <w:r>
              <w:rPr>
                <w:color w:val="000000"/>
                <w:sz w:val="20"/>
              </w:rPr>
              <w:t>exercised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9C55C9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093C76C" w14:textId="77777777" w:rsidR="0006626A" w:rsidRDefault="000A256E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—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47" w:type="dxa"/>
              <w:bottom w:w="0" w:type="dxa"/>
              <w:right w:w="13" w:type="dxa"/>
            </w:tcMar>
            <w:vAlign w:val="bottom"/>
          </w:tcPr>
          <w:p w14:paraId="70567E68" w14:textId="77777777" w:rsidR="0006626A" w:rsidRDefault="0006626A">
            <w:pPr>
              <w:spacing w:before="75" w:after="30" w:line="274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13C4581" w14:textId="77777777" w:rsidR="0006626A" w:rsidRDefault="000A256E">
            <w:pPr>
              <w:tabs>
                <w:tab w:val="left" w:pos="97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76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248F5266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0A49A67" w14:textId="77777777" w:rsidR="0006626A" w:rsidRDefault="000A256E">
            <w:pPr>
              <w:spacing w:before="55" w:after="30" w:line="274" w:lineRule="auto"/>
            </w:pPr>
            <w:r>
              <w:rPr>
                <w:b/>
                <w:color w:val="000000"/>
                <w:sz w:val="20"/>
              </w:rPr>
              <w:t>Net cash generated from financing activities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C45494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7EDB904" w14:textId="77777777" w:rsidR="0006626A" w:rsidRDefault="000A256E">
            <w:pPr>
              <w:tabs>
                <w:tab w:val="left" w:pos="622"/>
                <w:tab w:val="left" w:pos="1237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77,308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DF7CAF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9BF2230" w14:textId="77777777" w:rsidR="0006626A" w:rsidRDefault="000A256E">
            <w:pPr>
              <w:tabs>
                <w:tab w:val="left" w:pos="522"/>
                <w:tab w:val="left" w:pos="1237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137,182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49937541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2958C70E" w14:textId="77777777" w:rsidR="0006626A" w:rsidRDefault="000A256E">
            <w:pPr>
              <w:spacing w:before="55" w:after="30" w:line="274" w:lineRule="auto"/>
            </w:pPr>
            <w:r>
              <w:rPr>
                <w:color w:val="000000"/>
                <w:sz w:val="20"/>
              </w:rPr>
              <w:t>Increase in cash and cash equivalents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DD9402C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27FBAE4" w14:textId="77777777" w:rsidR="0006626A" w:rsidRDefault="000A256E">
            <w:pPr>
              <w:tabs>
                <w:tab w:val="left" w:pos="622"/>
                <w:tab w:val="left" w:pos="1237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96,601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318DAE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D14FF51" w14:textId="77777777" w:rsidR="0006626A" w:rsidRDefault="000A256E">
            <w:pPr>
              <w:tabs>
                <w:tab w:val="left" w:pos="872"/>
                <w:tab w:val="left" w:pos="1237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613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4844F619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39062C9C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>Cash and cash equivalents at the beginning of the year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EA2906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7E34A889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51,428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5329C69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1A73FBC" w14:textId="77777777" w:rsidR="0006626A" w:rsidRDefault="000A256E">
            <w:pPr>
              <w:tabs>
                <w:tab w:val="left" w:pos="6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11,157</w:t>
            </w:r>
            <w:r>
              <w:rPr>
                <w:color w:val="000000"/>
                <w:sz w:val="20"/>
              </w:rPr>
              <w:tab/>
            </w:r>
          </w:p>
        </w:tc>
      </w:tr>
      <w:tr w:rsidR="0006626A" w14:paraId="682F1762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18A1FF04" w14:textId="77777777" w:rsidR="0006626A" w:rsidRDefault="000A256E">
            <w:pPr>
              <w:spacing w:before="75" w:after="30" w:line="274" w:lineRule="auto"/>
            </w:pPr>
            <w:r>
              <w:rPr>
                <w:color w:val="000000"/>
                <w:sz w:val="20"/>
              </w:rPr>
              <w:t xml:space="preserve">Effect of movements in </w:t>
            </w:r>
            <w:r>
              <w:rPr>
                <w:color w:val="000000"/>
                <w:sz w:val="20"/>
              </w:rPr>
              <w:t>exchange rates on cash held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C0FF71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1C14545D" w14:textId="77777777" w:rsidR="0006626A" w:rsidRDefault="000A256E">
            <w:pPr>
              <w:tabs>
                <w:tab w:val="left" w:pos="722"/>
                <w:tab w:val="left" w:pos="1237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3,423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F5441C" w14:textId="77777777" w:rsidR="0006626A" w:rsidRDefault="0006626A"/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CCEE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2642B539" w14:textId="77777777" w:rsidR="0006626A" w:rsidRDefault="000A256E">
            <w:pPr>
              <w:tabs>
                <w:tab w:val="left" w:pos="806"/>
              </w:tabs>
              <w:spacing w:before="7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(826)</w:t>
            </w:r>
          </w:p>
        </w:tc>
      </w:tr>
      <w:tr w:rsidR="0006626A" w14:paraId="5A5995B9" w14:textId="77777777" w:rsidTr="008F1C3B">
        <w:trPr>
          <w:cantSplit/>
          <w:trHeight w:hRule="exact" w:val="285"/>
          <w:jc w:val="center"/>
        </w:trPr>
        <w:tc>
          <w:tcPr>
            <w:tcW w:w="51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3" w:type="dxa"/>
              <w:bottom w:w="0" w:type="dxa"/>
              <w:right w:w="53" w:type="dxa"/>
            </w:tcMar>
            <w:vAlign w:val="bottom"/>
          </w:tcPr>
          <w:p w14:paraId="71A0F5F9" w14:textId="77777777" w:rsidR="0006626A" w:rsidRDefault="000A256E">
            <w:pPr>
              <w:spacing w:before="55" w:after="30" w:line="274" w:lineRule="auto"/>
            </w:pPr>
            <w:r>
              <w:rPr>
                <w:b/>
                <w:color w:val="000000"/>
                <w:sz w:val="20"/>
              </w:rPr>
              <w:t>Cash and cash equivalents at the end of the period</w:t>
            </w: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7093676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477B2103" w14:textId="77777777" w:rsidR="0006626A" w:rsidRDefault="000A256E">
            <w:pPr>
              <w:tabs>
                <w:tab w:val="left" w:pos="522"/>
                <w:tab w:val="left" w:pos="1237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151,452</w:t>
            </w:r>
            <w:r>
              <w:rPr>
                <w:color w:val="000000"/>
                <w:sz w:val="20"/>
              </w:rPr>
              <w:tab/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AE4941" w14:textId="77777777" w:rsidR="0006626A" w:rsidRDefault="0006626A"/>
        </w:tc>
        <w:tc>
          <w:tcPr>
            <w:tcW w:w="1302" w:type="dxa"/>
            <w:tcBorders>
              <w:top w:val="single" w:sz="8" w:space="0" w:color="000000"/>
              <w:left w:val="nil"/>
              <w:bottom w:val="doub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" w:type="dxa"/>
            </w:tcMar>
            <w:vAlign w:val="bottom"/>
          </w:tcPr>
          <w:p w14:paraId="0E3D224D" w14:textId="77777777" w:rsidR="0006626A" w:rsidRDefault="000A256E">
            <w:pPr>
              <w:tabs>
                <w:tab w:val="left" w:pos="622"/>
                <w:tab w:val="left" w:pos="1237"/>
              </w:tabs>
              <w:spacing w:before="55" w:after="30" w:line="274" w:lineRule="auto"/>
              <w:jc w:val="right"/>
            </w:pPr>
            <w:r>
              <w:rPr>
                <w:color w:val="000000"/>
                <w:sz w:val="20"/>
              </w:rPr>
              <w:tab/>
              <w:t>10,944</w:t>
            </w:r>
            <w:r>
              <w:rPr>
                <w:color w:val="000000"/>
                <w:sz w:val="20"/>
              </w:rPr>
              <w:tab/>
            </w:r>
          </w:p>
        </w:tc>
      </w:tr>
    </w:tbl>
    <w:p w14:paraId="39D1CB6D" w14:textId="77777777" w:rsidR="0006626A" w:rsidRDefault="0006626A">
      <w:pPr>
        <w:keepNext/>
        <w:spacing w:before="240" w:line="276" w:lineRule="auto"/>
        <w:rPr>
          <w:sz w:val="20"/>
        </w:rPr>
      </w:pPr>
    </w:p>
    <w:sectPr w:rsidR="0006626A">
      <w:pgSz w:w="12240" w:h="15840"/>
      <w:pgMar w:top="900" w:right="1170" w:bottom="900" w:left="1170" w:header="0" w:footer="27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01023" w14:textId="77777777" w:rsidR="00837A66" w:rsidRDefault="00837A66">
      <w:r>
        <w:separator/>
      </w:r>
    </w:p>
  </w:endnote>
  <w:endnote w:type="continuationSeparator" w:id="0">
    <w:p w14:paraId="0DEB167D" w14:textId="77777777" w:rsidR="00837A66" w:rsidRDefault="00837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_New_Roman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1D32" w14:textId="77777777" w:rsidR="0006626A" w:rsidRDefault="000A256E">
    <w:pPr>
      <w:spacing w:line="276" w:lineRule="auto"/>
      <w:jc w:val="center"/>
      <w:outlineLvl w:val="0"/>
      <w:rPr>
        <w:sz w:val="18"/>
      </w:rPr>
    </w:pPr>
    <w:r>
      <w:rPr>
        <w:sz w:val="18"/>
      </w:rPr>
      <w:t>F-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>
      <w:rPr>
        <w:sz w:val="18"/>
      </w:rPr>
      <w:t>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A7356" w14:textId="77777777" w:rsidR="00837A66" w:rsidRDefault="00837A66">
      <w:r>
        <w:separator/>
      </w:r>
    </w:p>
  </w:footnote>
  <w:footnote w:type="continuationSeparator" w:id="0">
    <w:p w14:paraId="53924DE3" w14:textId="77777777" w:rsidR="00837A66" w:rsidRDefault="00837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B069" w14:textId="77777777" w:rsidR="0006626A" w:rsidRDefault="0006626A">
    <w:pPr>
      <w:spacing w:line="276" w:lineRule="auto"/>
      <w:rPr>
        <w:b/>
        <w:sz w:val="20"/>
      </w:rPr>
    </w:pPr>
  </w:p>
  <w:p w14:paraId="07139DE4" w14:textId="77777777" w:rsidR="0006626A" w:rsidRDefault="0006626A">
    <w:pPr>
      <w:spacing w:line="276" w:lineRule="auto"/>
      <w:rPr>
        <w:b/>
        <w:sz w:val="20"/>
      </w:rPr>
    </w:pPr>
  </w:p>
  <w:p w14:paraId="169CDD1E" w14:textId="77777777" w:rsidR="0006626A" w:rsidRDefault="0006626A">
    <w:pPr>
      <w:spacing w:line="276" w:lineRule="auto"/>
      <w:rPr>
        <w:b/>
        <w:sz w:val="20"/>
      </w:rPr>
    </w:pPr>
  </w:p>
  <w:p w14:paraId="1ADB7E99" w14:textId="77777777" w:rsidR="0006626A" w:rsidRDefault="0006626A">
    <w:pPr>
      <w:spacing w:line="276" w:lineRule="auto"/>
      <w:rPr>
        <w:b/>
        <w:sz w:val="20"/>
      </w:rPr>
    </w:pPr>
  </w:p>
  <w:p w14:paraId="71947DFC" w14:textId="77777777" w:rsidR="0006626A" w:rsidRDefault="0006626A">
    <w:pPr>
      <w:spacing w:line="276" w:lineRule="auto"/>
      <w:rPr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E9DB" w14:textId="77777777" w:rsidR="0006626A" w:rsidRDefault="0006626A">
    <w:pPr>
      <w:spacing w:line="276" w:lineRule="auto"/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bulletasterisk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styleLink w:val="bulletcircle"/>
    <w:lvl w:ilvl="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styleLink w:val="bulletdagger"/>
    <w:lvl w:ilvl="0">
      <w:start w:val="1"/>
      <w:numFmt w:val="bullet"/>
      <w:lvlText w:val="†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†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†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†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†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†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†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†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†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styleLink w:val="bulletdash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styleLink w:val="bulletlargebox"/>
    <w:lvl w:ilvl="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■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■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■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styleLink w:val="bulletround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styleLink w:val="bulletsquare"/>
    <w:lvl w:ilvl="0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◦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◦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◦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styleLink w:val="listarabi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styleLink w:val="listlatinlowercas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styleLink w:val="listlatinuppercas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styleLink w:val="listromanlowercase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styleLink w:val="listromanuppercas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styleLink w:val="outlinearabi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styleLink w:val="ul1"/>
    <w:lvl w:ilvl="0">
      <w:start w:val="1"/>
      <w:numFmt w:val="bullet"/>
      <w:lvlText w:val="+"/>
      <w:lvlJc w:val="left"/>
      <w:pPr>
        <w:tabs>
          <w:tab w:val="num" w:pos="720"/>
        </w:tabs>
        <w:ind w:left="720" w:hanging="360"/>
      </w:pPr>
      <w:rPr>
        <w:rFonts w:ascii="Times_New_Roman" w:eastAsia="Times_New_Roman" w:hAnsi="Times_New_Roman" w:cs="Times_New_Roman"/>
        <w:sz w:val="200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styleLink w:val="ul2"/>
    <w:lvl w:ilvl="0">
      <w:start w:val="1"/>
      <w:numFmt w:val="bullet"/>
      <w:lvlText w:val="†"/>
      <w:lvlJc w:val="left"/>
      <w:pPr>
        <w:tabs>
          <w:tab w:val="num" w:pos="720"/>
        </w:tabs>
        <w:ind w:left="720" w:hanging="360"/>
      </w:pPr>
      <w:rPr>
        <w:rFonts w:ascii="Wingdings" w:eastAsia="Wingdings" w:hAnsi="Wingdings" w:cs="Wingdings"/>
        <w:sz w:val="2000"/>
      </w:rPr>
    </w:lvl>
    <w:lvl w:ilvl="1">
      <w:start w:val="1"/>
      <w:numFmt w:val="bullet"/>
      <w:lvlText w:val="†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†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†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†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†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†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†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†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multilevel"/>
    <w:tmpl w:val="00000010"/>
    <w:styleLink w:val="ul3"/>
    <w:lvl w:ilvl="0">
      <w:start w:val="1"/>
      <w:numFmt w:val="bullet"/>
      <w:lvlText w:val="*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*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*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*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*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*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*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*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styleLink w:val="ul4"/>
    <w:lvl w:ilvl="0">
      <w:start w:val="1"/>
      <w:numFmt w:val="bullet"/>
      <w:lvlText w:val="#"/>
      <w:lvlJc w:val="left"/>
      <w:pPr>
        <w:tabs>
          <w:tab w:val="num" w:pos="720"/>
        </w:tabs>
        <w:ind w:left="720" w:hanging="360"/>
      </w:pPr>
      <w:rPr>
        <w:rFonts w:ascii="Times_New_Roman" w:eastAsia="Times_New_Roman" w:hAnsi="Times_New_Roman" w:cs="Times_New_Roman"/>
        <w:sz w:val="2000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180"/>
      </w:p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</w:lvl>
    <w:lvl w:ilvl="7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180"/>
      </w:pPr>
    </w:lvl>
  </w:abstractNum>
  <w:num w:numId="1" w16cid:durableId="1195925622">
    <w:abstractNumId w:val="0"/>
  </w:num>
  <w:num w:numId="2" w16cid:durableId="1880045110">
    <w:abstractNumId w:val="1"/>
  </w:num>
  <w:num w:numId="3" w16cid:durableId="166405485">
    <w:abstractNumId w:val="2"/>
  </w:num>
  <w:num w:numId="4" w16cid:durableId="1656298713">
    <w:abstractNumId w:val="3"/>
  </w:num>
  <w:num w:numId="5" w16cid:durableId="1607881263">
    <w:abstractNumId w:val="4"/>
  </w:num>
  <w:num w:numId="6" w16cid:durableId="1786923313">
    <w:abstractNumId w:val="5"/>
  </w:num>
  <w:num w:numId="7" w16cid:durableId="1330868018">
    <w:abstractNumId w:val="6"/>
  </w:num>
  <w:num w:numId="8" w16cid:durableId="898594747">
    <w:abstractNumId w:val="7"/>
  </w:num>
  <w:num w:numId="9" w16cid:durableId="1418286432">
    <w:abstractNumId w:val="8"/>
  </w:num>
  <w:num w:numId="10" w16cid:durableId="1896547487">
    <w:abstractNumId w:val="9"/>
  </w:num>
  <w:num w:numId="11" w16cid:durableId="1595244157">
    <w:abstractNumId w:val="10"/>
  </w:num>
  <w:num w:numId="12" w16cid:durableId="1252734564">
    <w:abstractNumId w:val="11"/>
  </w:num>
  <w:num w:numId="13" w16cid:durableId="1316179406">
    <w:abstractNumId w:val="12"/>
  </w:num>
  <w:num w:numId="14" w16cid:durableId="2090888055">
    <w:abstractNumId w:val="13"/>
  </w:num>
  <w:num w:numId="15" w16cid:durableId="1414163638">
    <w:abstractNumId w:val="14"/>
  </w:num>
  <w:num w:numId="16" w16cid:durableId="2077048626">
    <w:abstractNumId w:val="15"/>
  </w:num>
  <w:num w:numId="17" w16cid:durableId="679888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Leading/>
    <w:suppressTopSpacingW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6626A"/>
    <w:rsid w:val="000A256E"/>
    <w:rsid w:val="00260558"/>
    <w:rsid w:val="00837A66"/>
    <w:rsid w:val="008F1C3B"/>
    <w:rsid w:val="009A46DA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95EB24"/>
  <w15:docId w15:val="{55F48DAA-F497-427D-A52A-F273F8CE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16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ulletasterisk">
    <w:name w:val="bullet.asterisk"/>
    <w:pPr>
      <w:numPr>
        <w:numId w:val="1"/>
      </w:numPr>
    </w:pPr>
  </w:style>
  <w:style w:type="numbering" w:customStyle="1" w:styleId="bulletcircle">
    <w:name w:val="bullet.circle"/>
    <w:pPr>
      <w:numPr>
        <w:numId w:val="2"/>
      </w:numPr>
    </w:pPr>
  </w:style>
  <w:style w:type="numbering" w:customStyle="1" w:styleId="bulletdagger">
    <w:name w:val="bullet.dagger"/>
    <w:pPr>
      <w:numPr>
        <w:numId w:val="3"/>
      </w:numPr>
    </w:pPr>
  </w:style>
  <w:style w:type="numbering" w:customStyle="1" w:styleId="bulletdash">
    <w:name w:val="bullet.dash"/>
    <w:pPr>
      <w:numPr>
        <w:numId w:val="4"/>
      </w:numPr>
    </w:pPr>
  </w:style>
  <w:style w:type="numbering" w:customStyle="1" w:styleId="bulletlargebox">
    <w:name w:val="bullet.largebox"/>
    <w:pPr>
      <w:numPr>
        <w:numId w:val="5"/>
      </w:numPr>
    </w:pPr>
  </w:style>
  <w:style w:type="numbering" w:customStyle="1" w:styleId="bulletround">
    <w:name w:val="bullet.round"/>
    <w:pPr>
      <w:numPr>
        <w:numId w:val="6"/>
      </w:numPr>
    </w:pPr>
  </w:style>
  <w:style w:type="numbering" w:customStyle="1" w:styleId="bulletsquare">
    <w:name w:val="bullet.square"/>
    <w:pPr>
      <w:numPr>
        <w:numId w:val="7"/>
      </w:numPr>
    </w:pPr>
  </w:style>
  <w:style w:type="numbering" w:customStyle="1" w:styleId="listarabic">
    <w:name w:val="list.arabic"/>
    <w:pPr>
      <w:numPr>
        <w:numId w:val="8"/>
      </w:numPr>
    </w:pPr>
  </w:style>
  <w:style w:type="numbering" w:customStyle="1" w:styleId="listlatinlowercase">
    <w:name w:val="list.latin.lowercase"/>
    <w:pPr>
      <w:numPr>
        <w:numId w:val="9"/>
      </w:numPr>
    </w:pPr>
  </w:style>
  <w:style w:type="numbering" w:customStyle="1" w:styleId="listlatinuppercase">
    <w:name w:val="list.latin.uppercase"/>
    <w:pPr>
      <w:numPr>
        <w:numId w:val="10"/>
      </w:numPr>
    </w:pPr>
  </w:style>
  <w:style w:type="numbering" w:customStyle="1" w:styleId="listromanlowercase">
    <w:name w:val="list.roman.lowercase"/>
    <w:pPr>
      <w:numPr>
        <w:numId w:val="11"/>
      </w:numPr>
    </w:pPr>
  </w:style>
  <w:style w:type="numbering" w:customStyle="1" w:styleId="listromanuppercase">
    <w:name w:val="list.roman.uppercase"/>
    <w:pPr>
      <w:numPr>
        <w:numId w:val="12"/>
      </w:numPr>
    </w:pPr>
  </w:style>
  <w:style w:type="numbering" w:customStyle="1" w:styleId="outlinearabic">
    <w:name w:val="outline.arabic"/>
    <w:pPr>
      <w:numPr>
        <w:numId w:val="13"/>
      </w:numPr>
    </w:pPr>
  </w:style>
  <w:style w:type="numbering" w:customStyle="1" w:styleId="ul1">
    <w:name w:val="ul1"/>
    <w:pPr>
      <w:numPr>
        <w:numId w:val="14"/>
      </w:numPr>
    </w:pPr>
  </w:style>
  <w:style w:type="numbering" w:customStyle="1" w:styleId="ul2">
    <w:name w:val="ul2"/>
    <w:pPr>
      <w:numPr>
        <w:numId w:val="15"/>
      </w:numPr>
    </w:pPr>
  </w:style>
  <w:style w:type="numbering" w:customStyle="1" w:styleId="ul3">
    <w:name w:val="ul3"/>
    <w:pPr>
      <w:numPr>
        <w:numId w:val="16"/>
      </w:numPr>
    </w:pPr>
  </w:style>
  <w:style w:type="numbering" w:customStyle="1" w:styleId="ul4">
    <w:name w:val="ul4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960</Words>
  <Characters>5477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ALVO-Q2 2025 Package</dc:title>
  <cp:lastModifiedBy>Benedikt Stefansson</cp:lastModifiedBy>
  <cp:revision>2</cp:revision>
  <dcterms:created xsi:type="dcterms:W3CDTF">2025-08-13T19:33:00Z</dcterms:created>
  <dcterms:modified xsi:type="dcterms:W3CDTF">2025-08-13T19:33:00Z</dcterms:modified>
</cp:coreProperties>
</file>