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667C9" w14:textId="51030267" w:rsidR="00C03313" w:rsidRPr="004B4540" w:rsidRDefault="002F262A" w:rsidP="00FA13A7">
      <w:pPr>
        <w:pStyle w:val="FirstPagetitle10"/>
        <w:rPr>
          <w:lang w:val="en-GB"/>
        </w:rPr>
      </w:pPr>
      <w:r w:rsidRPr="004B4540">
        <w:rPr>
          <w:lang w:val="en-GB"/>
        </w:rPr>
        <w:t xml:space="preserve"> </w:t>
      </w:r>
      <w:r w:rsidR="00931A0C" w:rsidRPr="004B4540">
        <w:rPr>
          <w:lang w:val="en-GB"/>
        </w:rPr>
        <w:t>proceeds sharing</w:t>
      </w:r>
      <w:r w:rsidR="00FA13A7" w:rsidRPr="004B4540">
        <w:rPr>
          <w:lang w:val="en-GB"/>
        </w:rPr>
        <w:t xml:space="preserve"> agreement</w:t>
      </w:r>
    </w:p>
    <w:p w14:paraId="219FF85A" w14:textId="3E60B2E9" w:rsidR="00FA13A7" w:rsidRPr="004B4540" w:rsidRDefault="00FA13A7" w:rsidP="00FA13A7">
      <w:pPr>
        <w:pStyle w:val="Normaltextafter12"/>
        <w:rPr>
          <w:lang w:val="en-GB"/>
        </w:rPr>
      </w:pPr>
      <w:r w:rsidRPr="004B4540">
        <w:rPr>
          <w:b/>
          <w:bCs/>
          <w:lang w:val="en-GB"/>
        </w:rPr>
        <w:t>THIS AGREEMENT</w:t>
      </w:r>
      <w:r w:rsidRPr="004B4540">
        <w:rPr>
          <w:lang w:val="en-GB"/>
        </w:rPr>
        <w:t xml:space="preserve"> (the “</w:t>
      </w:r>
      <w:r w:rsidRPr="004B4540">
        <w:rPr>
          <w:b/>
          <w:bCs/>
          <w:lang w:val="en-GB"/>
        </w:rPr>
        <w:t>Agreement</w:t>
      </w:r>
      <w:r w:rsidRPr="004B4540">
        <w:rPr>
          <w:lang w:val="en-GB"/>
        </w:rPr>
        <w:t xml:space="preserve">”) is entered into on </w:t>
      </w:r>
      <w:r w:rsidRPr="004B4540">
        <w:rPr>
          <w:lang w:val="en-GB"/>
        </w:rPr>
        <w:fldChar w:fldCharType="begin">
          <w:ffData>
            <w:name w:val="Text1"/>
            <w:enabled/>
            <w:calcOnExit w:val="0"/>
            <w:textInput>
              <w:default w:val="[date]"/>
            </w:textInput>
          </w:ffData>
        </w:fldChar>
      </w:r>
      <w:bookmarkStart w:id="0" w:name="Text1"/>
      <w:r w:rsidRPr="004B4540">
        <w:rPr>
          <w:lang w:val="en-GB"/>
        </w:rPr>
        <w:instrText xml:space="preserve"> FORMTEXT </w:instrText>
      </w:r>
      <w:r w:rsidRPr="004B4540">
        <w:rPr>
          <w:lang w:val="en-GB"/>
        </w:rPr>
      </w:r>
      <w:r w:rsidRPr="004B4540">
        <w:rPr>
          <w:lang w:val="en-GB"/>
        </w:rPr>
        <w:fldChar w:fldCharType="separate"/>
      </w:r>
      <w:r w:rsidR="0031515E" w:rsidRPr="004B4540">
        <w:rPr>
          <w:noProof/>
          <w:lang w:val="en-GB"/>
        </w:rPr>
        <w:t>[date]</w:t>
      </w:r>
      <w:r w:rsidRPr="004B4540">
        <w:rPr>
          <w:lang w:val="en-GB"/>
        </w:rPr>
        <w:fldChar w:fldCharType="end"/>
      </w:r>
      <w:bookmarkEnd w:id="0"/>
      <w:r w:rsidRPr="004B4540">
        <w:rPr>
          <w:lang w:val="en-GB"/>
        </w:rPr>
        <w:t>:</w:t>
      </w:r>
    </w:p>
    <w:p w14:paraId="0E6D1588" w14:textId="3A012EFF" w:rsidR="00FA13A7" w:rsidRPr="004B4540" w:rsidRDefault="00FA13A7" w:rsidP="00FA13A7">
      <w:pPr>
        <w:pStyle w:val="Normaltextafter12"/>
        <w:rPr>
          <w:b/>
          <w:bCs/>
          <w:lang w:val="en-GB"/>
        </w:rPr>
      </w:pPr>
      <w:r w:rsidRPr="004B4540">
        <w:rPr>
          <w:b/>
          <w:bCs/>
          <w:lang w:val="en-GB"/>
        </w:rPr>
        <w:t>BETWEEN:</w:t>
      </w:r>
    </w:p>
    <w:p w14:paraId="12AAFEB6" w14:textId="691ED305" w:rsidR="008F11C0" w:rsidRPr="004B4540" w:rsidRDefault="008F11C0" w:rsidP="008F11C0">
      <w:pPr>
        <w:pStyle w:val="Normaltextafter12"/>
        <w:numPr>
          <w:ilvl w:val="0"/>
          <w:numId w:val="23"/>
        </w:numPr>
        <w:rPr>
          <w:lang w:val="en-GB"/>
        </w:rPr>
      </w:pPr>
      <w:bookmarkStart w:id="1" w:name="_Ref188443835"/>
      <w:r w:rsidRPr="004B4540">
        <w:rPr>
          <w:b/>
          <w:bCs/>
          <w:lang w:val="en-GB"/>
        </w:rPr>
        <w:t xml:space="preserve">AS </w:t>
      </w:r>
      <w:proofErr w:type="spellStart"/>
      <w:r w:rsidRPr="004B4540">
        <w:rPr>
          <w:b/>
          <w:bCs/>
          <w:lang w:val="en-GB"/>
        </w:rPr>
        <w:t>PRFoods</w:t>
      </w:r>
      <w:proofErr w:type="spellEnd"/>
      <w:r w:rsidRPr="004B4540">
        <w:rPr>
          <w:lang w:val="en-GB"/>
        </w:rPr>
        <w:t xml:space="preserve">, a company established and existing under the laws of Estonia, registration number 11560713, registered office at </w:t>
      </w:r>
      <w:proofErr w:type="spellStart"/>
      <w:r w:rsidRPr="004B4540">
        <w:rPr>
          <w:lang w:val="en-GB"/>
        </w:rPr>
        <w:t>Pärnu</w:t>
      </w:r>
      <w:proofErr w:type="spellEnd"/>
      <w:r w:rsidRPr="004B4540">
        <w:rPr>
          <w:lang w:val="en-GB"/>
        </w:rPr>
        <w:t xml:space="preserve"> </w:t>
      </w:r>
      <w:proofErr w:type="spellStart"/>
      <w:r w:rsidRPr="004B4540">
        <w:rPr>
          <w:lang w:val="en-GB"/>
        </w:rPr>
        <w:t>mnt</w:t>
      </w:r>
      <w:proofErr w:type="spellEnd"/>
      <w:r w:rsidRPr="004B4540">
        <w:rPr>
          <w:lang w:val="en-GB"/>
        </w:rPr>
        <w:t xml:space="preserve"> 141, Tallinn 11314, Estonia, e-mail address </w:t>
      </w:r>
      <w:r w:rsidR="00A524F0" w:rsidRPr="009506F5">
        <w:rPr>
          <w:rFonts w:cs="Arial"/>
          <w:shd w:val="clear" w:color="auto" w:fill="FFFFFF"/>
        </w:rPr>
        <w:t>investor@prfoods.ee</w:t>
      </w:r>
      <w:r w:rsidRPr="004B4540">
        <w:rPr>
          <w:lang w:val="en-GB"/>
        </w:rPr>
        <w:t xml:space="preserve"> (the “</w:t>
      </w:r>
      <w:r w:rsidRPr="004B4540">
        <w:rPr>
          <w:b/>
          <w:bCs/>
          <w:lang w:val="en-GB"/>
        </w:rPr>
        <w:t>Company</w:t>
      </w:r>
      <w:r w:rsidRPr="004B4540">
        <w:rPr>
          <w:lang w:val="en-GB"/>
        </w:rPr>
        <w:t>”)</w:t>
      </w:r>
      <w:bookmarkEnd w:id="1"/>
      <w:r w:rsidRPr="004B4540">
        <w:rPr>
          <w:lang w:val="en-GB"/>
        </w:rPr>
        <w:t xml:space="preserve">, in its capacity as the </w:t>
      </w:r>
      <w:r w:rsidR="00A55F30">
        <w:rPr>
          <w:lang w:val="en-GB"/>
        </w:rPr>
        <w:t>issuer</w:t>
      </w:r>
      <w:r w:rsidR="00A55F30" w:rsidRPr="004B4540">
        <w:rPr>
          <w:lang w:val="en-GB"/>
        </w:rPr>
        <w:t xml:space="preserve"> </w:t>
      </w:r>
      <w:r w:rsidRPr="004B4540">
        <w:rPr>
          <w:lang w:val="en-GB"/>
        </w:rPr>
        <w:t>of the Secured Notes and Convertible Notes and the borrower of the Unsecured Loan and Se</w:t>
      </w:r>
      <w:r w:rsidR="00117B3F" w:rsidRPr="004B4540">
        <w:rPr>
          <w:lang w:val="en-GB"/>
        </w:rPr>
        <w:t>cured</w:t>
      </w:r>
      <w:r w:rsidRPr="004B4540">
        <w:rPr>
          <w:lang w:val="en-GB"/>
        </w:rPr>
        <w:t xml:space="preserve"> Loan (all as defined below</w:t>
      </w:r>
      <w:proofErr w:type="gramStart"/>
      <w:r w:rsidRPr="004B4540">
        <w:rPr>
          <w:lang w:val="en-GB"/>
        </w:rPr>
        <w:t>);</w:t>
      </w:r>
      <w:proofErr w:type="gramEnd"/>
    </w:p>
    <w:p w14:paraId="62D5B830" w14:textId="7C45A766" w:rsidR="008C3A69" w:rsidRPr="004B4540" w:rsidRDefault="008C3A69" w:rsidP="008C3A69">
      <w:pPr>
        <w:pStyle w:val="Normaltextafter12"/>
        <w:numPr>
          <w:ilvl w:val="0"/>
          <w:numId w:val="23"/>
        </w:numPr>
        <w:rPr>
          <w:lang w:val="en-GB"/>
        </w:rPr>
      </w:pPr>
      <w:r w:rsidRPr="004B4540">
        <w:rPr>
          <w:b/>
          <w:bCs/>
          <w:lang w:val="en-GB"/>
        </w:rPr>
        <w:t>PRF Collateral Agent OÜ</w:t>
      </w:r>
      <w:r w:rsidRPr="004B4540">
        <w:rPr>
          <w:lang w:val="en-GB"/>
        </w:rPr>
        <w:t xml:space="preserve">, a company established and existing under the laws of Estonia, registration number 14880068, registered office at F. R. </w:t>
      </w:r>
      <w:proofErr w:type="spellStart"/>
      <w:r w:rsidRPr="004B4540">
        <w:rPr>
          <w:lang w:val="en-GB"/>
        </w:rPr>
        <w:t>Faehlmanni</w:t>
      </w:r>
      <w:proofErr w:type="spellEnd"/>
      <w:r w:rsidRPr="004B4540">
        <w:rPr>
          <w:lang w:val="en-GB"/>
        </w:rPr>
        <w:t xml:space="preserve"> </w:t>
      </w:r>
      <w:proofErr w:type="spellStart"/>
      <w:r w:rsidRPr="004B4540">
        <w:rPr>
          <w:lang w:val="en-GB"/>
        </w:rPr>
        <w:t>tn</w:t>
      </w:r>
      <w:proofErr w:type="spellEnd"/>
      <w:r w:rsidRPr="004B4540">
        <w:rPr>
          <w:lang w:val="en-GB"/>
        </w:rPr>
        <w:t xml:space="preserve"> 5, Tallinn 10125, Estonia, e-mail address cas@tgsbaltic.com (the “</w:t>
      </w:r>
      <w:r w:rsidRPr="004B4540">
        <w:rPr>
          <w:b/>
          <w:bCs/>
          <w:lang w:val="en-GB"/>
        </w:rPr>
        <w:t>Collateral Agent</w:t>
      </w:r>
      <w:r w:rsidRPr="004B4540">
        <w:rPr>
          <w:lang w:val="en-GB"/>
        </w:rPr>
        <w:t xml:space="preserve">”) </w:t>
      </w:r>
      <w:r w:rsidR="00EA71D7">
        <w:rPr>
          <w:lang w:val="en-GB"/>
        </w:rPr>
        <w:t xml:space="preserve">acting </w:t>
      </w:r>
      <w:r w:rsidR="004922BB">
        <w:rPr>
          <w:lang w:val="en-GB"/>
        </w:rPr>
        <w:t>in accordance with</w:t>
      </w:r>
      <w:r w:rsidR="00EA71D7">
        <w:rPr>
          <w:lang w:val="en-GB"/>
        </w:rPr>
        <w:t xml:space="preserve"> </w:t>
      </w:r>
      <w:r w:rsidR="0087392D">
        <w:rPr>
          <w:lang w:val="en-GB"/>
        </w:rPr>
        <w:t>decision and instructions</w:t>
      </w:r>
      <w:r w:rsidR="00EA71D7">
        <w:rPr>
          <w:lang w:val="en-GB"/>
        </w:rPr>
        <w:t xml:space="preserve"> of the holders of the Secured Notes (as defined below</w:t>
      </w:r>
      <w:proofErr w:type="gramStart"/>
      <w:r w:rsidR="00EA71D7">
        <w:rPr>
          <w:lang w:val="en-GB"/>
        </w:rPr>
        <w:t>)</w:t>
      </w:r>
      <w:r w:rsidR="004922BB">
        <w:rPr>
          <w:lang w:val="en-GB"/>
        </w:rPr>
        <w:t>;</w:t>
      </w:r>
      <w:proofErr w:type="gramEnd"/>
    </w:p>
    <w:p w14:paraId="7B740D9B" w14:textId="00CFECE3" w:rsidR="00FD461E" w:rsidRPr="00A524F0" w:rsidRDefault="000F1ED7" w:rsidP="008C3A69">
      <w:pPr>
        <w:pStyle w:val="Normaltextafter12"/>
        <w:numPr>
          <w:ilvl w:val="0"/>
          <w:numId w:val="23"/>
        </w:numPr>
        <w:rPr>
          <w:lang w:val="en-GB"/>
        </w:rPr>
      </w:pPr>
      <w:r>
        <w:rPr>
          <w:b/>
          <w:bCs/>
          <w:lang w:val="en-GB"/>
        </w:rPr>
        <w:t>Amber Trust II S.C.A., SICAR (in liquidation)</w:t>
      </w:r>
      <w:r w:rsidR="00770736" w:rsidRPr="004B4540">
        <w:rPr>
          <w:lang w:val="en-GB"/>
        </w:rPr>
        <w:t xml:space="preserve">, a company established and existing under the laws of </w:t>
      </w:r>
      <w:r>
        <w:rPr>
          <w:lang w:val="en-GB"/>
        </w:rPr>
        <w:t>Luxembourg</w:t>
      </w:r>
      <w:r w:rsidR="00770736" w:rsidRPr="004B4540">
        <w:rPr>
          <w:lang w:val="en-GB"/>
        </w:rPr>
        <w:t xml:space="preserve">, registration number </w:t>
      </w:r>
      <w:r w:rsidRPr="00BC0A72">
        <w:rPr>
          <w:lang w:val="en-US"/>
        </w:rPr>
        <w:t>B103888</w:t>
      </w:r>
      <w:r w:rsidR="00770736" w:rsidRPr="00BC0A72">
        <w:rPr>
          <w:lang w:val="en-US"/>
        </w:rPr>
        <w:t xml:space="preserve">, registered office at </w:t>
      </w:r>
      <w:r w:rsidRPr="00BC0A72">
        <w:rPr>
          <w:lang w:val="en-US"/>
        </w:rPr>
        <w:t xml:space="preserve">9, rue de </w:t>
      </w:r>
      <w:proofErr w:type="spellStart"/>
      <w:r w:rsidRPr="00BC0A72">
        <w:rPr>
          <w:lang w:val="en-US"/>
        </w:rPr>
        <w:t>Bitbourg</w:t>
      </w:r>
      <w:proofErr w:type="spellEnd"/>
      <w:r w:rsidRPr="00BC0A72">
        <w:rPr>
          <w:lang w:val="en-US"/>
        </w:rPr>
        <w:t>, Luxembourg, L-1273, LU</w:t>
      </w:r>
      <w:r w:rsidR="00770736" w:rsidRPr="00BC0A72">
        <w:rPr>
          <w:lang w:val="en-US"/>
        </w:rPr>
        <w:t xml:space="preserve">, e-mail </w:t>
      </w:r>
      <w:r w:rsidR="00A524F0" w:rsidRPr="00BC0A72">
        <w:rPr>
          <w:lang w:val="en-US"/>
        </w:rPr>
        <w:t>addresses</w:t>
      </w:r>
      <w:r w:rsidR="00870047">
        <w:rPr>
          <w:lang w:val="en-US"/>
        </w:rPr>
        <w:t xml:space="preserve"> </w:t>
      </w:r>
      <w:r w:rsidR="00A524F0" w:rsidRPr="00BC0A72">
        <w:rPr>
          <w:lang w:val="en-US"/>
        </w:rPr>
        <w:t>kustaa.aima@kjkcapital.com</w:t>
      </w:r>
      <w:r w:rsidR="00870047">
        <w:rPr>
          <w:lang w:val="en-US"/>
        </w:rPr>
        <w:t xml:space="preserve"> </w:t>
      </w:r>
      <w:r w:rsidR="00A524F0" w:rsidRPr="00BC0A72">
        <w:rPr>
          <w:lang w:val="en-US"/>
        </w:rPr>
        <w:t xml:space="preserve">and hsawikin@fbird.com </w:t>
      </w:r>
      <w:r w:rsidR="00770736" w:rsidRPr="00BC0A72">
        <w:rPr>
          <w:lang w:val="en-US"/>
        </w:rPr>
        <w:t>(the “</w:t>
      </w:r>
      <w:r w:rsidR="00770736" w:rsidRPr="00BC0A72">
        <w:rPr>
          <w:b/>
          <w:bCs/>
          <w:lang w:val="en-US"/>
        </w:rPr>
        <w:t>Representative</w:t>
      </w:r>
      <w:r w:rsidR="00F907C5" w:rsidRPr="00BC0A72">
        <w:rPr>
          <w:b/>
          <w:bCs/>
          <w:lang w:val="en-US"/>
        </w:rPr>
        <w:t xml:space="preserve"> of Convertible Bondholders</w:t>
      </w:r>
      <w:r w:rsidR="00770736" w:rsidRPr="00BC0A72">
        <w:rPr>
          <w:lang w:val="en-US"/>
        </w:rPr>
        <w:t xml:space="preserve">”) [in its capacity as the </w:t>
      </w:r>
      <w:proofErr w:type="spellStart"/>
      <w:r w:rsidR="00770736" w:rsidRPr="00BC0A72">
        <w:rPr>
          <w:lang w:val="en-US"/>
        </w:rPr>
        <w:t>authorised</w:t>
      </w:r>
      <w:proofErr w:type="spellEnd"/>
      <w:r w:rsidR="00770736" w:rsidRPr="00BC0A72">
        <w:rPr>
          <w:lang w:val="en-US"/>
        </w:rPr>
        <w:t xml:space="preserve"> representative of the hold</w:t>
      </w:r>
      <w:proofErr w:type="spellStart"/>
      <w:r w:rsidR="00770736" w:rsidRPr="004B4540">
        <w:rPr>
          <w:lang w:val="en-GB"/>
        </w:rPr>
        <w:t>ers</w:t>
      </w:r>
      <w:proofErr w:type="spellEnd"/>
      <w:r w:rsidR="00770736" w:rsidRPr="004B4540">
        <w:rPr>
          <w:lang w:val="en-GB"/>
        </w:rPr>
        <w:t xml:space="preserve"> of the Convertible Notes (all as defined below)]</w:t>
      </w:r>
      <w:r>
        <w:rPr>
          <w:lang w:val="en-GB"/>
        </w:rPr>
        <w:t>, represented by Amber Trust II Management S.A., in its capacity as liquidator</w:t>
      </w:r>
      <w:r w:rsidR="00770736" w:rsidRPr="004B4540">
        <w:rPr>
          <w:lang w:val="en-GB"/>
        </w:rPr>
        <w:t>;</w:t>
      </w:r>
    </w:p>
    <w:p w14:paraId="7278EFB7" w14:textId="41BE9DB8" w:rsidR="008F11C0" w:rsidRPr="004B4540" w:rsidRDefault="008F11C0" w:rsidP="008F11C0">
      <w:pPr>
        <w:pStyle w:val="Normaltextafter12"/>
        <w:numPr>
          <w:ilvl w:val="0"/>
          <w:numId w:val="23"/>
        </w:numPr>
        <w:rPr>
          <w:lang w:val="en-GB"/>
        </w:rPr>
      </w:pPr>
      <w:bookmarkStart w:id="2" w:name="_Ref189573194"/>
      <w:r w:rsidRPr="00A524F0">
        <w:rPr>
          <w:b/>
          <w:bCs/>
          <w:lang w:val="en-GB"/>
        </w:rPr>
        <w:t>Amber Trust II S.C.A., SICAR (in liquidation)</w:t>
      </w:r>
      <w:r w:rsidRPr="00A524F0">
        <w:rPr>
          <w:lang w:val="en-GB"/>
        </w:rPr>
        <w:t xml:space="preserve">, a company established and existing under the laws of Luxembourg, registration number B103888, registered office at 9, rue de </w:t>
      </w:r>
      <w:proofErr w:type="spellStart"/>
      <w:r w:rsidRPr="00A524F0">
        <w:rPr>
          <w:lang w:val="en-GB"/>
        </w:rPr>
        <w:t>Bitbourg</w:t>
      </w:r>
      <w:proofErr w:type="spellEnd"/>
      <w:r w:rsidRPr="00A524F0">
        <w:rPr>
          <w:lang w:val="en-GB"/>
        </w:rPr>
        <w:t xml:space="preserve">, Luxembourg, L-1273, LU, e-mail </w:t>
      </w:r>
      <w:r w:rsidR="00A524F0" w:rsidRPr="00BC0A72">
        <w:rPr>
          <w:lang w:val="en-GB"/>
        </w:rPr>
        <w:t xml:space="preserve">addresses kustaa.aima@kjkcapital.com and hsawikin@fbird.com </w:t>
      </w:r>
      <w:r w:rsidRPr="00A524F0">
        <w:rPr>
          <w:lang w:val="en-GB"/>
        </w:rPr>
        <w:t>(</w:t>
      </w:r>
      <w:r w:rsidR="00A27490" w:rsidRPr="00A524F0">
        <w:rPr>
          <w:lang w:val="en-GB"/>
        </w:rPr>
        <w:t xml:space="preserve">the </w:t>
      </w:r>
      <w:r w:rsidRPr="00A524F0">
        <w:rPr>
          <w:lang w:val="en-GB"/>
        </w:rPr>
        <w:t>“</w:t>
      </w:r>
      <w:r w:rsidR="00A27490" w:rsidRPr="00A524F0">
        <w:rPr>
          <w:b/>
          <w:bCs/>
          <w:lang w:val="en-GB"/>
        </w:rPr>
        <w:t>Sponsor</w:t>
      </w:r>
      <w:r w:rsidRPr="00A524F0">
        <w:rPr>
          <w:lang w:val="en-GB"/>
        </w:rPr>
        <w:t>”), in its capacity as the Unsecured Lender and the Se</w:t>
      </w:r>
      <w:r w:rsidR="00117B3F" w:rsidRPr="00A524F0">
        <w:rPr>
          <w:lang w:val="en-GB"/>
        </w:rPr>
        <w:t>cured</w:t>
      </w:r>
      <w:r w:rsidRPr="00A524F0">
        <w:rPr>
          <w:lang w:val="en-GB"/>
        </w:rPr>
        <w:t xml:space="preserve"> Lender</w:t>
      </w:r>
      <w:r w:rsidR="0065187A" w:rsidRPr="00A524F0">
        <w:rPr>
          <w:lang w:val="en-GB"/>
        </w:rPr>
        <w:t xml:space="preserve"> (both as defined below)</w:t>
      </w:r>
      <w:r w:rsidR="000F1ED7" w:rsidRPr="00A524F0">
        <w:rPr>
          <w:lang w:val="en-GB"/>
        </w:rPr>
        <w:t>, represented b</w:t>
      </w:r>
      <w:r w:rsidR="000F1ED7">
        <w:rPr>
          <w:lang w:val="en-GB"/>
        </w:rPr>
        <w:t>y Amber Trust II Management S.A., in its capacity as liquidator</w:t>
      </w:r>
      <w:r w:rsidRPr="004B4540">
        <w:rPr>
          <w:lang w:val="en-GB"/>
        </w:rPr>
        <w:t>;</w:t>
      </w:r>
      <w:bookmarkEnd w:id="2"/>
    </w:p>
    <w:p w14:paraId="61AFA8A7" w14:textId="5C945CFD" w:rsidR="000417F5" w:rsidRDefault="000417F5" w:rsidP="000417F5">
      <w:pPr>
        <w:pStyle w:val="ListParagraph"/>
        <w:numPr>
          <w:ilvl w:val="0"/>
          <w:numId w:val="23"/>
        </w:numPr>
        <w:autoSpaceDE w:val="0"/>
        <w:autoSpaceDN w:val="0"/>
        <w:adjustRightInd w:val="0"/>
        <w:spacing w:before="120" w:after="240" w:line="264" w:lineRule="auto"/>
        <w:contextualSpacing/>
        <w:rPr>
          <w:rFonts w:cs="Arial"/>
          <w:lang w:val="en-US"/>
        </w:rPr>
      </w:pPr>
      <w:bookmarkStart w:id="3" w:name="_Ref192678849"/>
      <w:proofErr w:type="spellStart"/>
      <w:r w:rsidRPr="00AE3D2A">
        <w:rPr>
          <w:rFonts w:cs="Arial"/>
          <w:b/>
          <w:bCs/>
          <w:lang w:val="en-US"/>
        </w:rPr>
        <w:t>Saaremere</w:t>
      </w:r>
      <w:proofErr w:type="spellEnd"/>
      <w:r w:rsidRPr="00AE3D2A">
        <w:rPr>
          <w:rFonts w:cs="Arial"/>
          <w:b/>
          <w:bCs/>
          <w:lang w:val="en-US"/>
        </w:rPr>
        <w:t xml:space="preserve"> Kala AS</w:t>
      </w:r>
      <w:r w:rsidRPr="00AE3D2A">
        <w:rPr>
          <w:rFonts w:cs="Arial"/>
          <w:lang w:val="en-US"/>
        </w:rPr>
        <w:t xml:space="preserve">, a company </w:t>
      </w:r>
      <w:r w:rsidR="001E70A0">
        <w:rPr>
          <w:rFonts w:cs="Arial"/>
          <w:lang w:val="en-US"/>
        </w:rPr>
        <w:t>established</w:t>
      </w:r>
      <w:r w:rsidRPr="00AE3D2A">
        <w:rPr>
          <w:rFonts w:cs="Arial"/>
          <w:lang w:val="en-US"/>
        </w:rPr>
        <w:t xml:space="preserve"> and existing under the laws of Estonia, </w:t>
      </w:r>
      <w:r w:rsidR="001E70A0">
        <w:rPr>
          <w:rFonts w:cs="Arial"/>
          <w:lang w:val="en-US"/>
        </w:rPr>
        <w:t xml:space="preserve">registration number </w:t>
      </w:r>
      <w:r w:rsidR="001E70A0" w:rsidRPr="00F013D1">
        <w:rPr>
          <w:rFonts w:cs="Arial"/>
          <w:lang w:val="en-US"/>
        </w:rPr>
        <w:t>11310040</w:t>
      </w:r>
      <w:r w:rsidR="001E70A0">
        <w:rPr>
          <w:rFonts w:cs="Arial"/>
          <w:lang w:val="en-US"/>
        </w:rPr>
        <w:t>, registered office</w:t>
      </w:r>
      <w:r w:rsidRPr="00AE3D2A">
        <w:rPr>
          <w:rFonts w:cs="Arial"/>
          <w:lang w:val="en-US"/>
        </w:rPr>
        <w:t xml:space="preserve"> at Saare </w:t>
      </w:r>
      <w:proofErr w:type="spellStart"/>
      <w:r w:rsidRPr="00AE3D2A">
        <w:rPr>
          <w:rFonts w:cs="Arial"/>
          <w:lang w:val="en-US"/>
        </w:rPr>
        <w:t>maakond</w:t>
      </w:r>
      <w:proofErr w:type="spellEnd"/>
      <w:r w:rsidRPr="00AE3D2A">
        <w:rPr>
          <w:rFonts w:cs="Arial"/>
          <w:lang w:val="en-US"/>
        </w:rPr>
        <w:t xml:space="preserve">, Saaremaa </w:t>
      </w:r>
      <w:proofErr w:type="spellStart"/>
      <w:r w:rsidRPr="00AE3D2A">
        <w:rPr>
          <w:rFonts w:cs="Arial"/>
          <w:lang w:val="en-US"/>
        </w:rPr>
        <w:t>vald</w:t>
      </w:r>
      <w:proofErr w:type="spellEnd"/>
      <w:r w:rsidRPr="00AE3D2A">
        <w:rPr>
          <w:rFonts w:cs="Arial"/>
          <w:lang w:val="en-US"/>
        </w:rPr>
        <w:t xml:space="preserve">, </w:t>
      </w:r>
      <w:proofErr w:type="spellStart"/>
      <w:r w:rsidRPr="00AE3D2A">
        <w:rPr>
          <w:rFonts w:cs="Arial"/>
          <w:lang w:val="en-US"/>
        </w:rPr>
        <w:t>Suure-Rootsi</w:t>
      </w:r>
      <w:proofErr w:type="spellEnd"/>
      <w:r w:rsidRPr="00AE3D2A">
        <w:rPr>
          <w:rFonts w:cs="Arial"/>
          <w:lang w:val="en-US"/>
        </w:rPr>
        <w:t xml:space="preserve"> </w:t>
      </w:r>
      <w:proofErr w:type="spellStart"/>
      <w:r w:rsidRPr="00AE3D2A">
        <w:rPr>
          <w:rFonts w:cs="Arial"/>
          <w:lang w:val="en-US"/>
        </w:rPr>
        <w:t>küla</w:t>
      </w:r>
      <w:proofErr w:type="spellEnd"/>
      <w:r w:rsidRPr="00AE3D2A">
        <w:rPr>
          <w:rFonts w:cs="Arial"/>
          <w:lang w:val="en-US"/>
        </w:rPr>
        <w:t xml:space="preserve">, </w:t>
      </w:r>
      <w:proofErr w:type="spellStart"/>
      <w:r w:rsidRPr="00AE3D2A">
        <w:rPr>
          <w:rFonts w:cs="Arial"/>
          <w:lang w:val="en-US"/>
        </w:rPr>
        <w:t>Kärsa</w:t>
      </w:r>
      <w:proofErr w:type="spellEnd"/>
      <w:r w:rsidRPr="00AE3D2A">
        <w:rPr>
          <w:rFonts w:cs="Arial"/>
          <w:lang w:val="en-US"/>
        </w:rPr>
        <w:t>/1, 94129</w:t>
      </w:r>
      <w:r w:rsidR="001E70A0">
        <w:rPr>
          <w:rFonts w:cs="Arial"/>
          <w:lang w:val="en-US"/>
        </w:rPr>
        <w:t>, Estonia</w:t>
      </w:r>
      <w:r w:rsidR="004D123C">
        <w:rPr>
          <w:rFonts w:cs="Arial"/>
          <w:lang w:val="en-US"/>
        </w:rPr>
        <w:t xml:space="preserve"> (“</w:t>
      </w:r>
      <w:proofErr w:type="spellStart"/>
      <w:r w:rsidR="004D123C">
        <w:rPr>
          <w:rFonts w:cs="Arial"/>
          <w:b/>
          <w:bCs/>
          <w:lang w:val="en-US"/>
        </w:rPr>
        <w:t>Saaremere</w:t>
      </w:r>
      <w:proofErr w:type="spellEnd"/>
      <w:r w:rsidR="004D123C">
        <w:rPr>
          <w:rFonts w:cs="Arial"/>
          <w:b/>
          <w:bCs/>
          <w:lang w:val="en-US"/>
        </w:rPr>
        <w:t xml:space="preserve"> Kala</w:t>
      </w:r>
      <w:r w:rsidR="004D123C">
        <w:rPr>
          <w:rFonts w:cs="Arial"/>
          <w:lang w:val="en-US"/>
        </w:rPr>
        <w:t>”)</w:t>
      </w:r>
      <w:r w:rsidRPr="00AE3D2A">
        <w:rPr>
          <w:rFonts w:cs="Arial"/>
          <w:lang w:val="en-US"/>
        </w:rPr>
        <w:t xml:space="preserve">, in </w:t>
      </w:r>
      <w:r w:rsidRPr="00AE3D2A">
        <w:rPr>
          <w:lang w:val="en-US"/>
        </w:rPr>
        <w:t xml:space="preserve">its capacity as the borrower under the Senior Financing </w:t>
      </w:r>
      <w:r w:rsidR="003F17BF" w:rsidRPr="00AE3D2A">
        <w:rPr>
          <w:lang w:val="en-US"/>
        </w:rPr>
        <w:t xml:space="preserve">and Unsecured </w:t>
      </w:r>
      <w:r w:rsidR="00073B22">
        <w:rPr>
          <w:lang w:val="en-US"/>
        </w:rPr>
        <w:t>Loan</w:t>
      </w:r>
      <w:r w:rsidR="0065187A">
        <w:rPr>
          <w:lang w:val="en-US"/>
        </w:rPr>
        <w:t xml:space="preserve"> (both as defined below</w:t>
      </w:r>
      <w:proofErr w:type="gramStart"/>
      <w:r w:rsidR="0065187A">
        <w:rPr>
          <w:lang w:val="en-US"/>
        </w:rPr>
        <w:t>)</w:t>
      </w:r>
      <w:r w:rsidRPr="00AE3D2A">
        <w:rPr>
          <w:rFonts w:cs="Arial"/>
          <w:lang w:val="en-US"/>
        </w:rPr>
        <w:t>;</w:t>
      </w:r>
      <w:bookmarkEnd w:id="3"/>
      <w:proofErr w:type="gramEnd"/>
      <w:r w:rsidRPr="00AE3D2A">
        <w:rPr>
          <w:rFonts w:cs="Arial"/>
          <w:lang w:val="en-US"/>
        </w:rPr>
        <w:t xml:space="preserve"> </w:t>
      </w:r>
    </w:p>
    <w:p w14:paraId="06E901AB" w14:textId="77777777" w:rsidR="004F2701" w:rsidRDefault="004F2701" w:rsidP="00275A1C">
      <w:pPr>
        <w:pStyle w:val="ListParagraph"/>
        <w:numPr>
          <w:ilvl w:val="0"/>
          <w:numId w:val="0"/>
        </w:numPr>
        <w:autoSpaceDE w:val="0"/>
        <w:autoSpaceDN w:val="0"/>
        <w:adjustRightInd w:val="0"/>
        <w:spacing w:before="120" w:after="240" w:line="264" w:lineRule="auto"/>
        <w:ind w:left="720"/>
        <w:contextualSpacing/>
        <w:rPr>
          <w:rFonts w:cs="Arial"/>
          <w:lang w:val="en-US"/>
        </w:rPr>
      </w:pPr>
    </w:p>
    <w:p w14:paraId="2B2BB884" w14:textId="0166AE56" w:rsidR="004F2701" w:rsidRDefault="004F2701" w:rsidP="004F2701">
      <w:pPr>
        <w:pStyle w:val="ListParagraph"/>
        <w:numPr>
          <w:ilvl w:val="0"/>
          <w:numId w:val="23"/>
        </w:numPr>
        <w:rPr>
          <w:rFonts w:cs="Arial"/>
          <w:lang w:val="en-US"/>
        </w:rPr>
      </w:pPr>
      <w:bookmarkStart w:id="4" w:name="_Ref194321907"/>
      <w:r w:rsidRPr="00275A1C">
        <w:rPr>
          <w:rFonts w:cs="Arial"/>
          <w:b/>
          <w:bCs/>
          <w:lang w:val="en-US"/>
        </w:rPr>
        <w:t xml:space="preserve">Saare Kala </w:t>
      </w:r>
      <w:proofErr w:type="spellStart"/>
      <w:r w:rsidRPr="00275A1C">
        <w:rPr>
          <w:rFonts w:cs="Arial"/>
          <w:b/>
          <w:bCs/>
          <w:lang w:val="en-US"/>
        </w:rPr>
        <w:t>Tootmine</w:t>
      </w:r>
      <w:proofErr w:type="spellEnd"/>
      <w:r w:rsidRPr="00275A1C">
        <w:rPr>
          <w:rFonts w:cs="Arial"/>
          <w:b/>
          <w:bCs/>
          <w:lang w:val="en-US"/>
        </w:rPr>
        <w:t xml:space="preserve"> OÜ</w:t>
      </w:r>
      <w:r w:rsidRPr="004F2701">
        <w:rPr>
          <w:rFonts w:cs="Arial"/>
          <w:lang w:val="en-US"/>
        </w:rPr>
        <w:t xml:space="preserve">, a company incorporated and existing under the laws of Estonia, having its registered address at Saare </w:t>
      </w:r>
      <w:proofErr w:type="spellStart"/>
      <w:r w:rsidRPr="004F2701">
        <w:rPr>
          <w:rFonts w:cs="Arial"/>
          <w:lang w:val="en-US"/>
        </w:rPr>
        <w:t>maakond</w:t>
      </w:r>
      <w:proofErr w:type="spellEnd"/>
      <w:r w:rsidRPr="004F2701">
        <w:rPr>
          <w:rFonts w:cs="Arial"/>
          <w:lang w:val="en-US"/>
        </w:rPr>
        <w:t xml:space="preserve">, Saaremaa </w:t>
      </w:r>
      <w:proofErr w:type="spellStart"/>
      <w:r w:rsidRPr="004F2701">
        <w:rPr>
          <w:rFonts w:cs="Arial"/>
          <w:lang w:val="en-US"/>
        </w:rPr>
        <w:t>vald</w:t>
      </w:r>
      <w:proofErr w:type="spellEnd"/>
      <w:r w:rsidRPr="004F2701">
        <w:rPr>
          <w:rFonts w:cs="Arial"/>
          <w:lang w:val="en-US"/>
        </w:rPr>
        <w:t xml:space="preserve">, </w:t>
      </w:r>
      <w:proofErr w:type="spellStart"/>
      <w:r w:rsidRPr="004F2701">
        <w:rPr>
          <w:rFonts w:cs="Arial"/>
          <w:lang w:val="en-US"/>
        </w:rPr>
        <w:t>Suure-Rootsi</w:t>
      </w:r>
      <w:proofErr w:type="spellEnd"/>
      <w:r w:rsidRPr="004F2701">
        <w:rPr>
          <w:rFonts w:cs="Arial"/>
          <w:lang w:val="en-US"/>
        </w:rPr>
        <w:t xml:space="preserve"> </w:t>
      </w:r>
      <w:proofErr w:type="spellStart"/>
      <w:r w:rsidRPr="004F2701">
        <w:rPr>
          <w:rFonts w:cs="Arial"/>
          <w:lang w:val="en-US"/>
        </w:rPr>
        <w:t>küla</w:t>
      </w:r>
      <w:proofErr w:type="spellEnd"/>
      <w:r w:rsidRPr="004F2701">
        <w:rPr>
          <w:rFonts w:cs="Arial"/>
          <w:lang w:val="en-US"/>
        </w:rPr>
        <w:t xml:space="preserve">, </w:t>
      </w:r>
      <w:proofErr w:type="spellStart"/>
      <w:r w:rsidRPr="004F2701">
        <w:rPr>
          <w:rFonts w:cs="Arial"/>
          <w:lang w:val="en-US"/>
        </w:rPr>
        <w:t>Kärsa</w:t>
      </w:r>
      <w:proofErr w:type="spellEnd"/>
      <w:r w:rsidRPr="004F2701">
        <w:rPr>
          <w:rFonts w:cs="Arial"/>
          <w:lang w:val="en-US"/>
        </w:rPr>
        <w:t>, 94129 with commercial register code 10377013 (hereinafter referred to as “</w:t>
      </w:r>
      <w:r w:rsidRPr="00275A1C">
        <w:rPr>
          <w:rFonts w:cs="Arial"/>
          <w:b/>
          <w:bCs/>
          <w:lang w:val="en-US"/>
        </w:rPr>
        <w:t>SKT</w:t>
      </w:r>
      <w:r w:rsidRPr="004F2701">
        <w:rPr>
          <w:rFonts w:cs="Arial"/>
          <w:lang w:val="en-US"/>
        </w:rPr>
        <w:t>”),</w:t>
      </w:r>
      <w:bookmarkEnd w:id="4"/>
    </w:p>
    <w:p w14:paraId="50A86195" w14:textId="77777777" w:rsidR="004F2701" w:rsidRPr="004F2701" w:rsidRDefault="004F2701" w:rsidP="00275A1C">
      <w:pPr>
        <w:pStyle w:val="ListParagraph"/>
        <w:numPr>
          <w:ilvl w:val="0"/>
          <w:numId w:val="0"/>
        </w:numPr>
        <w:ind w:left="794"/>
        <w:rPr>
          <w:rFonts w:cs="Arial"/>
          <w:lang w:val="en-US"/>
        </w:rPr>
      </w:pPr>
    </w:p>
    <w:p w14:paraId="2491400F" w14:textId="6C681612" w:rsidR="008F11C0" w:rsidRPr="004B4540" w:rsidRDefault="008F11C0" w:rsidP="008F11C0">
      <w:pPr>
        <w:pStyle w:val="Normaltextafter12"/>
        <w:rPr>
          <w:lang w:val="en-GB"/>
        </w:rPr>
      </w:pPr>
      <w:r w:rsidRPr="004B4540">
        <w:rPr>
          <w:lang w:val="en-GB"/>
        </w:rPr>
        <w:t xml:space="preserve">hereinafter the parties listed in </w:t>
      </w:r>
      <w:r w:rsidRPr="004B4540">
        <w:rPr>
          <w:lang w:val="en-GB"/>
        </w:rPr>
        <w:fldChar w:fldCharType="begin"/>
      </w:r>
      <w:r w:rsidRPr="004B4540">
        <w:rPr>
          <w:lang w:val="en-GB"/>
        </w:rPr>
        <w:instrText xml:space="preserve"> REF _Ref188443835 \r \h  \* MERGEFORMAT </w:instrText>
      </w:r>
      <w:r w:rsidRPr="004B4540">
        <w:rPr>
          <w:lang w:val="en-GB"/>
        </w:rPr>
      </w:r>
      <w:r w:rsidRPr="004B4540">
        <w:rPr>
          <w:lang w:val="en-GB"/>
        </w:rPr>
        <w:fldChar w:fldCharType="separate"/>
      </w:r>
      <w:r w:rsidR="00073B22">
        <w:rPr>
          <w:lang w:val="en-GB"/>
        </w:rPr>
        <w:t>(1)</w:t>
      </w:r>
      <w:r w:rsidRPr="004B4540">
        <w:rPr>
          <w:lang w:val="en-GB"/>
        </w:rPr>
        <w:fldChar w:fldCharType="end"/>
      </w:r>
      <w:r w:rsidRPr="004B4540">
        <w:rPr>
          <w:lang w:val="en-GB"/>
        </w:rPr>
        <w:t>-</w:t>
      </w:r>
      <w:r w:rsidR="0065187A">
        <w:rPr>
          <w:lang w:val="en-GB"/>
        </w:rPr>
        <w:fldChar w:fldCharType="begin"/>
      </w:r>
      <w:r w:rsidR="0065187A">
        <w:rPr>
          <w:lang w:val="en-GB"/>
        </w:rPr>
        <w:instrText xml:space="preserve"> REF _Ref194321907 \r \h </w:instrText>
      </w:r>
      <w:r w:rsidR="0065187A">
        <w:rPr>
          <w:lang w:val="en-GB"/>
        </w:rPr>
      </w:r>
      <w:r w:rsidR="0065187A">
        <w:rPr>
          <w:lang w:val="en-GB"/>
        </w:rPr>
        <w:fldChar w:fldCharType="separate"/>
      </w:r>
      <w:r w:rsidR="00073B22">
        <w:rPr>
          <w:lang w:val="en-GB"/>
        </w:rPr>
        <w:t>(6)</w:t>
      </w:r>
      <w:r w:rsidR="0065187A">
        <w:rPr>
          <w:lang w:val="en-GB"/>
        </w:rPr>
        <w:fldChar w:fldCharType="end"/>
      </w:r>
      <w:r w:rsidRPr="004B4540">
        <w:rPr>
          <w:lang w:val="en-GB"/>
        </w:rPr>
        <w:t xml:space="preserve"> are jointly referred to the “</w:t>
      </w:r>
      <w:r w:rsidRPr="004B4540">
        <w:rPr>
          <w:b/>
          <w:bCs/>
          <w:lang w:val="en-GB"/>
        </w:rPr>
        <w:t>Parties</w:t>
      </w:r>
      <w:r w:rsidRPr="004B4540">
        <w:rPr>
          <w:lang w:val="en-GB"/>
        </w:rPr>
        <w:t>” and each individually a “</w:t>
      </w:r>
      <w:r w:rsidRPr="004B4540">
        <w:rPr>
          <w:b/>
          <w:bCs/>
          <w:lang w:val="en-GB"/>
        </w:rPr>
        <w:t>Party</w:t>
      </w:r>
      <w:r w:rsidRPr="004B4540">
        <w:rPr>
          <w:lang w:val="en-GB"/>
        </w:rPr>
        <w:t>”.</w:t>
      </w:r>
    </w:p>
    <w:p w14:paraId="0C405A0C" w14:textId="36015F00" w:rsidR="00A642F7" w:rsidRPr="004B4540" w:rsidRDefault="00A642F7" w:rsidP="00A642F7">
      <w:pPr>
        <w:pStyle w:val="Normaltextafter12"/>
        <w:rPr>
          <w:b/>
          <w:bCs/>
          <w:lang w:val="en-GB"/>
        </w:rPr>
      </w:pPr>
      <w:r w:rsidRPr="004B4540">
        <w:rPr>
          <w:b/>
          <w:bCs/>
          <w:lang w:val="en-GB"/>
        </w:rPr>
        <w:t>THE PARTIES AGREE AS FOLLOWS:</w:t>
      </w:r>
    </w:p>
    <w:p w14:paraId="3D9229C3" w14:textId="346C3448" w:rsidR="00C6440A" w:rsidRPr="004B4540" w:rsidRDefault="00C6440A" w:rsidP="003E043A">
      <w:pPr>
        <w:pStyle w:val="Heading1"/>
        <w:rPr>
          <w:lang w:val="en-GB"/>
        </w:rPr>
      </w:pPr>
      <w:r w:rsidRPr="004B4540">
        <w:rPr>
          <w:lang w:val="en-GB"/>
        </w:rPr>
        <w:t>definitions</w:t>
      </w:r>
    </w:p>
    <w:p w14:paraId="4CCB158E" w14:textId="7AE164E6" w:rsidR="00C6440A" w:rsidRPr="004B4540" w:rsidRDefault="00117B3F" w:rsidP="00C6440A">
      <w:pPr>
        <w:pStyle w:val="Heading2"/>
        <w:rPr>
          <w:lang w:val="en-GB"/>
        </w:rPr>
      </w:pPr>
      <w:r w:rsidRPr="004B4540">
        <w:rPr>
          <w:lang w:val="en-GB"/>
        </w:rPr>
        <w:t xml:space="preserve">For the purposes of this Agreement, </w:t>
      </w:r>
      <w:r w:rsidR="00C6440A" w:rsidRPr="004B4540">
        <w:rPr>
          <w:lang w:val="en-GB"/>
        </w:rPr>
        <w:t xml:space="preserve">the following </w:t>
      </w:r>
      <w:r w:rsidRPr="004B4540">
        <w:rPr>
          <w:lang w:val="en-GB"/>
        </w:rPr>
        <w:t xml:space="preserve">definitions have the following </w:t>
      </w:r>
      <w:r w:rsidR="00C6440A" w:rsidRPr="004B4540">
        <w:rPr>
          <w:lang w:val="en-GB"/>
        </w:rPr>
        <w:t>meaning</w:t>
      </w:r>
      <w:r w:rsidRPr="004B4540">
        <w:rPr>
          <w:lang w:val="en-GB"/>
        </w:rPr>
        <w:t>s, if explicitly not set out otherwise in this Agreement</w:t>
      </w:r>
      <w:r w:rsidR="00C6440A" w:rsidRPr="004B4540">
        <w:rPr>
          <w:lang w:val="en-GB"/>
        </w:rPr>
        <w:t>:</w:t>
      </w:r>
    </w:p>
    <w:p w14:paraId="306CB33D" w14:textId="32ADD0DE" w:rsidR="00117B3F" w:rsidRPr="004B4540" w:rsidRDefault="00117B3F" w:rsidP="00117B3F">
      <w:pPr>
        <w:pStyle w:val="Heading3"/>
        <w:rPr>
          <w:lang w:val="en-GB"/>
        </w:rPr>
      </w:pPr>
      <w:r w:rsidRPr="0002453F">
        <w:rPr>
          <w:b/>
          <w:bCs/>
          <w:lang w:val="en-GB"/>
        </w:rPr>
        <w:t>Convertible Notes</w:t>
      </w:r>
      <w:r w:rsidRPr="004B4540">
        <w:rPr>
          <w:lang w:val="en-GB"/>
        </w:rPr>
        <w:t xml:space="preserve"> shall mean convertible notes with ISIN code EE3400000065 issued by the Company pursuant to the Convertible Note Terms and held by the Convertible Noteholders.</w:t>
      </w:r>
    </w:p>
    <w:p w14:paraId="12DC2D7B" w14:textId="1FE2A285" w:rsidR="00117B3F" w:rsidRPr="004B4540" w:rsidRDefault="00117B3F" w:rsidP="00117B3F">
      <w:pPr>
        <w:pStyle w:val="Heading3"/>
        <w:rPr>
          <w:lang w:val="en-GB"/>
        </w:rPr>
      </w:pPr>
      <w:r w:rsidRPr="0002453F">
        <w:rPr>
          <w:b/>
          <w:bCs/>
          <w:lang w:val="en-GB"/>
        </w:rPr>
        <w:t>Convertible Noteholders</w:t>
      </w:r>
      <w:r w:rsidRPr="004B4540">
        <w:rPr>
          <w:lang w:val="en-GB"/>
        </w:rPr>
        <w:t xml:space="preserve"> shall mean institutional investors holding the Convertible </w:t>
      </w:r>
      <w:r w:rsidRPr="004B4540">
        <w:rPr>
          <w:lang w:val="en-GB"/>
        </w:rPr>
        <w:lastRenderedPageBreak/>
        <w:t>Notes</w:t>
      </w:r>
      <w:r w:rsidR="007C3CEB" w:rsidRPr="007C3CEB">
        <w:rPr>
          <w:lang w:val="en-GB"/>
        </w:rPr>
        <w:t xml:space="preserve"> </w:t>
      </w:r>
      <w:r w:rsidR="007C3CEB">
        <w:rPr>
          <w:lang w:val="en-GB"/>
        </w:rPr>
        <w:t>who are defined as “Noteholders” in the Convertible Note Terms</w:t>
      </w:r>
      <w:r w:rsidRPr="004B4540">
        <w:rPr>
          <w:lang w:val="en-GB"/>
        </w:rPr>
        <w:t>.</w:t>
      </w:r>
    </w:p>
    <w:p w14:paraId="4964C66B" w14:textId="5C201048" w:rsidR="00117B3F" w:rsidRPr="0002453F" w:rsidRDefault="00117B3F" w:rsidP="00117B3F">
      <w:pPr>
        <w:pStyle w:val="Heading3"/>
        <w:rPr>
          <w:lang w:val="en-GB"/>
        </w:rPr>
      </w:pPr>
      <w:r w:rsidRPr="0002453F">
        <w:rPr>
          <w:b/>
          <w:bCs/>
          <w:lang w:val="en-GB"/>
        </w:rPr>
        <w:t>Convertible Note Terms</w:t>
      </w:r>
      <w:r w:rsidRPr="004B4540">
        <w:rPr>
          <w:lang w:val="en-GB"/>
        </w:rPr>
        <w:t xml:space="preserve"> shall mean </w:t>
      </w:r>
      <w:r w:rsidR="00E11CE6" w:rsidRPr="004B4540">
        <w:rPr>
          <w:lang w:val="en-GB"/>
        </w:rPr>
        <w:t xml:space="preserve">the terms and conditions of the Convertible Notes dated 24 May 2021 (as amended). </w:t>
      </w:r>
    </w:p>
    <w:p w14:paraId="46B25141" w14:textId="3F7ED61A" w:rsidR="00211D82" w:rsidRPr="00E4577D" w:rsidRDefault="00566F21" w:rsidP="00117B3F">
      <w:pPr>
        <w:pStyle w:val="Heading3"/>
        <w:rPr>
          <w:lang w:val="en-GB"/>
        </w:rPr>
      </w:pPr>
      <w:r>
        <w:rPr>
          <w:b/>
          <w:bCs/>
          <w:lang w:val="en-GB"/>
        </w:rPr>
        <w:t>Core</w:t>
      </w:r>
      <w:r w:rsidRPr="0002453F">
        <w:rPr>
          <w:b/>
          <w:bCs/>
          <w:lang w:val="en-GB"/>
        </w:rPr>
        <w:t xml:space="preserve"> </w:t>
      </w:r>
      <w:r w:rsidR="00211D82" w:rsidRPr="0002453F">
        <w:rPr>
          <w:b/>
          <w:bCs/>
          <w:lang w:val="en-GB"/>
        </w:rPr>
        <w:t>Assets</w:t>
      </w:r>
      <w:r w:rsidR="00211D82" w:rsidRPr="004B4540">
        <w:rPr>
          <w:lang w:val="en-GB"/>
        </w:rPr>
        <w:t xml:space="preserve"> shall mean the following material assets of the Company: (</w:t>
      </w:r>
      <w:proofErr w:type="spellStart"/>
      <w:r w:rsidR="00211D82" w:rsidRPr="004B4540">
        <w:rPr>
          <w:lang w:val="en-GB"/>
        </w:rPr>
        <w:t>i</w:t>
      </w:r>
      <w:proofErr w:type="spellEnd"/>
      <w:r w:rsidR="00211D82" w:rsidRPr="004B4540">
        <w:rPr>
          <w:lang w:val="en-GB"/>
        </w:rPr>
        <w:t xml:space="preserve">) shares and/or assets of its Estonian operating subsidiary Saare Kala </w:t>
      </w:r>
      <w:proofErr w:type="spellStart"/>
      <w:r w:rsidR="00211D82" w:rsidRPr="004B4540">
        <w:rPr>
          <w:lang w:val="en-GB"/>
        </w:rPr>
        <w:t>Tootmine</w:t>
      </w:r>
      <w:proofErr w:type="spellEnd"/>
      <w:r w:rsidR="00211D82" w:rsidRPr="004B4540">
        <w:rPr>
          <w:lang w:val="en-GB"/>
        </w:rPr>
        <w:t xml:space="preserve"> OÜ; (ii) shares and/or assets of its Scottish </w:t>
      </w:r>
      <w:r w:rsidR="00211D82" w:rsidRPr="00E4577D">
        <w:rPr>
          <w:lang w:val="en-GB"/>
        </w:rPr>
        <w:t>subsidiary JRJ &amp; PRF Limited</w:t>
      </w:r>
      <w:r w:rsidR="00F907C5" w:rsidRPr="00E4577D">
        <w:rPr>
          <w:lang w:val="en-GB"/>
        </w:rPr>
        <w:t xml:space="preserve"> and/or the shares and assets of operating subsidiaries of JRJ &amp; PRF Limited</w:t>
      </w:r>
      <w:r w:rsidR="00211D82" w:rsidRPr="00E4577D">
        <w:rPr>
          <w:lang w:val="en-GB"/>
        </w:rPr>
        <w:t>; and (iii) PV4 fish farming licence (currently in development)</w:t>
      </w:r>
      <w:r w:rsidR="00923906">
        <w:rPr>
          <w:lang w:val="en-GB"/>
        </w:rPr>
        <w:t xml:space="preserve">, however, such licence being part of the </w:t>
      </w:r>
      <w:r>
        <w:rPr>
          <w:lang w:val="en-GB"/>
        </w:rPr>
        <w:t xml:space="preserve">Core </w:t>
      </w:r>
      <w:r w:rsidR="00923906">
        <w:rPr>
          <w:lang w:val="en-GB"/>
        </w:rPr>
        <w:t>Assets only if it is obtained</w:t>
      </w:r>
      <w:r w:rsidR="00211D82" w:rsidRPr="00E4577D">
        <w:rPr>
          <w:lang w:val="en-GB"/>
        </w:rPr>
        <w:t xml:space="preserve">. </w:t>
      </w:r>
    </w:p>
    <w:p w14:paraId="4DCC7D10" w14:textId="41B116BE" w:rsidR="00B35CF5" w:rsidRPr="0002453F" w:rsidRDefault="00B35CF5" w:rsidP="00B35CF5">
      <w:pPr>
        <w:pStyle w:val="Heading3"/>
        <w:rPr>
          <w:lang w:val="en-GB"/>
        </w:rPr>
      </w:pPr>
      <w:r>
        <w:rPr>
          <w:b/>
          <w:bCs/>
          <w:lang w:val="en-GB"/>
        </w:rPr>
        <w:t>Gradual Structured Sale</w:t>
      </w:r>
      <w:r w:rsidRPr="004B4540">
        <w:rPr>
          <w:lang w:val="en-GB"/>
        </w:rPr>
        <w:t xml:space="preserve"> shall mean </w:t>
      </w:r>
      <w:r>
        <w:rPr>
          <w:lang w:val="en-GB"/>
        </w:rPr>
        <w:t>preparing and conducting</w:t>
      </w:r>
      <w:r w:rsidRPr="004B4540">
        <w:rPr>
          <w:lang w:val="en-GB"/>
        </w:rPr>
        <w:t xml:space="preserve"> </w:t>
      </w:r>
      <w:r>
        <w:rPr>
          <w:lang w:val="en-GB"/>
        </w:rPr>
        <w:t xml:space="preserve">of </w:t>
      </w:r>
      <w:r w:rsidRPr="004B4540">
        <w:rPr>
          <w:lang w:val="en-GB"/>
        </w:rPr>
        <w:t xml:space="preserve">the </w:t>
      </w:r>
      <w:r>
        <w:rPr>
          <w:lang w:val="en-GB"/>
        </w:rPr>
        <w:t xml:space="preserve">gradual structured </w:t>
      </w:r>
      <w:r w:rsidRPr="004B4540">
        <w:rPr>
          <w:lang w:val="en-GB"/>
        </w:rPr>
        <w:t xml:space="preserve">sale of the </w:t>
      </w:r>
      <w:r>
        <w:rPr>
          <w:lang w:val="en-GB"/>
        </w:rPr>
        <w:t>Core</w:t>
      </w:r>
      <w:r w:rsidRPr="004B4540">
        <w:rPr>
          <w:lang w:val="en-GB"/>
        </w:rPr>
        <w:t xml:space="preserve"> Assets in connection with the Restructuring</w:t>
      </w:r>
      <w:r>
        <w:rPr>
          <w:lang w:val="en-GB"/>
        </w:rPr>
        <w:t xml:space="preserve"> while</w:t>
      </w:r>
      <w:r w:rsidR="001D0525">
        <w:rPr>
          <w:lang w:val="en-GB"/>
        </w:rPr>
        <w:t xml:space="preserve"> continuing</w:t>
      </w:r>
      <w:r>
        <w:rPr>
          <w:lang w:val="en-GB"/>
        </w:rPr>
        <w:t xml:space="preserve"> carrying out</w:t>
      </w:r>
      <w:r w:rsidRPr="004B4540">
        <w:rPr>
          <w:lang w:val="en-GB"/>
        </w:rPr>
        <w:t xml:space="preserve"> the</w:t>
      </w:r>
      <w:r>
        <w:rPr>
          <w:lang w:val="en-GB"/>
        </w:rPr>
        <w:t xml:space="preserve"> orderly</w:t>
      </w:r>
      <w:r w:rsidRPr="004B4540">
        <w:rPr>
          <w:lang w:val="en-GB"/>
        </w:rPr>
        <w:t xml:space="preserve"> business of the </w:t>
      </w:r>
      <w:r>
        <w:rPr>
          <w:lang w:val="en-GB"/>
        </w:rPr>
        <w:t>Group</w:t>
      </w:r>
      <w:r w:rsidR="00FA2592">
        <w:rPr>
          <w:lang w:val="en-GB"/>
        </w:rPr>
        <w:t>.</w:t>
      </w:r>
    </w:p>
    <w:p w14:paraId="721A2849" w14:textId="25DBDCD3" w:rsidR="00B35CF5" w:rsidRPr="00FA2592" w:rsidRDefault="00B35CF5" w:rsidP="00117B3F">
      <w:pPr>
        <w:pStyle w:val="Heading3"/>
        <w:rPr>
          <w:lang w:val="en-GB"/>
        </w:rPr>
      </w:pPr>
      <w:r>
        <w:rPr>
          <w:b/>
          <w:bCs/>
          <w:lang w:val="en-GB"/>
        </w:rPr>
        <w:t>Group</w:t>
      </w:r>
      <w:r>
        <w:rPr>
          <w:lang w:val="en-GB"/>
        </w:rPr>
        <w:t xml:space="preserve"> shall mean the Company and its subsidiaries</w:t>
      </w:r>
      <w:r w:rsidR="00FA2592">
        <w:rPr>
          <w:lang w:val="en-GB"/>
        </w:rPr>
        <w:t>.</w:t>
      </w:r>
    </w:p>
    <w:p w14:paraId="7C5B2B56" w14:textId="262EF282" w:rsidR="00211D82" w:rsidRPr="0002453F" w:rsidRDefault="00211D82" w:rsidP="00117B3F">
      <w:pPr>
        <w:pStyle w:val="Heading3"/>
        <w:rPr>
          <w:lang w:val="en-GB"/>
        </w:rPr>
      </w:pPr>
      <w:r w:rsidRPr="0002453F">
        <w:rPr>
          <w:b/>
          <w:bCs/>
          <w:lang w:val="en-GB"/>
        </w:rPr>
        <w:t>Noteholders</w:t>
      </w:r>
      <w:r w:rsidRPr="004B4540">
        <w:rPr>
          <w:lang w:val="en-GB"/>
        </w:rPr>
        <w:t xml:space="preserve"> shall mean the Secured Noteholders and the Convertible Noteholders.</w:t>
      </w:r>
    </w:p>
    <w:p w14:paraId="11916BD4" w14:textId="254FAAE0" w:rsidR="00E11CE6" w:rsidRPr="0002453F" w:rsidRDefault="00E11CE6" w:rsidP="00117B3F">
      <w:pPr>
        <w:pStyle w:val="Heading3"/>
        <w:rPr>
          <w:lang w:val="en-GB"/>
        </w:rPr>
      </w:pPr>
      <w:r w:rsidRPr="0002453F">
        <w:rPr>
          <w:b/>
          <w:bCs/>
          <w:lang w:val="en-GB"/>
        </w:rPr>
        <w:t>Notes</w:t>
      </w:r>
      <w:r w:rsidRPr="004B4540">
        <w:rPr>
          <w:lang w:val="en-GB"/>
        </w:rPr>
        <w:t xml:space="preserve"> shall mean Secured Notes and Convertible Notes.</w:t>
      </w:r>
    </w:p>
    <w:p w14:paraId="06E93E30" w14:textId="6350D0EE" w:rsidR="00E11CE6" w:rsidRDefault="00E11CE6" w:rsidP="00117B3F">
      <w:pPr>
        <w:pStyle w:val="Heading3"/>
        <w:rPr>
          <w:lang w:val="en-GB"/>
        </w:rPr>
      </w:pPr>
      <w:r w:rsidRPr="0002453F">
        <w:rPr>
          <w:b/>
          <w:bCs/>
          <w:lang w:val="en-GB"/>
        </w:rPr>
        <w:t>Restructuring</w:t>
      </w:r>
      <w:r w:rsidRPr="004B4540">
        <w:rPr>
          <w:lang w:val="en-GB"/>
        </w:rPr>
        <w:t xml:space="preserve"> shall mean a voluntary out-of-court restructuring of the Restructured Financial Obligations. </w:t>
      </w:r>
    </w:p>
    <w:p w14:paraId="1B57196C" w14:textId="091921F5" w:rsidR="00CF785E" w:rsidRDefault="00CF785E" w:rsidP="00CF785E">
      <w:pPr>
        <w:pStyle w:val="Heading3"/>
        <w:rPr>
          <w:lang w:val="en-GB"/>
        </w:rPr>
      </w:pPr>
      <w:r w:rsidRPr="0002453F">
        <w:rPr>
          <w:b/>
          <w:bCs/>
          <w:lang w:val="en-GB"/>
        </w:rPr>
        <w:t>Restructuring</w:t>
      </w:r>
      <w:r w:rsidRPr="004B4540">
        <w:rPr>
          <w:lang w:val="en-GB"/>
        </w:rPr>
        <w:t xml:space="preserve"> </w:t>
      </w:r>
      <w:r w:rsidRPr="00CF785E">
        <w:rPr>
          <w:b/>
          <w:bCs/>
          <w:lang w:val="en-GB"/>
        </w:rPr>
        <w:t>Period</w:t>
      </w:r>
      <w:r>
        <w:rPr>
          <w:lang w:val="en-GB"/>
        </w:rPr>
        <w:t xml:space="preserve"> </w:t>
      </w:r>
      <w:r w:rsidRPr="004B4540">
        <w:rPr>
          <w:lang w:val="en-GB"/>
        </w:rPr>
        <w:t xml:space="preserve">shall </w:t>
      </w:r>
      <w:r>
        <w:rPr>
          <w:lang w:val="en-GB"/>
        </w:rPr>
        <w:t xml:space="preserve">mean the period from the date of this Agreement until </w:t>
      </w:r>
      <w:r w:rsidR="00741090">
        <w:t>31.03.2028</w:t>
      </w:r>
      <w:r w:rsidRPr="004B4540">
        <w:rPr>
          <w:lang w:val="en-GB"/>
        </w:rPr>
        <w:t xml:space="preserve">. </w:t>
      </w:r>
    </w:p>
    <w:p w14:paraId="7BFC18AB" w14:textId="36FB569D" w:rsidR="00E11CE6" w:rsidRPr="0002453F" w:rsidRDefault="00E11CE6" w:rsidP="00117B3F">
      <w:pPr>
        <w:pStyle w:val="Heading3"/>
        <w:rPr>
          <w:lang w:val="en-GB"/>
        </w:rPr>
      </w:pPr>
      <w:r w:rsidRPr="0002453F">
        <w:rPr>
          <w:b/>
          <w:bCs/>
          <w:lang w:val="en-GB"/>
        </w:rPr>
        <w:t>Restructured Financial Obligations</w:t>
      </w:r>
      <w:r w:rsidRPr="004B4540">
        <w:rPr>
          <w:lang w:val="en-GB"/>
        </w:rPr>
        <w:t xml:space="preserve"> shall mean </w:t>
      </w:r>
      <w:r w:rsidR="00E4577D">
        <w:rPr>
          <w:lang w:val="en-GB"/>
        </w:rPr>
        <w:t xml:space="preserve">the financial obligations of the Company and its subsidiary </w:t>
      </w:r>
      <w:proofErr w:type="spellStart"/>
      <w:r w:rsidR="00E4577D">
        <w:rPr>
          <w:lang w:val="en-GB"/>
        </w:rPr>
        <w:t>Saaremere</w:t>
      </w:r>
      <w:proofErr w:type="spellEnd"/>
      <w:r w:rsidR="00E4577D">
        <w:rPr>
          <w:lang w:val="en-GB"/>
        </w:rPr>
        <w:t xml:space="preserve"> Kala AS arising from </w:t>
      </w:r>
      <w:r w:rsidRPr="004B4540">
        <w:rPr>
          <w:lang w:val="en-GB"/>
        </w:rPr>
        <w:t xml:space="preserve">the Notes, the Unsecured Loan and the Secured Loan. </w:t>
      </w:r>
    </w:p>
    <w:p w14:paraId="260F2A34" w14:textId="5132B23C" w:rsidR="00117B3F" w:rsidRPr="004B4540" w:rsidRDefault="00117B3F" w:rsidP="00117B3F">
      <w:pPr>
        <w:pStyle w:val="Heading3"/>
        <w:rPr>
          <w:lang w:val="en-GB"/>
        </w:rPr>
      </w:pPr>
      <w:r w:rsidRPr="0002453F">
        <w:rPr>
          <w:b/>
          <w:bCs/>
          <w:lang w:val="en-GB"/>
        </w:rPr>
        <w:t>Secured Notes</w:t>
      </w:r>
      <w:r w:rsidRPr="004B4540">
        <w:rPr>
          <w:lang w:val="en-GB"/>
        </w:rPr>
        <w:t xml:space="preserve"> shall mean secured notes with ISIN code EE3300001577 issued by the Company pursuant to the Secured Note Terms and held by the Secured Noteholders.</w:t>
      </w:r>
    </w:p>
    <w:p w14:paraId="122AAD80" w14:textId="4AD34EBC" w:rsidR="00E11CE6" w:rsidRPr="0002453F" w:rsidRDefault="00E11CE6" w:rsidP="00E11CE6">
      <w:pPr>
        <w:pStyle w:val="Heading3"/>
        <w:rPr>
          <w:lang w:val="en-GB"/>
        </w:rPr>
      </w:pPr>
      <w:r w:rsidRPr="0002453F">
        <w:rPr>
          <w:b/>
          <w:bCs/>
          <w:lang w:val="en-GB"/>
        </w:rPr>
        <w:t>Secured Noteholders</w:t>
      </w:r>
      <w:r w:rsidRPr="004B4540">
        <w:rPr>
          <w:lang w:val="en-GB"/>
        </w:rPr>
        <w:t xml:space="preserve"> shall mean institutional and retail investors holding the Secured Notes</w:t>
      </w:r>
      <w:r w:rsidR="007C3CEB">
        <w:rPr>
          <w:lang w:val="en-GB"/>
        </w:rPr>
        <w:t xml:space="preserve"> who are defined as “Noteholders” in the Secured Note Terms</w:t>
      </w:r>
      <w:r w:rsidRPr="004B4540">
        <w:rPr>
          <w:lang w:val="en-GB"/>
        </w:rPr>
        <w:t>.</w:t>
      </w:r>
    </w:p>
    <w:p w14:paraId="5C549E44" w14:textId="4D0ED629" w:rsidR="00E11CE6" w:rsidRPr="0002453F" w:rsidRDefault="00E11CE6" w:rsidP="00117B3F">
      <w:pPr>
        <w:pStyle w:val="Heading3"/>
        <w:rPr>
          <w:lang w:val="en-GB"/>
        </w:rPr>
      </w:pPr>
      <w:r w:rsidRPr="0002453F">
        <w:rPr>
          <w:b/>
          <w:bCs/>
          <w:lang w:val="en-GB"/>
        </w:rPr>
        <w:t>Secured Note Terms</w:t>
      </w:r>
      <w:r w:rsidRPr="004B4540">
        <w:rPr>
          <w:lang w:val="en-GB"/>
        </w:rPr>
        <w:t xml:space="preserve"> shall mean the terms and conditions of the Secured Notes dated 14 January 2020 (as amended).</w:t>
      </w:r>
    </w:p>
    <w:p w14:paraId="147C9765" w14:textId="78949CE4" w:rsidR="00117B3F" w:rsidRPr="004B4540" w:rsidRDefault="00117B3F" w:rsidP="00117B3F">
      <w:pPr>
        <w:pStyle w:val="Heading3"/>
        <w:rPr>
          <w:lang w:val="en-GB"/>
        </w:rPr>
      </w:pPr>
      <w:r w:rsidRPr="0002453F">
        <w:rPr>
          <w:b/>
          <w:bCs/>
          <w:lang w:val="en-GB"/>
        </w:rPr>
        <w:t>Secured Loan</w:t>
      </w:r>
      <w:r w:rsidRPr="004B4540">
        <w:rPr>
          <w:lang w:val="en-GB"/>
        </w:rPr>
        <w:t xml:space="preserve"> shall mean a secured loan provided by </w:t>
      </w:r>
      <w:r w:rsidR="00CD667E">
        <w:rPr>
          <w:lang w:val="en-GB"/>
        </w:rPr>
        <w:t>the Sponsor</w:t>
      </w:r>
      <w:r w:rsidRPr="004B4540">
        <w:rPr>
          <w:lang w:val="en-GB"/>
        </w:rPr>
        <w:t xml:space="preserve"> (in this capacity the “</w:t>
      </w:r>
      <w:r w:rsidRPr="0002453F">
        <w:rPr>
          <w:b/>
          <w:bCs/>
          <w:lang w:val="en-GB"/>
        </w:rPr>
        <w:t>Secured Lender</w:t>
      </w:r>
      <w:r w:rsidRPr="004B4540">
        <w:rPr>
          <w:lang w:val="en-GB"/>
        </w:rPr>
        <w:t>”) under the loan agreement dated</w:t>
      </w:r>
      <w:r w:rsidR="00AE3D2A">
        <w:rPr>
          <w:lang w:val="en-GB"/>
        </w:rPr>
        <w:t xml:space="preserve"> 13</w:t>
      </w:r>
      <w:r w:rsidRPr="004B4540">
        <w:rPr>
          <w:lang w:val="en-GB"/>
        </w:rPr>
        <w:t xml:space="preserve">.11.2024 between </w:t>
      </w:r>
      <w:r w:rsidR="00CD667E">
        <w:rPr>
          <w:lang w:val="en-GB"/>
        </w:rPr>
        <w:t>the Sponsor</w:t>
      </w:r>
      <w:r w:rsidRPr="004B4540">
        <w:rPr>
          <w:lang w:val="en-GB"/>
        </w:rPr>
        <w:t xml:space="preserve">, </w:t>
      </w:r>
      <w:proofErr w:type="spellStart"/>
      <w:r w:rsidRPr="004B4540">
        <w:rPr>
          <w:lang w:val="en-GB"/>
        </w:rPr>
        <w:t>Saaremere</w:t>
      </w:r>
      <w:proofErr w:type="spellEnd"/>
      <w:r w:rsidRPr="004B4540">
        <w:rPr>
          <w:lang w:val="en-GB"/>
        </w:rPr>
        <w:t xml:space="preserve"> Kala OÜ and Saare Kala </w:t>
      </w:r>
      <w:proofErr w:type="spellStart"/>
      <w:r w:rsidRPr="004B4540">
        <w:rPr>
          <w:lang w:val="en-GB"/>
        </w:rPr>
        <w:t>Tootmine</w:t>
      </w:r>
      <w:proofErr w:type="spellEnd"/>
      <w:r w:rsidRPr="004B4540">
        <w:rPr>
          <w:lang w:val="en-GB"/>
        </w:rPr>
        <w:t xml:space="preserve"> OÜ.</w:t>
      </w:r>
    </w:p>
    <w:p w14:paraId="6CDC45F8" w14:textId="7C2E16FE" w:rsidR="00211D82" w:rsidRPr="00E4577D" w:rsidRDefault="00E45D1C" w:rsidP="00211D82">
      <w:pPr>
        <w:pStyle w:val="Heading3"/>
        <w:rPr>
          <w:lang w:val="en-GB"/>
        </w:rPr>
      </w:pPr>
      <w:r w:rsidRPr="004B4540">
        <w:rPr>
          <w:b/>
          <w:bCs/>
          <w:lang w:val="en-GB"/>
        </w:rPr>
        <w:t>Senior Financing</w:t>
      </w:r>
      <w:r w:rsidRPr="004B4540">
        <w:rPr>
          <w:lang w:val="en-GB"/>
        </w:rPr>
        <w:t xml:space="preserve"> shall mean </w:t>
      </w:r>
      <w:r w:rsidR="00D10E64">
        <w:rPr>
          <w:lang w:val="en-GB"/>
        </w:rPr>
        <w:t xml:space="preserve">a </w:t>
      </w:r>
      <w:r w:rsidR="00211D82" w:rsidRPr="004B4540">
        <w:rPr>
          <w:lang w:val="en-GB"/>
        </w:rPr>
        <w:t xml:space="preserve">working capital financing </w:t>
      </w:r>
      <w:r w:rsidR="00B7500B">
        <w:rPr>
          <w:lang w:val="en-GB"/>
        </w:rPr>
        <w:t xml:space="preserve">(including the financing </w:t>
      </w:r>
      <w:r w:rsidR="005C3CF2">
        <w:rPr>
          <w:lang w:val="en-GB"/>
        </w:rPr>
        <w:t xml:space="preserve">already disbursed </w:t>
      </w:r>
      <w:r w:rsidR="00B7500B">
        <w:rPr>
          <w:lang w:val="en-GB"/>
        </w:rPr>
        <w:t xml:space="preserve">under the Secured Loan) </w:t>
      </w:r>
      <w:r w:rsidR="00211D82" w:rsidRPr="004B4540">
        <w:rPr>
          <w:lang w:val="en-GB"/>
        </w:rPr>
        <w:t xml:space="preserve">that </w:t>
      </w:r>
      <w:r w:rsidR="00AC63F1">
        <w:rPr>
          <w:lang w:val="en-GB"/>
        </w:rPr>
        <w:t xml:space="preserve">the </w:t>
      </w:r>
      <w:r w:rsidR="00AC63F1" w:rsidRPr="00AE3D2A">
        <w:rPr>
          <w:lang w:val="en-GB"/>
        </w:rPr>
        <w:t>Senior Lender</w:t>
      </w:r>
      <w:r w:rsidR="00AC63F1">
        <w:rPr>
          <w:lang w:val="en-GB"/>
        </w:rPr>
        <w:t xml:space="preserve"> </w:t>
      </w:r>
      <w:r w:rsidR="00211D82" w:rsidRPr="004B4540">
        <w:rPr>
          <w:lang w:val="en-GB"/>
        </w:rPr>
        <w:t>has,</w:t>
      </w:r>
      <w:r w:rsidR="004F2701">
        <w:rPr>
          <w:lang w:val="en-GB"/>
        </w:rPr>
        <w:t xml:space="preserve"> under the Secured Loan Agreement and thereafter under the Senior Financing Agreement entered into</w:t>
      </w:r>
      <w:r w:rsidR="00211D82" w:rsidRPr="004B4540">
        <w:rPr>
          <w:lang w:val="en-GB"/>
        </w:rPr>
        <w:t xml:space="preserve"> in connection with the Restructuring, agreed to provide </w:t>
      </w:r>
      <w:r w:rsidR="005231D6">
        <w:rPr>
          <w:lang w:val="en-GB"/>
        </w:rPr>
        <w:t xml:space="preserve">to the Company and its subsidiaries </w:t>
      </w:r>
      <w:r w:rsidR="00211D82" w:rsidRPr="004B4540">
        <w:rPr>
          <w:lang w:val="en-GB"/>
        </w:rPr>
        <w:t>in the form of revolving facilities</w:t>
      </w:r>
      <w:r w:rsidR="00AC140A">
        <w:rPr>
          <w:lang w:val="en-GB"/>
        </w:rPr>
        <w:t>,</w:t>
      </w:r>
      <w:r w:rsidR="00211D82" w:rsidRPr="004B4540">
        <w:rPr>
          <w:lang w:val="en-GB"/>
        </w:rPr>
        <w:t xml:space="preserve"> with the total outstanding amount of up to</w:t>
      </w:r>
      <w:r w:rsidR="00E4577D">
        <w:rPr>
          <w:lang w:val="en-GB"/>
        </w:rPr>
        <w:t xml:space="preserve"> EUR 1,000,000. </w:t>
      </w:r>
      <w:r w:rsidR="00611523" w:rsidRPr="00E4577D">
        <w:rPr>
          <w:lang w:val="en-GB"/>
        </w:rPr>
        <w:t xml:space="preserve">At the discretion of the Senior Lender, </w:t>
      </w:r>
      <w:r w:rsidR="00E4577D" w:rsidRPr="00E4577D">
        <w:rPr>
          <w:lang w:val="en-GB"/>
        </w:rPr>
        <w:t xml:space="preserve">the amount of the Senior Financing may be increased by up to EUR 500,000, if such additional financing is deemed beneficial by the Senior Lender and the Company to support the Restructuring. </w:t>
      </w:r>
      <w:proofErr w:type="gramStart"/>
      <w:r w:rsidR="00E4577D" w:rsidRPr="00E4577D">
        <w:rPr>
          <w:lang w:val="en-GB"/>
        </w:rPr>
        <w:t>As of the moment such</w:t>
      </w:r>
      <w:proofErr w:type="gramEnd"/>
      <w:r w:rsidR="00E4577D" w:rsidRPr="00E4577D">
        <w:rPr>
          <w:lang w:val="en-GB"/>
        </w:rPr>
        <w:t xml:space="preserve"> additional amount is provided to the Company, it shall automatically be considered part of the Senior Financing</w:t>
      </w:r>
      <w:r w:rsidR="00211D82" w:rsidRPr="00E4577D">
        <w:rPr>
          <w:lang w:val="en-GB"/>
        </w:rPr>
        <w:t>.</w:t>
      </w:r>
    </w:p>
    <w:p w14:paraId="19761053" w14:textId="0F350DF4" w:rsidR="00211D82" w:rsidRPr="004B4540" w:rsidRDefault="00211D82" w:rsidP="00A27010">
      <w:pPr>
        <w:pStyle w:val="Heading3"/>
        <w:rPr>
          <w:lang w:val="en-GB"/>
        </w:rPr>
      </w:pPr>
      <w:r w:rsidRPr="004B4540">
        <w:rPr>
          <w:b/>
          <w:bCs/>
          <w:lang w:val="en-GB"/>
        </w:rPr>
        <w:lastRenderedPageBreak/>
        <w:t>Senior Financing Agreement</w:t>
      </w:r>
      <w:r w:rsidRPr="004B4540">
        <w:rPr>
          <w:lang w:val="en-GB"/>
        </w:rPr>
        <w:t xml:space="preserve"> shall mean a Senior Financing agreement </w:t>
      </w:r>
      <w:r w:rsidR="00B7500B">
        <w:rPr>
          <w:lang w:val="en-GB"/>
        </w:rPr>
        <w:t>made between the Company and its certain subsidiaries (as co-borrowers) and the Senior Lender</w:t>
      </w:r>
      <w:r w:rsidR="00E703E9">
        <w:rPr>
          <w:lang w:val="en-GB"/>
        </w:rPr>
        <w:t xml:space="preserve"> (as lender)</w:t>
      </w:r>
      <w:r w:rsidR="00B7500B">
        <w:rPr>
          <w:lang w:val="en-GB"/>
        </w:rPr>
        <w:t xml:space="preserve"> </w:t>
      </w:r>
      <w:r w:rsidR="005231D6">
        <w:rPr>
          <w:lang w:val="en-GB"/>
        </w:rPr>
        <w:t xml:space="preserve">regarding provision of the </w:t>
      </w:r>
      <w:r w:rsidR="00B7500B">
        <w:rPr>
          <w:lang w:val="en-GB"/>
        </w:rPr>
        <w:t xml:space="preserve">Senior </w:t>
      </w:r>
      <w:r w:rsidR="005231D6">
        <w:rPr>
          <w:lang w:val="en-GB"/>
        </w:rPr>
        <w:t xml:space="preserve">Financing by the Senior Lender and </w:t>
      </w:r>
      <w:r w:rsidRPr="004B4540">
        <w:rPr>
          <w:lang w:val="en-GB"/>
        </w:rPr>
        <w:t>amending and replacing the Secured Loan agreement.</w:t>
      </w:r>
    </w:p>
    <w:p w14:paraId="7311B514" w14:textId="67B76B0E" w:rsidR="003A11C3" w:rsidRPr="00AE3D2A" w:rsidRDefault="003A11C3" w:rsidP="00C22B27">
      <w:pPr>
        <w:pStyle w:val="Heading3"/>
        <w:rPr>
          <w:lang w:val="en-GB"/>
        </w:rPr>
      </w:pPr>
      <w:r w:rsidRPr="003A11C3">
        <w:rPr>
          <w:b/>
          <w:lang w:val="en-GB"/>
        </w:rPr>
        <w:t>Senior</w:t>
      </w:r>
      <w:r w:rsidRPr="003A11C3">
        <w:rPr>
          <w:lang w:val="en-US"/>
        </w:rPr>
        <w:t xml:space="preserve"> </w:t>
      </w:r>
      <w:r w:rsidRPr="003A11C3">
        <w:rPr>
          <w:b/>
          <w:bCs/>
          <w:lang w:val="en-US"/>
        </w:rPr>
        <w:t xml:space="preserve">Lender </w:t>
      </w:r>
      <w:r w:rsidRPr="003A11C3">
        <w:rPr>
          <w:lang w:val="en-US"/>
        </w:rPr>
        <w:t xml:space="preserve">shall mean </w:t>
      </w:r>
      <w:r w:rsidR="00CD667E">
        <w:rPr>
          <w:lang w:val="en-US"/>
        </w:rPr>
        <w:t>the Sponsor</w:t>
      </w:r>
      <w:r w:rsidRPr="003A11C3">
        <w:rPr>
          <w:lang w:val="en-US"/>
        </w:rPr>
        <w:t xml:space="preserve"> in its capacity as a lender of the Senior Financing, or </w:t>
      </w:r>
      <w:bookmarkStart w:id="5" w:name="_Hlk192596668"/>
      <w:r w:rsidRPr="003A11C3">
        <w:rPr>
          <w:lang w:val="en-US"/>
        </w:rPr>
        <w:t xml:space="preserve">a person to whom the rights and obligations of </w:t>
      </w:r>
      <w:r w:rsidR="00CD667E">
        <w:rPr>
          <w:lang w:val="en-US"/>
        </w:rPr>
        <w:t>the Sponsor</w:t>
      </w:r>
      <w:r w:rsidRPr="003A11C3">
        <w:rPr>
          <w:lang w:val="en-US"/>
        </w:rPr>
        <w:t xml:space="preserve"> under the Senior Financing have been transferred by </w:t>
      </w:r>
      <w:r w:rsidR="00CD667E">
        <w:rPr>
          <w:lang w:val="en-US"/>
        </w:rPr>
        <w:t>the Sponsor</w:t>
      </w:r>
      <w:r w:rsidRPr="003A11C3">
        <w:rPr>
          <w:lang w:val="en-US"/>
        </w:rPr>
        <w:t xml:space="preserve"> in connection with the transfer </w:t>
      </w:r>
      <w:r w:rsidR="00B6646E" w:rsidRPr="003A11C3">
        <w:rPr>
          <w:lang w:val="en-US"/>
        </w:rPr>
        <w:t>in accordance with the</w:t>
      </w:r>
      <w:r w:rsidR="00B6646E">
        <w:rPr>
          <w:lang w:val="en-US"/>
        </w:rPr>
        <w:t xml:space="preserve"> Secured Note</w:t>
      </w:r>
      <w:r w:rsidR="00B6646E" w:rsidRPr="003A11C3">
        <w:rPr>
          <w:lang w:val="en-US"/>
        </w:rPr>
        <w:t xml:space="preserve"> Terms </w:t>
      </w:r>
      <w:r w:rsidRPr="003A11C3">
        <w:rPr>
          <w:lang w:val="en-US"/>
        </w:rPr>
        <w:t xml:space="preserve">of the (beneficial or legal) ownership of the shares owned by it in the </w:t>
      </w:r>
      <w:r>
        <w:rPr>
          <w:lang w:val="en-US"/>
        </w:rPr>
        <w:t>Company</w:t>
      </w:r>
      <w:bookmarkEnd w:id="5"/>
      <w:r>
        <w:rPr>
          <w:lang w:val="en-US"/>
        </w:rPr>
        <w:t>;</w:t>
      </w:r>
    </w:p>
    <w:p w14:paraId="4254F66B" w14:textId="13CC9957" w:rsidR="00311025" w:rsidRPr="00311025" w:rsidRDefault="00311025" w:rsidP="00311025">
      <w:pPr>
        <w:pStyle w:val="Heading3"/>
        <w:rPr>
          <w:lang w:val="en-GB"/>
        </w:rPr>
      </w:pPr>
      <w:r w:rsidRPr="00311025">
        <w:rPr>
          <w:b/>
          <w:bCs/>
          <w:lang w:val="en-GB"/>
        </w:rPr>
        <w:t>Unsecured Loan</w:t>
      </w:r>
      <w:r w:rsidRPr="00311025">
        <w:rPr>
          <w:lang w:val="en-GB"/>
        </w:rPr>
        <w:t xml:space="preserve"> shall mean an unsecured loan provided by the Unsecured Lender to </w:t>
      </w:r>
      <w:proofErr w:type="spellStart"/>
      <w:r w:rsidRPr="00311025">
        <w:rPr>
          <w:lang w:val="en-GB"/>
        </w:rPr>
        <w:t>Saaremere</w:t>
      </w:r>
      <w:proofErr w:type="spellEnd"/>
      <w:r w:rsidRPr="00311025">
        <w:rPr>
          <w:lang w:val="en-GB"/>
        </w:rPr>
        <w:t xml:space="preserve"> Kala under the unsecured loan agreement and outstanding as at the date hereof in the total amount of EUR 451,394.54.</w:t>
      </w:r>
    </w:p>
    <w:p w14:paraId="73D5F9C1" w14:textId="10AA9497" w:rsidR="003A11C3" w:rsidRDefault="003A11C3" w:rsidP="003A11C3">
      <w:pPr>
        <w:pStyle w:val="Heading3"/>
        <w:rPr>
          <w:lang w:val="en-US"/>
        </w:rPr>
      </w:pPr>
      <w:r w:rsidRPr="003A11C3">
        <w:rPr>
          <w:b/>
          <w:lang w:val="en-GB"/>
        </w:rPr>
        <w:t>Unsecured</w:t>
      </w:r>
      <w:r w:rsidRPr="003A11C3">
        <w:rPr>
          <w:lang w:val="en-US"/>
        </w:rPr>
        <w:t xml:space="preserve"> </w:t>
      </w:r>
      <w:r w:rsidRPr="003A11C3">
        <w:rPr>
          <w:b/>
          <w:bCs/>
          <w:lang w:val="en-US"/>
        </w:rPr>
        <w:t>Lender</w:t>
      </w:r>
      <w:r w:rsidRPr="003A11C3">
        <w:rPr>
          <w:lang w:val="en-US"/>
        </w:rPr>
        <w:t xml:space="preserve"> shall mean </w:t>
      </w:r>
      <w:r w:rsidR="00CD667E">
        <w:rPr>
          <w:lang w:val="en-US"/>
        </w:rPr>
        <w:t>the Sponsor</w:t>
      </w:r>
      <w:r w:rsidRPr="003A11C3">
        <w:rPr>
          <w:lang w:val="en-US"/>
        </w:rPr>
        <w:t xml:space="preserve"> in its capacity as a lender of the Unsecured Loan, or a person to whom the rights and obligations of </w:t>
      </w:r>
      <w:r w:rsidR="00CD667E">
        <w:rPr>
          <w:lang w:val="en-US"/>
        </w:rPr>
        <w:t>the Sponsor</w:t>
      </w:r>
      <w:r w:rsidRPr="003A11C3">
        <w:rPr>
          <w:lang w:val="en-US"/>
        </w:rPr>
        <w:t xml:space="preserve"> under the Unsecured Loan have </w:t>
      </w:r>
      <w:r w:rsidRPr="00D37D52">
        <w:rPr>
          <w:lang w:val="en-GB"/>
        </w:rPr>
        <w:t>been</w:t>
      </w:r>
      <w:r w:rsidRPr="003A11C3">
        <w:rPr>
          <w:lang w:val="en-US"/>
        </w:rPr>
        <w:t xml:space="preserve"> transferred by </w:t>
      </w:r>
      <w:r w:rsidR="00CD667E">
        <w:rPr>
          <w:lang w:val="en-US"/>
        </w:rPr>
        <w:t>the Sponsor</w:t>
      </w:r>
      <w:r w:rsidRPr="003A11C3">
        <w:rPr>
          <w:lang w:val="en-US"/>
        </w:rPr>
        <w:t xml:space="preserve"> in connection with the transfer </w:t>
      </w:r>
      <w:r w:rsidR="00B6646E" w:rsidRPr="003A11C3">
        <w:rPr>
          <w:lang w:val="en-US"/>
        </w:rPr>
        <w:t>in accordance with the</w:t>
      </w:r>
      <w:r w:rsidR="00B6646E">
        <w:rPr>
          <w:lang w:val="en-US"/>
        </w:rPr>
        <w:t xml:space="preserve"> Secured Note</w:t>
      </w:r>
      <w:r w:rsidR="00B6646E" w:rsidRPr="003A11C3">
        <w:rPr>
          <w:lang w:val="en-US"/>
        </w:rPr>
        <w:t xml:space="preserve"> Terms </w:t>
      </w:r>
      <w:r w:rsidRPr="003A11C3">
        <w:rPr>
          <w:lang w:val="en-US"/>
        </w:rPr>
        <w:t xml:space="preserve">of the (beneficial or legal) ownership of the shares owned by it in the </w:t>
      </w:r>
      <w:r>
        <w:rPr>
          <w:lang w:val="en-US"/>
        </w:rPr>
        <w:t>Company.</w:t>
      </w:r>
    </w:p>
    <w:p w14:paraId="244A9F8E" w14:textId="7751A8FD" w:rsidR="006C5D08" w:rsidRPr="00D37D52" w:rsidRDefault="006533D2" w:rsidP="006C5D08">
      <w:pPr>
        <w:pStyle w:val="Heading3"/>
        <w:rPr>
          <w:bCs/>
          <w:lang w:val="en-US"/>
        </w:rPr>
      </w:pPr>
      <w:r>
        <w:rPr>
          <w:bCs/>
          <w:lang w:val="en-GB"/>
        </w:rPr>
        <w:t>A</w:t>
      </w:r>
      <w:r w:rsidR="006C5D08">
        <w:rPr>
          <w:bCs/>
          <w:lang w:val="en-GB"/>
        </w:rPr>
        <w:t xml:space="preserve"> </w:t>
      </w:r>
      <w:r w:rsidR="006C5D08" w:rsidRPr="00D37D52">
        <w:rPr>
          <w:lang w:val="en-US"/>
        </w:rPr>
        <w:t>reference</w:t>
      </w:r>
      <w:r w:rsidR="006C5D08">
        <w:rPr>
          <w:bCs/>
          <w:lang w:val="en-GB"/>
        </w:rPr>
        <w:t xml:space="preserve"> to any “Party” or “person” includes the reference to </w:t>
      </w:r>
      <w:r>
        <w:rPr>
          <w:bCs/>
          <w:lang w:val="en-GB"/>
        </w:rPr>
        <w:t>such Party’s or person’s</w:t>
      </w:r>
      <w:r w:rsidR="006C5D08">
        <w:rPr>
          <w:bCs/>
          <w:lang w:val="en-GB"/>
        </w:rPr>
        <w:t xml:space="preserve"> successors and permitted assigns.</w:t>
      </w:r>
    </w:p>
    <w:p w14:paraId="6FA5CD50" w14:textId="08BAEE0C" w:rsidR="003E043A" w:rsidRPr="004B4540" w:rsidRDefault="003E043A" w:rsidP="003E043A">
      <w:pPr>
        <w:pStyle w:val="Heading1"/>
        <w:rPr>
          <w:lang w:val="en-GB"/>
        </w:rPr>
      </w:pPr>
      <w:r w:rsidRPr="004B4540">
        <w:rPr>
          <w:lang w:val="en-GB"/>
        </w:rPr>
        <w:t xml:space="preserve">purpose of the agreement </w:t>
      </w:r>
    </w:p>
    <w:p w14:paraId="745F12AE" w14:textId="6245BA15" w:rsidR="00847F58" w:rsidRPr="004B4540" w:rsidRDefault="003E043A" w:rsidP="00480BF6">
      <w:pPr>
        <w:pStyle w:val="Heading2"/>
        <w:rPr>
          <w:lang w:val="en-GB"/>
        </w:rPr>
      </w:pPr>
      <w:r w:rsidRPr="004B4540">
        <w:rPr>
          <w:lang w:val="en-GB"/>
        </w:rPr>
        <w:t xml:space="preserve">The </w:t>
      </w:r>
      <w:r w:rsidR="00975E7E" w:rsidRPr="004B4540">
        <w:rPr>
          <w:lang w:val="en-GB"/>
        </w:rPr>
        <w:t>Noteholders and</w:t>
      </w:r>
      <w:r w:rsidR="00C6440A" w:rsidRPr="004B4540">
        <w:rPr>
          <w:lang w:val="en-GB"/>
        </w:rPr>
        <w:t xml:space="preserve"> the shareholders of the Company have approved </w:t>
      </w:r>
      <w:r w:rsidR="00211D82" w:rsidRPr="004B4540">
        <w:rPr>
          <w:lang w:val="en-GB"/>
        </w:rPr>
        <w:t xml:space="preserve">the Restructuring, including the Senior Financing and the </w:t>
      </w:r>
      <w:r w:rsidR="0055385B">
        <w:rPr>
          <w:lang w:val="en-GB"/>
        </w:rPr>
        <w:t>Gradual Structured Sale</w:t>
      </w:r>
      <w:r w:rsidR="00211D82" w:rsidRPr="004B4540">
        <w:rPr>
          <w:lang w:val="en-GB"/>
        </w:rPr>
        <w:t xml:space="preserve"> as part of the Restructuring.</w:t>
      </w:r>
      <w:r w:rsidR="00C22B27" w:rsidRPr="004B4540">
        <w:rPr>
          <w:lang w:val="en-GB"/>
        </w:rPr>
        <w:t xml:space="preserve"> </w:t>
      </w:r>
      <w:r w:rsidRPr="004B4540">
        <w:rPr>
          <w:lang w:val="en-GB"/>
        </w:rPr>
        <w:t xml:space="preserve">The purpose of this Agreement is to set out the agreed method and principles of the </w:t>
      </w:r>
      <w:r w:rsidR="0055385B">
        <w:rPr>
          <w:lang w:val="en-GB"/>
        </w:rPr>
        <w:t xml:space="preserve">Gradual Structured Sale </w:t>
      </w:r>
      <w:r w:rsidR="00847F58" w:rsidRPr="004B4540">
        <w:rPr>
          <w:lang w:val="en-GB"/>
        </w:rPr>
        <w:t xml:space="preserve">and </w:t>
      </w:r>
      <w:r w:rsidR="00C22B27" w:rsidRPr="004B4540">
        <w:rPr>
          <w:lang w:val="en-GB"/>
        </w:rPr>
        <w:t xml:space="preserve">allocation and </w:t>
      </w:r>
      <w:r w:rsidR="00847F58" w:rsidRPr="004B4540">
        <w:rPr>
          <w:lang w:val="en-GB"/>
        </w:rPr>
        <w:t xml:space="preserve">distribution of the proceeds from the sale of the </w:t>
      </w:r>
      <w:r w:rsidR="00566F21">
        <w:rPr>
          <w:lang w:val="en-GB"/>
        </w:rPr>
        <w:t>Core</w:t>
      </w:r>
      <w:r w:rsidR="00566F21" w:rsidRPr="004B4540">
        <w:rPr>
          <w:lang w:val="en-GB"/>
        </w:rPr>
        <w:t xml:space="preserve"> </w:t>
      </w:r>
      <w:r w:rsidR="00847F58" w:rsidRPr="004B4540">
        <w:rPr>
          <w:lang w:val="en-GB"/>
        </w:rPr>
        <w:t xml:space="preserve">Assets between </w:t>
      </w:r>
      <w:r w:rsidR="00C22B27" w:rsidRPr="004B4540">
        <w:rPr>
          <w:lang w:val="en-GB"/>
        </w:rPr>
        <w:t>the Noteholders,</w:t>
      </w:r>
      <w:r w:rsidR="00AC63F1">
        <w:rPr>
          <w:lang w:val="en-GB"/>
        </w:rPr>
        <w:t xml:space="preserve"> the Senior Lender, the Unsecured Lender</w:t>
      </w:r>
      <w:r w:rsidR="00C22B27" w:rsidRPr="004B4540">
        <w:rPr>
          <w:lang w:val="en-GB"/>
        </w:rPr>
        <w:t xml:space="preserve"> and the Company</w:t>
      </w:r>
      <w:r w:rsidR="00847F58" w:rsidRPr="004B4540">
        <w:rPr>
          <w:lang w:val="en-GB"/>
        </w:rPr>
        <w:t xml:space="preserve">. </w:t>
      </w:r>
    </w:p>
    <w:p w14:paraId="18188AF0" w14:textId="2800B3B6" w:rsidR="00A51C7A" w:rsidRPr="004B4540" w:rsidRDefault="0055385B" w:rsidP="00A51C7A">
      <w:pPr>
        <w:pStyle w:val="Heading1"/>
        <w:rPr>
          <w:lang w:val="en-GB"/>
        </w:rPr>
      </w:pPr>
      <w:bookmarkStart w:id="6" w:name="_Ref192595999"/>
      <w:r w:rsidRPr="0055385B">
        <w:rPr>
          <w:lang w:val="en-GB"/>
        </w:rPr>
        <w:t>Gradual Structured Sale</w:t>
      </w:r>
      <w:bookmarkEnd w:id="6"/>
    </w:p>
    <w:p w14:paraId="50DF4C84" w14:textId="0372D14D" w:rsidR="000732D3" w:rsidRPr="000732D3" w:rsidRDefault="003106F8" w:rsidP="000732D3">
      <w:pPr>
        <w:pStyle w:val="Heading2"/>
        <w:rPr>
          <w:lang w:val="en-GB"/>
        </w:rPr>
      </w:pPr>
      <w:bookmarkStart w:id="7" w:name="_Ref188622469"/>
      <w:r w:rsidRPr="004B4540">
        <w:rPr>
          <w:lang w:val="en-GB"/>
        </w:rPr>
        <w:t xml:space="preserve">The </w:t>
      </w:r>
      <w:r w:rsidR="0042205B" w:rsidRPr="004B4540">
        <w:rPr>
          <w:lang w:val="en-GB"/>
        </w:rPr>
        <w:t>Noteholders and the shareholders of the Company have</w:t>
      </w:r>
      <w:r w:rsidRPr="004B4540">
        <w:rPr>
          <w:lang w:val="en-GB"/>
        </w:rPr>
        <w:t xml:space="preserve"> </w:t>
      </w:r>
      <w:r w:rsidR="006157F6" w:rsidRPr="004B4540">
        <w:rPr>
          <w:lang w:val="en-GB"/>
        </w:rPr>
        <w:t>give</w:t>
      </w:r>
      <w:r w:rsidR="0042205B" w:rsidRPr="004B4540">
        <w:rPr>
          <w:lang w:val="en-GB"/>
        </w:rPr>
        <w:t>n</w:t>
      </w:r>
      <w:r w:rsidR="006157F6" w:rsidRPr="004B4540">
        <w:rPr>
          <w:lang w:val="en-GB"/>
        </w:rPr>
        <w:t xml:space="preserve"> their consent </w:t>
      </w:r>
      <w:r w:rsidR="0042205B" w:rsidRPr="004B4540">
        <w:rPr>
          <w:lang w:val="en-GB"/>
        </w:rPr>
        <w:t>to</w:t>
      </w:r>
      <w:r w:rsidRPr="004B4540">
        <w:rPr>
          <w:lang w:val="en-GB"/>
        </w:rPr>
        <w:t xml:space="preserve"> the Company to </w:t>
      </w:r>
      <w:r w:rsidR="00C4771D" w:rsidRPr="004B4540">
        <w:rPr>
          <w:lang w:val="en-GB"/>
        </w:rPr>
        <w:t xml:space="preserve">prepare and conduct the sale of </w:t>
      </w:r>
      <w:bookmarkEnd w:id="7"/>
      <w:r w:rsidRPr="004B4540">
        <w:rPr>
          <w:lang w:val="en-GB"/>
        </w:rPr>
        <w:t xml:space="preserve">the </w:t>
      </w:r>
      <w:r w:rsidR="00566F21">
        <w:rPr>
          <w:lang w:val="en-GB"/>
        </w:rPr>
        <w:t>Core</w:t>
      </w:r>
      <w:r w:rsidR="00566F21" w:rsidRPr="004B4540">
        <w:rPr>
          <w:lang w:val="en-GB"/>
        </w:rPr>
        <w:t xml:space="preserve"> </w:t>
      </w:r>
      <w:r w:rsidRPr="004B4540">
        <w:rPr>
          <w:lang w:val="en-GB"/>
        </w:rPr>
        <w:t>Assets during the Restructuring Period.</w:t>
      </w:r>
      <w:r w:rsidR="004C21B1" w:rsidRPr="004B4540">
        <w:rPr>
          <w:lang w:val="en-GB"/>
        </w:rPr>
        <w:t xml:space="preserve"> </w:t>
      </w:r>
    </w:p>
    <w:p w14:paraId="674716B6" w14:textId="29B1BA94" w:rsidR="006157F6" w:rsidRPr="006B30F2" w:rsidRDefault="006157F6" w:rsidP="006157F6">
      <w:pPr>
        <w:pStyle w:val="Heading2"/>
        <w:rPr>
          <w:lang w:val="en-GB"/>
        </w:rPr>
      </w:pPr>
      <w:r w:rsidRPr="004B4540">
        <w:rPr>
          <w:lang w:val="en-GB"/>
        </w:rPr>
        <w:t xml:space="preserve">The Company will take </w:t>
      </w:r>
      <w:r w:rsidR="002277B2" w:rsidRPr="004B4540">
        <w:rPr>
          <w:lang w:val="en-GB"/>
        </w:rPr>
        <w:t xml:space="preserve">within the Restructuring Period </w:t>
      </w:r>
      <w:r w:rsidRPr="004B4540">
        <w:rPr>
          <w:lang w:val="en-GB"/>
        </w:rPr>
        <w:t xml:space="preserve">all reasonable steps to prepare and conduct the sale of the </w:t>
      </w:r>
      <w:r w:rsidR="00566F21">
        <w:rPr>
          <w:lang w:val="en-GB"/>
        </w:rPr>
        <w:t xml:space="preserve">Core </w:t>
      </w:r>
      <w:r w:rsidRPr="004B4540">
        <w:rPr>
          <w:lang w:val="en-GB"/>
        </w:rPr>
        <w:t>Assets</w:t>
      </w:r>
      <w:r w:rsidR="00D10E64">
        <w:rPr>
          <w:lang w:val="en-GB"/>
        </w:rPr>
        <w:t xml:space="preserve">. The Company </w:t>
      </w:r>
      <w:r w:rsidR="006B30F2">
        <w:rPr>
          <w:lang w:val="en-GB"/>
        </w:rPr>
        <w:t>may involve advisers to</w:t>
      </w:r>
      <w:r w:rsidR="00D10E64">
        <w:rPr>
          <w:lang w:val="en-GB"/>
        </w:rPr>
        <w:t xml:space="preserve"> look for opportunities to sell the relevant </w:t>
      </w:r>
      <w:r w:rsidR="00566F21">
        <w:rPr>
          <w:lang w:val="en-GB"/>
        </w:rPr>
        <w:t xml:space="preserve">Core </w:t>
      </w:r>
      <w:r w:rsidR="00D10E64">
        <w:rPr>
          <w:lang w:val="en-GB"/>
        </w:rPr>
        <w:t xml:space="preserve">Assets </w:t>
      </w:r>
      <w:r w:rsidR="006B30F2">
        <w:rPr>
          <w:lang w:val="en-GB"/>
        </w:rPr>
        <w:t>and may conduct the sale either</w:t>
      </w:r>
      <w:r w:rsidRPr="004B4540">
        <w:rPr>
          <w:lang w:val="en-GB"/>
        </w:rPr>
        <w:t xml:space="preserve"> by way of organized process</w:t>
      </w:r>
      <w:r w:rsidR="00AC63F1">
        <w:rPr>
          <w:lang w:val="en-GB"/>
        </w:rPr>
        <w:t xml:space="preserve">, </w:t>
      </w:r>
      <w:r w:rsidR="00AC63F1" w:rsidRPr="00AC63F1">
        <w:rPr>
          <w:lang w:val="en-GB"/>
        </w:rPr>
        <w:t>with the assistance of appropriate financial and legal advisers</w:t>
      </w:r>
      <w:r w:rsidR="00B256A6">
        <w:rPr>
          <w:lang w:val="en-GB"/>
        </w:rPr>
        <w:t>, or in any other manner deemed best to achieve the higher exit value</w:t>
      </w:r>
      <w:r w:rsidRPr="004B4540">
        <w:rPr>
          <w:lang w:val="en-GB"/>
        </w:rPr>
        <w:t xml:space="preserve">. </w:t>
      </w:r>
      <w:r w:rsidR="000E7FC3" w:rsidRPr="004B4540">
        <w:rPr>
          <w:lang w:val="en-GB"/>
        </w:rPr>
        <w:t xml:space="preserve">The </w:t>
      </w:r>
      <w:r w:rsidR="00566F21">
        <w:rPr>
          <w:lang w:val="en-GB"/>
        </w:rPr>
        <w:t>Core</w:t>
      </w:r>
      <w:r w:rsidR="000E7FC3" w:rsidRPr="004B4540">
        <w:rPr>
          <w:lang w:val="en-GB"/>
        </w:rPr>
        <w:t xml:space="preserve"> Assets may be sold all together or separately as decided by the Company.</w:t>
      </w:r>
      <w:r w:rsidR="00DA6B44" w:rsidRPr="004B4540">
        <w:rPr>
          <w:lang w:val="en-GB"/>
        </w:rPr>
        <w:t xml:space="preserve"> </w:t>
      </w:r>
      <w:r w:rsidR="00D10E64">
        <w:rPr>
          <w:lang w:val="en-GB"/>
        </w:rPr>
        <w:t xml:space="preserve">The Company will determine the appropriate timing of the sale of each </w:t>
      </w:r>
      <w:r w:rsidR="00566F21">
        <w:rPr>
          <w:lang w:val="en-GB"/>
        </w:rPr>
        <w:t xml:space="preserve">Core </w:t>
      </w:r>
      <w:r w:rsidR="00D10E64">
        <w:rPr>
          <w:lang w:val="en-GB"/>
        </w:rPr>
        <w:t xml:space="preserve">Asset </w:t>
      </w:r>
      <w:r w:rsidR="00D10E64" w:rsidRPr="006B30F2">
        <w:rPr>
          <w:lang w:val="en-GB"/>
        </w:rPr>
        <w:t>within the Restructuring Period depending on the market conditions</w:t>
      </w:r>
      <w:r w:rsidR="000732D3" w:rsidRPr="006B30F2">
        <w:rPr>
          <w:lang w:val="en-GB"/>
        </w:rPr>
        <w:t xml:space="preserve"> </w:t>
      </w:r>
      <w:r w:rsidR="00D10E64" w:rsidRPr="006B30F2">
        <w:rPr>
          <w:lang w:val="en-GB"/>
        </w:rPr>
        <w:t>and other relevant aspects.</w:t>
      </w:r>
    </w:p>
    <w:p w14:paraId="152C55E1" w14:textId="77777777" w:rsidR="00682EAB" w:rsidRDefault="00682EAB" w:rsidP="000E7FC3">
      <w:pPr>
        <w:pStyle w:val="Heading2"/>
        <w:rPr>
          <w:lang w:val="en-GB"/>
        </w:rPr>
      </w:pPr>
      <w:r>
        <w:rPr>
          <w:lang w:val="en-GB"/>
        </w:rPr>
        <w:t>The Company has agreed to coordinate:</w:t>
      </w:r>
    </w:p>
    <w:p w14:paraId="1AB11D34" w14:textId="224F8168" w:rsidR="002271EE" w:rsidRDefault="002271EE" w:rsidP="00682EAB">
      <w:pPr>
        <w:pStyle w:val="Heading3"/>
        <w:rPr>
          <w:lang w:val="en-GB"/>
        </w:rPr>
      </w:pPr>
      <w:r>
        <w:rPr>
          <w:lang w:val="en-GB"/>
        </w:rPr>
        <w:t xml:space="preserve">the engagement of the financial adviser and of other external advisers to be involved by the Company in arranging and carrying out the sale process of the </w:t>
      </w:r>
      <w:r w:rsidR="00566F21">
        <w:rPr>
          <w:lang w:val="en-GB"/>
        </w:rPr>
        <w:t xml:space="preserve">Core </w:t>
      </w:r>
      <w:r>
        <w:rPr>
          <w:lang w:val="en-GB"/>
        </w:rPr>
        <w:t>Assets; and</w:t>
      </w:r>
    </w:p>
    <w:p w14:paraId="6E576F71" w14:textId="5F242AC0" w:rsidR="00682EAB" w:rsidRDefault="00682EAB" w:rsidP="00682EAB">
      <w:pPr>
        <w:pStyle w:val="Heading3"/>
        <w:rPr>
          <w:lang w:val="en-GB"/>
        </w:rPr>
      </w:pPr>
      <w:r>
        <w:rPr>
          <w:lang w:val="en-GB"/>
        </w:rPr>
        <w:t xml:space="preserve">the method of sale of the </w:t>
      </w:r>
      <w:r w:rsidR="00566F21">
        <w:rPr>
          <w:lang w:val="en-GB"/>
        </w:rPr>
        <w:t xml:space="preserve">Core </w:t>
      </w:r>
      <w:proofErr w:type="gramStart"/>
      <w:r>
        <w:rPr>
          <w:lang w:val="en-GB"/>
        </w:rPr>
        <w:t>Assets;</w:t>
      </w:r>
      <w:proofErr w:type="gramEnd"/>
      <w:r>
        <w:rPr>
          <w:lang w:val="en-GB"/>
        </w:rPr>
        <w:t xml:space="preserve"> </w:t>
      </w:r>
    </w:p>
    <w:p w14:paraId="2010C84E" w14:textId="6BE3FE7B" w:rsidR="005231D6" w:rsidRDefault="00682EAB" w:rsidP="00AE3D2A">
      <w:pPr>
        <w:pStyle w:val="Heading3"/>
        <w:numPr>
          <w:ilvl w:val="0"/>
          <w:numId w:val="0"/>
        </w:numPr>
        <w:ind w:left="720"/>
        <w:rPr>
          <w:lang w:val="en-GB"/>
        </w:rPr>
      </w:pPr>
      <w:r>
        <w:rPr>
          <w:lang w:val="en-GB"/>
        </w:rPr>
        <w:lastRenderedPageBreak/>
        <w:t xml:space="preserve">with the Secured </w:t>
      </w:r>
      <w:r w:rsidR="002271EE">
        <w:rPr>
          <w:lang w:val="en-GB"/>
        </w:rPr>
        <w:t>Noteholder</w:t>
      </w:r>
      <w:r>
        <w:rPr>
          <w:lang w:val="en-GB"/>
        </w:rPr>
        <w:t xml:space="preserve">(s) holding in aggregate </w:t>
      </w:r>
      <w:r w:rsidR="002271EE">
        <w:rPr>
          <w:lang w:val="en-GB"/>
        </w:rPr>
        <w:t xml:space="preserve">the </w:t>
      </w:r>
      <w:r>
        <w:rPr>
          <w:lang w:val="en-GB"/>
        </w:rPr>
        <w:t xml:space="preserve">Secured Notes with more than </w:t>
      </w:r>
      <w:r w:rsidRPr="00682EAB">
        <w:rPr>
          <w:lang w:val="en-GB"/>
        </w:rPr>
        <w:t xml:space="preserve">50% of the aggregate </w:t>
      </w:r>
      <w:r>
        <w:rPr>
          <w:lang w:val="en-GB"/>
        </w:rPr>
        <w:t>n</w:t>
      </w:r>
      <w:r w:rsidRPr="00682EAB">
        <w:rPr>
          <w:lang w:val="en-GB"/>
        </w:rPr>
        <w:t xml:space="preserve">ominal </w:t>
      </w:r>
      <w:r>
        <w:rPr>
          <w:lang w:val="en-GB"/>
        </w:rPr>
        <w:t>v</w:t>
      </w:r>
      <w:r w:rsidRPr="00682EAB">
        <w:rPr>
          <w:lang w:val="en-GB"/>
        </w:rPr>
        <w:t xml:space="preserve">alue of all </w:t>
      </w:r>
      <w:r>
        <w:rPr>
          <w:lang w:val="en-GB"/>
        </w:rPr>
        <w:t>Secured N</w:t>
      </w:r>
      <w:r w:rsidRPr="00682EAB">
        <w:rPr>
          <w:lang w:val="en-GB"/>
        </w:rPr>
        <w:t>otes</w:t>
      </w:r>
      <w:r w:rsidR="00A04942">
        <w:rPr>
          <w:lang w:val="en-GB"/>
        </w:rPr>
        <w:t>. For</w:t>
      </w:r>
      <w:r w:rsidR="002271EE">
        <w:rPr>
          <w:lang w:val="en-GB"/>
        </w:rPr>
        <w:t xml:space="preserve"> the avoidance of doubt, the approval by the relevant Secured Noteholder(s) may be obtained by the Company by directly approaching the relevant Secured Noteholder(s), without calling a noteholders’ meeting or arranging written voting procedure.  </w:t>
      </w:r>
      <w:r w:rsidR="00A04942">
        <w:rPr>
          <w:lang w:val="en-GB"/>
        </w:rPr>
        <w:t xml:space="preserve"> </w:t>
      </w:r>
      <w:r>
        <w:rPr>
          <w:lang w:val="en-GB"/>
        </w:rPr>
        <w:t xml:space="preserve"> </w:t>
      </w:r>
    </w:p>
    <w:p w14:paraId="26E3A740" w14:textId="0988FBE4" w:rsidR="004B4540" w:rsidRPr="004B4540" w:rsidRDefault="004B4540" w:rsidP="000E7FC3">
      <w:pPr>
        <w:pStyle w:val="Heading2"/>
        <w:rPr>
          <w:lang w:val="en-GB"/>
        </w:rPr>
      </w:pPr>
      <w:r w:rsidRPr="004B4540">
        <w:rPr>
          <w:lang w:val="en-GB"/>
        </w:rPr>
        <w:t xml:space="preserve">The Company shall inform other Parties </w:t>
      </w:r>
      <w:r w:rsidR="004976F7">
        <w:rPr>
          <w:lang w:val="en-GB"/>
        </w:rPr>
        <w:t xml:space="preserve">and public </w:t>
      </w:r>
      <w:r w:rsidRPr="004B4540">
        <w:rPr>
          <w:lang w:val="en-GB"/>
        </w:rPr>
        <w:t xml:space="preserve">about the signing of the sale agreement in respect of the </w:t>
      </w:r>
      <w:r w:rsidR="00566F21">
        <w:rPr>
          <w:lang w:val="en-GB"/>
        </w:rPr>
        <w:t>Core</w:t>
      </w:r>
      <w:r w:rsidR="00566F21" w:rsidRPr="004B4540">
        <w:rPr>
          <w:lang w:val="en-GB"/>
        </w:rPr>
        <w:t xml:space="preserve"> </w:t>
      </w:r>
      <w:r w:rsidRPr="004B4540">
        <w:rPr>
          <w:lang w:val="en-GB"/>
        </w:rPr>
        <w:t>Assets together with the main conditions as required under the listing rules</w:t>
      </w:r>
      <w:r w:rsidR="003E66D0">
        <w:rPr>
          <w:lang w:val="en-GB"/>
        </w:rPr>
        <w:t xml:space="preserve"> applicable to it</w:t>
      </w:r>
      <w:r w:rsidRPr="004B4540">
        <w:rPr>
          <w:lang w:val="en-GB"/>
        </w:rPr>
        <w:t>.</w:t>
      </w:r>
      <w:r w:rsidR="00D42EF1">
        <w:rPr>
          <w:lang w:val="en-GB"/>
        </w:rPr>
        <w:t xml:space="preserve"> </w:t>
      </w:r>
    </w:p>
    <w:p w14:paraId="7A6CF4A8" w14:textId="560E570E" w:rsidR="006B30F2" w:rsidRDefault="000E7FC3" w:rsidP="000E7FC3">
      <w:pPr>
        <w:pStyle w:val="Heading2"/>
        <w:rPr>
          <w:lang w:val="en-GB"/>
        </w:rPr>
      </w:pPr>
      <w:r w:rsidRPr="004B4540">
        <w:rPr>
          <w:lang w:val="en-GB"/>
        </w:rPr>
        <w:t xml:space="preserve">Should the Company not succeed in selling the </w:t>
      </w:r>
      <w:r w:rsidR="00566F21">
        <w:rPr>
          <w:lang w:val="en-GB"/>
        </w:rPr>
        <w:t>Core</w:t>
      </w:r>
      <w:r w:rsidR="00566F21" w:rsidRPr="004B4540">
        <w:rPr>
          <w:lang w:val="en-GB"/>
        </w:rPr>
        <w:t xml:space="preserve"> </w:t>
      </w:r>
      <w:r w:rsidRPr="004B4540">
        <w:rPr>
          <w:lang w:val="en-GB"/>
        </w:rPr>
        <w:t>Assets within the Restructuring Period,</w:t>
      </w:r>
      <w:r w:rsidR="001B5291">
        <w:rPr>
          <w:lang w:val="en-GB"/>
        </w:rPr>
        <w:t xml:space="preserve"> </w:t>
      </w:r>
      <w:r w:rsidR="001B5291" w:rsidRPr="001B5291">
        <w:rPr>
          <w:lang w:val="en-GB"/>
        </w:rPr>
        <w:t xml:space="preserve">or if the Company identifies a better opportunity to realize some or all of the </w:t>
      </w:r>
      <w:r w:rsidR="00566F21">
        <w:rPr>
          <w:lang w:val="en-GB"/>
        </w:rPr>
        <w:t>Core</w:t>
      </w:r>
      <w:r w:rsidR="00566F21" w:rsidRPr="001B5291">
        <w:rPr>
          <w:lang w:val="en-GB"/>
        </w:rPr>
        <w:t xml:space="preserve"> </w:t>
      </w:r>
      <w:r w:rsidR="001B5291" w:rsidRPr="001B5291">
        <w:rPr>
          <w:lang w:val="en-GB"/>
        </w:rPr>
        <w:t>Assets at a later stage or through an alternative method,</w:t>
      </w:r>
      <w:r w:rsidRPr="004B4540">
        <w:rPr>
          <w:lang w:val="en-GB"/>
        </w:rPr>
        <w:t xml:space="preserve"> it shall notify the Noteholders and shareholders thereof and submit proposals in respect of further actions and changes to the Restructuring for their approval in accordance with the applicable Note Terms and provisions of applicable laws and regulations.</w:t>
      </w:r>
    </w:p>
    <w:p w14:paraId="4454BECF" w14:textId="26976E1C" w:rsidR="000E7FC3" w:rsidRPr="006B30F2" w:rsidRDefault="006B30F2" w:rsidP="000E7FC3">
      <w:pPr>
        <w:pStyle w:val="Heading2"/>
        <w:rPr>
          <w:lang w:val="en-GB"/>
        </w:rPr>
      </w:pPr>
      <w:r w:rsidRPr="006B30F2">
        <w:rPr>
          <w:lang w:val="en-GB"/>
        </w:rPr>
        <w:t xml:space="preserve">For the avoidance of doubt, </w:t>
      </w:r>
      <w:proofErr w:type="gramStart"/>
      <w:r w:rsidRPr="006B30F2">
        <w:rPr>
          <w:lang w:val="en-GB"/>
        </w:rPr>
        <w:t>in the course of</w:t>
      </w:r>
      <w:proofErr w:type="gramEnd"/>
      <w:r w:rsidRPr="006B30F2">
        <w:rPr>
          <w:lang w:val="en-GB"/>
        </w:rPr>
        <w:t xml:space="preserve"> the </w:t>
      </w:r>
      <w:r w:rsidR="0055385B">
        <w:rPr>
          <w:lang w:val="en-GB"/>
        </w:rPr>
        <w:t xml:space="preserve">Gradual Structured Sale </w:t>
      </w:r>
      <w:r w:rsidRPr="006B30F2">
        <w:rPr>
          <w:lang w:val="en-GB"/>
        </w:rPr>
        <w:t xml:space="preserve">of the </w:t>
      </w:r>
      <w:r w:rsidR="00566F21">
        <w:rPr>
          <w:lang w:val="en-GB"/>
        </w:rPr>
        <w:t>Core</w:t>
      </w:r>
      <w:r w:rsidR="00566F21" w:rsidRPr="006B30F2">
        <w:rPr>
          <w:lang w:val="en-GB"/>
        </w:rPr>
        <w:t xml:space="preserve"> </w:t>
      </w:r>
      <w:r w:rsidRPr="006B30F2">
        <w:rPr>
          <w:lang w:val="en-GB"/>
        </w:rPr>
        <w:t xml:space="preserve">Assets the Group will continue managing of the </w:t>
      </w:r>
      <w:r w:rsidR="00566F21">
        <w:rPr>
          <w:lang w:val="en-GB"/>
        </w:rPr>
        <w:t>Core</w:t>
      </w:r>
      <w:r w:rsidR="00566F21" w:rsidRPr="006B30F2">
        <w:rPr>
          <w:lang w:val="en-GB"/>
        </w:rPr>
        <w:t xml:space="preserve"> </w:t>
      </w:r>
      <w:r w:rsidRPr="006B30F2">
        <w:rPr>
          <w:lang w:val="en-GB"/>
        </w:rPr>
        <w:t>Assets and conducting its other business activities in their ordinary course and will continue to be managed in accordance with applicable rules and legal acts and its corporate governance rules.</w:t>
      </w:r>
      <w:r w:rsidR="000E7FC3" w:rsidRPr="006B30F2">
        <w:rPr>
          <w:lang w:val="en-GB"/>
        </w:rPr>
        <w:t xml:space="preserve"> </w:t>
      </w:r>
    </w:p>
    <w:p w14:paraId="02EF11A3" w14:textId="77777777" w:rsidR="00975E26" w:rsidRPr="004B4540" w:rsidRDefault="00975E26" w:rsidP="00975E26">
      <w:pPr>
        <w:pStyle w:val="Heading1"/>
        <w:rPr>
          <w:lang w:val="en-GB"/>
        </w:rPr>
      </w:pPr>
      <w:bookmarkStart w:id="8" w:name="_Ref192595827"/>
      <w:r w:rsidRPr="004B4540">
        <w:rPr>
          <w:lang w:val="en-GB"/>
        </w:rPr>
        <w:t>distribution of sale proceeds</w:t>
      </w:r>
      <w:bookmarkEnd w:id="8"/>
    </w:p>
    <w:p w14:paraId="288442AE" w14:textId="0FEEBFD6" w:rsidR="00975E26" w:rsidRPr="004B4540" w:rsidRDefault="00EA71D7" w:rsidP="00975E26">
      <w:pPr>
        <w:pStyle w:val="Heading2"/>
        <w:rPr>
          <w:lang w:val="en-GB"/>
        </w:rPr>
      </w:pPr>
      <w:bookmarkStart w:id="9" w:name="_Ref188522223"/>
      <w:bookmarkStart w:id="10" w:name="_Ref188540944"/>
      <w:r>
        <w:rPr>
          <w:lang w:val="en-GB"/>
        </w:rPr>
        <w:t>T</w:t>
      </w:r>
      <w:r w:rsidR="00975E26" w:rsidRPr="004B4540">
        <w:rPr>
          <w:lang w:val="en-GB"/>
        </w:rPr>
        <w:t xml:space="preserve">he proceeds from the sale of </w:t>
      </w:r>
      <w:r w:rsidR="004976F7">
        <w:rPr>
          <w:lang w:val="en-GB"/>
        </w:rPr>
        <w:t>any</w:t>
      </w:r>
      <w:r w:rsidR="00975E26" w:rsidRPr="004B4540">
        <w:rPr>
          <w:lang w:val="en-GB"/>
        </w:rPr>
        <w:t xml:space="preserve"> </w:t>
      </w:r>
      <w:r w:rsidR="00566F21">
        <w:rPr>
          <w:lang w:val="en-GB"/>
        </w:rPr>
        <w:t>Core</w:t>
      </w:r>
      <w:r w:rsidR="00566F21" w:rsidRPr="004B4540">
        <w:rPr>
          <w:lang w:val="en-GB"/>
        </w:rPr>
        <w:t xml:space="preserve"> </w:t>
      </w:r>
      <w:r w:rsidR="00975E26" w:rsidRPr="004B4540">
        <w:rPr>
          <w:lang w:val="en-GB"/>
        </w:rPr>
        <w:t>Assets (the “</w:t>
      </w:r>
      <w:r w:rsidR="00975E26" w:rsidRPr="004B4540">
        <w:rPr>
          <w:b/>
          <w:bCs/>
          <w:lang w:val="en-GB"/>
        </w:rPr>
        <w:t>Sale Proceeds</w:t>
      </w:r>
      <w:r w:rsidR="00975E26" w:rsidRPr="004B4540">
        <w:rPr>
          <w:lang w:val="en-GB"/>
        </w:rPr>
        <w:t xml:space="preserve">”) </w:t>
      </w:r>
      <w:r w:rsidR="0031515E" w:rsidRPr="004B4540">
        <w:rPr>
          <w:lang w:val="en-GB"/>
        </w:rPr>
        <w:t>shall</w:t>
      </w:r>
      <w:r w:rsidR="00975E26" w:rsidRPr="004B4540">
        <w:rPr>
          <w:lang w:val="en-GB"/>
        </w:rPr>
        <w:t xml:space="preserve"> be applied and distributed in the following priority and proportions:</w:t>
      </w:r>
      <w:bookmarkEnd w:id="9"/>
      <w:bookmarkEnd w:id="10"/>
      <w:r w:rsidR="00D42EF1">
        <w:rPr>
          <w:lang w:val="en-GB"/>
        </w:rPr>
        <w:t xml:space="preserve"> </w:t>
      </w:r>
    </w:p>
    <w:p w14:paraId="74FEC3FC" w14:textId="08C50ADD" w:rsidR="00975E26" w:rsidRPr="004B4540" w:rsidRDefault="00975E26" w:rsidP="00975E26">
      <w:pPr>
        <w:pStyle w:val="Heading3"/>
        <w:rPr>
          <w:lang w:val="en-GB"/>
        </w:rPr>
      </w:pPr>
      <w:bookmarkStart w:id="11" w:name="_Ref193193173"/>
      <w:r w:rsidRPr="004B4540">
        <w:rPr>
          <w:lang w:val="en-GB"/>
        </w:rPr>
        <w:t xml:space="preserve">first, towards the payment of any taxes, costs, fees, and payment obligations related to the arranging and conducting the sale of the </w:t>
      </w:r>
      <w:r w:rsidR="00566F21">
        <w:rPr>
          <w:lang w:val="en-GB"/>
        </w:rPr>
        <w:t>Core</w:t>
      </w:r>
      <w:r w:rsidR="00566F21" w:rsidRPr="004B4540">
        <w:rPr>
          <w:lang w:val="en-GB"/>
        </w:rPr>
        <w:t xml:space="preserve"> </w:t>
      </w:r>
      <w:r w:rsidRPr="004B4540">
        <w:rPr>
          <w:lang w:val="en-GB"/>
        </w:rPr>
        <w:t>Assets, including towards the payment of</w:t>
      </w:r>
      <w:r w:rsidR="004976F7">
        <w:rPr>
          <w:lang w:val="en-GB"/>
        </w:rPr>
        <w:t xml:space="preserve"> any external advisor costs and fees and</w:t>
      </w:r>
      <w:r w:rsidRPr="004B4540">
        <w:rPr>
          <w:lang w:val="en-GB"/>
        </w:rPr>
        <w:t xml:space="preserve"> the </w:t>
      </w:r>
      <w:r w:rsidR="00DA00F6" w:rsidRPr="004B4540">
        <w:rPr>
          <w:lang w:val="en-GB"/>
        </w:rPr>
        <w:t>management incentive</w:t>
      </w:r>
      <w:r w:rsidR="001E6A8C" w:rsidRPr="004B4540">
        <w:rPr>
          <w:lang w:val="en-GB"/>
        </w:rPr>
        <w:t xml:space="preserve"> </w:t>
      </w:r>
      <w:r w:rsidRPr="004B4540">
        <w:rPr>
          <w:lang w:val="en-GB"/>
        </w:rPr>
        <w:t>amounts</w:t>
      </w:r>
      <w:r w:rsidR="004976F7">
        <w:rPr>
          <w:lang w:val="en-GB"/>
        </w:rPr>
        <w:t xml:space="preserve">, if </w:t>
      </w:r>
      <w:proofErr w:type="gramStart"/>
      <w:r w:rsidR="004976F7">
        <w:rPr>
          <w:lang w:val="en-GB"/>
        </w:rPr>
        <w:t>applicable</w:t>
      </w:r>
      <w:r w:rsidRPr="004B4540">
        <w:rPr>
          <w:lang w:val="en-GB"/>
        </w:rPr>
        <w:t>;</w:t>
      </w:r>
      <w:bookmarkEnd w:id="11"/>
      <w:proofErr w:type="gramEnd"/>
      <w:r w:rsidR="006135B4" w:rsidRPr="004B4540">
        <w:rPr>
          <w:lang w:val="en-GB"/>
        </w:rPr>
        <w:t xml:space="preserve"> </w:t>
      </w:r>
    </w:p>
    <w:p w14:paraId="6CB182EB" w14:textId="2877BB57" w:rsidR="00975E26" w:rsidRPr="004B4540" w:rsidRDefault="00975E26" w:rsidP="00975E26">
      <w:pPr>
        <w:pStyle w:val="Heading3"/>
        <w:rPr>
          <w:lang w:val="en-GB"/>
        </w:rPr>
      </w:pPr>
      <w:bookmarkStart w:id="12" w:name="_Ref193193175"/>
      <w:r w:rsidRPr="004B4540">
        <w:rPr>
          <w:lang w:val="en-GB"/>
        </w:rPr>
        <w:t xml:space="preserve">second, towards the </w:t>
      </w:r>
      <w:r w:rsidR="004976F7">
        <w:rPr>
          <w:lang w:val="en-GB"/>
        </w:rPr>
        <w:t>re</w:t>
      </w:r>
      <w:r w:rsidRPr="004B4540">
        <w:rPr>
          <w:lang w:val="en-GB"/>
        </w:rPr>
        <w:t xml:space="preserve">payment of the Senior </w:t>
      </w:r>
      <w:proofErr w:type="gramStart"/>
      <w:r w:rsidR="000E7047" w:rsidRPr="004B4540">
        <w:rPr>
          <w:lang w:val="en-GB"/>
        </w:rPr>
        <w:t>Financing</w:t>
      </w:r>
      <w:r w:rsidRPr="004B4540">
        <w:rPr>
          <w:lang w:val="en-GB"/>
        </w:rPr>
        <w:t>;</w:t>
      </w:r>
      <w:bookmarkEnd w:id="12"/>
      <w:proofErr w:type="gramEnd"/>
    </w:p>
    <w:p w14:paraId="70F8729F" w14:textId="17040315" w:rsidR="00975E26" w:rsidRPr="004B4540" w:rsidRDefault="00975E26" w:rsidP="00975E26">
      <w:pPr>
        <w:pStyle w:val="Heading3"/>
        <w:rPr>
          <w:lang w:val="en-GB"/>
        </w:rPr>
      </w:pPr>
      <w:bookmarkStart w:id="13" w:name="_Ref188524993"/>
      <w:r w:rsidRPr="004B4540">
        <w:rPr>
          <w:lang w:val="en-GB"/>
        </w:rPr>
        <w:t>third, the remaining proceeds (the “</w:t>
      </w:r>
      <w:r w:rsidRPr="004B4540">
        <w:rPr>
          <w:b/>
          <w:bCs/>
          <w:lang w:val="en-GB"/>
        </w:rPr>
        <w:t>Distribution Proceeds</w:t>
      </w:r>
      <w:r w:rsidRPr="004B4540">
        <w:rPr>
          <w:lang w:val="en-GB"/>
        </w:rPr>
        <w:t xml:space="preserve">”) </w:t>
      </w:r>
      <w:r w:rsidR="0031515E" w:rsidRPr="004B4540">
        <w:rPr>
          <w:lang w:val="en-GB"/>
        </w:rPr>
        <w:t xml:space="preserve">shall </w:t>
      </w:r>
      <w:r w:rsidR="00595BAA" w:rsidRPr="004B4540">
        <w:rPr>
          <w:lang w:val="en-GB"/>
        </w:rPr>
        <w:t>be shared as follows</w:t>
      </w:r>
      <w:r w:rsidR="002B035C" w:rsidRPr="004B4540">
        <w:rPr>
          <w:lang w:val="en-GB"/>
        </w:rPr>
        <w:t>, based on the percentages specified in the table provided in Schedule 1</w:t>
      </w:r>
      <w:r w:rsidR="005E294E">
        <w:rPr>
          <w:lang w:val="en-GB"/>
        </w:rPr>
        <w:t xml:space="preserve"> </w:t>
      </w:r>
      <w:r w:rsidR="005E294E" w:rsidRPr="005E294E">
        <w:rPr>
          <w:i/>
          <w:iCs/>
          <w:lang w:val="en-GB"/>
        </w:rPr>
        <w:t>(</w:t>
      </w:r>
      <w:r w:rsidR="005E294E" w:rsidRPr="005E294E">
        <w:rPr>
          <w:i/>
          <w:iCs/>
          <w:u w:val="single"/>
          <w:lang w:val="en-GB"/>
        </w:rPr>
        <w:t>Distribution Principles</w:t>
      </w:r>
      <w:r w:rsidR="005E294E" w:rsidRPr="005E294E">
        <w:rPr>
          <w:i/>
          <w:iCs/>
          <w:lang w:val="en-GB"/>
        </w:rPr>
        <w:t>)</w:t>
      </w:r>
      <w:r w:rsidRPr="004B4540">
        <w:rPr>
          <w:lang w:val="en-GB"/>
        </w:rPr>
        <w:t>:</w:t>
      </w:r>
      <w:bookmarkEnd w:id="13"/>
      <w:r w:rsidR="007F5E6E" w:rsidRPr="004B4540">
        <w:rPr>
          <w:lang w:val="en-GB"/>
        </w:rPr>
        <w:t xml:space="preserve"> </w:t>
      </w:r>
      <w:r w:rsidR="009158AA" w:rsidRPr="004B4540">
        <w:rPr>
          <w:lang w:val="en-GB"/>
        </w:rPr>
        <w:t xml:space="preserve"> </w:t>
      </w:r>
    </w:p>
    <w:p w14:paraId="06522458" w14:textId="78E90435" w:rsidR="00975E26" w:rsidRPr="004B4540" w:rsidRDefault="002B035C" w:rsidP="00975E26">
      <w:pPr>
        <w:pStyle w:val="Heading4"/>
        <w:rPr>
          <w:lang w:val="en-GB"/>
        </w:rPr>
      </w:pPr>
      <w:r w:rsidRPr="004B4540">
        <w:rPr>
          <w:lang w:val="en-GB"/>
        </w:rPr>
        <w:t>a portion</w:t>
      </w:r>
      <w:r w:rsidR="00975E26" w:rsidRPr="004B4540">
        <w:rPr>
          <w:lang w:val="en-GB"/>
        </w:rPr>
        <w:t xml:space="preserve"> of the Distribution Proceeds</w:t>
      </w:r>
      <w:r w:rsidR="00595BAA" w:rsidRPr="004B4540">
        <w:rPr>
          <w:lang w:val="en-GB"/>
        </w:rPr>
        <w:t xml:space="preserve"> </w:t>
      </w:r>
      <w:r w:rsidR="008B55FE">
        <w:rPr>
          <w:lang w:val="en-GB"/>
        </w:rPr>
        <w:t xml:space="preserve">indicated in Column </w:t>
      </w:r>
      <w:r w:rsidR="00DB7D16">
        <w:rPr>
          <w:lang w:val="en-GB"/>
        </w:rPr>
        <w:t>3</w:t>
      </w:r>
      <w:r w:rsidR="008B55FE">
        <w:rPr>
          <w:lang w:val="en-GB"/>
        </w:rPr>
        <w:t xml:space="preserve"> </w:t>
      </w:r>
      <w:r w:rsidR="008B55FE" w:rsidRPr="004B4540">
        <w:rPr>
          <w:lang w:val="en-GB"/>
        </w:rPr>
        <w:t>in the table provided in Schedule 1</w:t>
      </w:r>
      <w:r w:rsidR="008B55FE">
        <w:rPr>
          <w:lang w:val="en-GB"/>
        </w:rPr>
        <w:t xml:space="preserve"> </w:t>
      </w:r>
      <w:r w:rsidR="00595BAA" w:rsidRPr="004B4540">
        <w:rPr>
          <w:lang w:val="en-GB"/>
        </w:rPr>
        <w:t xml:space="preserve">will be paid </w:t>
      </w:r>
      <w:r w:rsidR="00975E26" w:rsidRPr="004B4540">
        <w:rPr>
          <w:lang w:val="en-GB"/>
        </w:rPr>
        <w:t xml:space="preserve">to the Secured Noteholders to </w:t>
      </w:r>
      <w:r w:rsidR="00E47ABC">
        <w:rPr>
          <w:lang w:val="en-GB"/>
        </w:rPr>
        <w:t>pay the redemption amount of</w:t>
      </w:r>
      <w:r w:rsidR="00975E26" w:rsidRPr="004B4540">
        <w:rPr>
          <w:lang w:val="en-GB"/>
        </w:rPr>
        <w:t xml:space="preserve"> the Secured Notes </w:t>
      </w:r>
      <w:r w:rsidR="00595BAA" w:rsidRPr="004B4540">
        <w:rPr>
          <w:lang w:val="en-GB"/>
        </w:rPr>
        <w:t xml:space="preserve">(and distributed </w:t>
      </w:r>
      <w:r w:rsidR="00975E26" w:rsidRPr="004B4540">
        <w:rPr>
          <w:lang w:val="en-GB"/>
        </w:rPr>
        <w:t>pro</w:t>
      </w:r>
      <w:r w:rsidR="00595BAA" w:rsidRPr="004B4540">
        <w:rPr>
          <w:lang w:val="en-GB"/>
        </w:rPr>
        <w:t xml:space="preserve"> </w:t>
      </w:r>
      <w:r w:rsidR="00975E26" w:rsidRPr="004B4540">
        <w:rPr>
          <w:lang w:val="en-GB"/>
        </w:rPr>
        <w:t xml:space="preserve">rata </w:t>
      </w:r>
      <w:r w:rsidR="00595BAA" w:rsidRPr="004B4540">
        <w:rPr>
          <w:lang w:val="en-GB"/>
        </w:rPr>
        <w:t>to the number of the Secured Notes</w:t>
      </w:r>
      <w:r w:rsidR="00975E26" w:rsidRPr="004B4540">
        <w:rPr>
          <w:lang w:val="en-GB"/>
        </w:rPr>
        <w:t xml:space="preserve"> held by </w:t>
      </w:r>
      <w:r w:rsidR="00595BAA" w:rsidRPr="004B4540">
        <w:rPr>
          <w:lang w:val="en-GB"/>
        </w:rPr>
        <w:t>the</w:t>
      </w:r>
      <w:r w:rsidR="00975E26" w:rsidRPr="004B4540">
        <w:rPr>
          <w:lang w:val="en-GB"/>
        </w:rPr>
        <w:t xml:space="preserve"> Secured Noteholder</w:t>
      </w:r>
      <w:r w:rsidR="00595BAA" w:rsidRPr="004B4540">
        <w:rPr>
          <w:lang w:val="en-GB"/>
        </w:rPr>
        <w:t>s</w:t>
      </w:r>
      <w:proofErr w:type="gramStart"/>
      <w:r w:rsidR="00595BAA" w:rsidRPr="004B4540">
        <w:rPr>
          <w:lang w:val="en-GB"/>
        </w:rPr>
        <w:t>)</w:t>
      </w:r>
      <w:r w:rsidR="00975E26" w:rsidRPr="004B4540">
        <w:rPr>
          <w:lang w:val="en-GB"/>
        </w:rPr>
        <w:t>;</w:t>
      </w:r>
      <w:proofErr w:type="gramEnd"/>
    </w:p>
    <w:p w14:paraId="1848EAB6" w14:textId="7D09B20C" w:rsidR="00975E26" w:rsidRPr="004B4540" w:rsidRDefault="002B035C" w:rsidP="00975E26">
      <w:pPr>
        <w:pStyle w:val="Heading4"/>
        <w:rPr>
          <w:lang w:val="en-GB"/>
        </w:rPr>
      </w:pPr>
      <w:r w:rsidRPr="004B4540">
        <w:rPr>
          <w:lang w:val="en-GB"/>
        </w:rPr>
        <w:t>a portion</w:t>
      </w:r>
      <w:r w:rsidR="00975E26" w:rsidRPr="004B4540">
        <w:rPr>
          <w:lang w:val="en-GB"/>
        </w:rPr>
        <w:t xml:space="preserve"> of the Distribution Proceeds</w:t>
      </w:r>
      <w:r w:rsidR="00595BAA" w:rsidRPr="004B4540">
        <w:rPr>
          <w:lang w:val="en-GB"/>
        </w:rPr>
        <w:t xml:space="preserve"> </w:t>
      </w:r>
      <w:r w:rsidR="008B55FE">
        <w:rPr>
          <w:lang w:val="en-GB"/>
        </w:rPr>
        <w:t xml:space="preserve">indicated in Column </w:t>
      </w:r>
      <w:r w:rsidR="00DB7D16">
        <w:rPr>
          <w:lang w:val="en-GB"/>
        </w:rPr>
        <w:t>4</w:t>
      </w:r>
      <w:r w:rsidR="008B55FE">
        <w:rPr>
          <w:lang w:val="en-GB"/>
        </w:rPr>
        <w:t xml:space="preserve"> </w:t>
      </w:r>
      <w:r w:rsidR="008B55FE" w:rsidRPr="004B4540">
        <w:rPr>
          <w:lang w:val="en-GB"/>
        </w:rPr>
        <w:t>in the table provided in Schedule 1</w:t>
      </w:r>
      <w:r w:rsidR="008B55FE">
        <w:rPr>
          <w:lang w:val="en-GB"/>
        </w:rPr>
        <w:t xml:space="preserve"> </w:t>
      </w:r>
      <w:r w:rsidR="00595BAA" w:rsidRPr="004B4540">
        <w:rPr>
          <w:lang w:val="en-GB"/>
        </w:rPr>
        <w:t xml:space="preserve">will be paid </w:t>
      </w:r>
      <w:r w:rsidR="008B55FE">
        <w:rPr>
          <w:lang w:val="en-GB"/>
        </w:rPr>
        <w:t>(</w:t>
      </w:r>
      <w:r w:rsidR="00595BAA" w:rsidRPr="004B4540">
        <w:rPr>
          <w:lang w:val="en-GB"/>
        </w:rPr>
        <w:t>o</w:t>
      </w:r>
      <w:r w:rsidR="00975E26" w:rsidRPr="004B4540">
        <w:rPr>
          <w:lang w:val="en-GB"/>
        </w:rPr>
        <w:t>n a pro</w:t>
      </w:r>
      <w:r w:rsidR="00595BAA" w:rsidRPr="004B4540">
        <w:rPr>
          <w:lang w:val="en-GB"/>
        </w:rPr>
        <w:t xml:space="preserve"> </w:t>
      </w:r>
      <w:r w:rsidR="00975E26" w:rsidRPr="004B4540">
        <w:rPr>
          <w:lang w:val="en-GB"/>
        </w:rPr>
        <w:t>rata basis</w:t>
      </w:r>
      <w:r w:rsidR="006A46E0">
        <w:rPr>
          <w:lang w:val="en-GB"/>
        </w:rPr>
        <w:t xml:space="preserve"> based on their respective outstanding amounts</w:t>
      </w:r>
      <w:r w:rsidR="008B55FE">
        <w:rPr>
          <w:lang w:val="en-GB"/>
        </w:rPr>
        <w:t>)</w:t>
      </w:r>
      <w:r w:rsidR="00975E26" w:rsidRPr="004B4540">
        <w:rPr>
          <w:lang w:val="en-GB"/>
        </w:rPr>
        <w:t xml:space="preserve"> to the Convertible Noteholders and </w:t>
      </w:r>
      <w:r w:rsidR="008B55FE">
        <w:rPr>
          <w:lang w:val="en-GB"/>
        </w:rPr>
        <w:t>the Unsecured Lender</w:t>
      </w:r>
      <w:r w:rsidR="00975E26" w:rsidRPr="004B4540">
        <w:rPr>
          <w:lang w:val="en-GB"/>
        </w:rPr>
        <w:t xml:space="preserve"> to </w:t>
      </w:r>
      <w:r w:rsidR="00E47ABC">
        <w:rPr>
          <w:lang w:val="en-GB"/>
        </w:rPr>
        <w:t>pay the redemption amount of</w:t>
      </w:r>
      <w:r w:rsidR="00E47ABC" w:rsidRPr="004B4540">
        <w:rPr>
          <w:lang w:val="en-GB"/>
        </w:rPr>
        <w:t xml:space="preserve"> </w:t>
      </w:r>
      <w:r w:rsidR="00975E26" w:rsidRPr="004B4540">
        <w:rPr>
          <w:lang w:val="en-GB"/>
        </w:rPr>
        <w:t>the Convertible Notes</w:t>
      </w:r>
      <w:r w:rsidR="00595BAA" w:rsidRPr="004B4540">
        <w:rPr>
          <w:lang w:val="en-GB"/>
        </w:rPr>
        <w:t xml:space="preserve"> (and distributed pro rata to the number of the Convertible Notes held by the </w:t>
      </w:r>
      <w:r w:rsidR="00975E26" w:rsidRPr="004B4540">
        <w:rPr>
          <w:lang w:val="en-GB"/>
        </w:rPr>
        <w:t>Convertible Noteholder</w:t>
      </w:r>
      <w:r w:rsidR="00595BAA" w:rsidRPr="004B4540">
        <w:rPr>
          <w:lang w:val="en-GB"/>
        </w:rPr>
        <w:t>s)</w:t>
      </w:r>
      <w:r w:rsidR="00975E26" w:rsidRPr="004B4540">
        <w:rPr>
          <w:lang w:val="en-GB"/>
        </w:rPr>
        <w:t xml:space="preserve"> and to repay the Unsecured Loan;</w:t>
      </w:r>
      <w:r w:rsidR="00604A3F">
        <w:rPr>
          <w:lang w:val="en-GB"/>
        </w:rPr>
        <w:t xml:space="preserve"> </w:t>
      </w:r>
    </w:p>
    <w:p w14:paraId="1084177E" w14:textId="41590C19" w:rsidR="00D42EF1" w:rsidRPr="00D42EF1" w:rsidRDefault="002B035C" w:rsidP="00D42EF1">
      <w:pPr>
        <w:pStyle w:val="Heading4"/>
        <w:rPr>
          <w:lang w:val="en-GB"/>
        </w:rPr>
      </w:pPr>
      <w:r w:rsidRPr="004B4540">
        <w:rPr>
          <w:lang w:val="en-GB"/>
        </w:rPr>
        <w:t>a portion</w:t>
      </w:r>
      <w:r w:rsidR="00975E26" w:rsidRPr="004B4540">
        <w:rPr>
          <w:lang w:val="en-GB"/>
        </w:rPr>
        <w:t xml:space="preserve"> of the Distribution Proceeds </w:t>
      </w:r>
      <w:r w:rsidR="008B55FE">
        <w:rPr>
          <w:lang w:val="en-GB"/>
        </w:rPr>
        <w:t xml:space="preserve">indicated in Column </w:t>
      </w:r>
      <w:r w:rsidR="00DB7D16">
        <w:rPr>
          <w:lang w:val="en-GB"/>
        </w:rPr>
        <w:t>5</w:t>
      </w:r>
      <w:r w:rsidR="008B55FE">
        <w:rPr>
          <w:lang w:val="en-GB"/>
        </w:rPr>
        <w:t xml:space="preserve"> </w:t>
      </w:r>
      <w:r w:rsidR="008B55FE" w:rsidRPr="004B4540">
        <w:rPr>
          <w:lang w:val="en-GB"/>
        </w:rPr>
        <w:t>in the table provided in Schedule 1</w:t>
      </w:r>
      <w:r w:rsidR="008B55FE">
        <w:rPr>
          <w:lang w:val="en-GB"/>
        </w:rPr>
        <w:t xml:space="preserve"> </w:t>
      </w:r>
      <w:r w:rsidR="00595BAA" w:rsidRPr="004B4540">
        <w:rPr>
          <w:lang w:val="en-GB"/>
        </w:rPr>
        <w:t>will</w:t>
      </w:r>
      <w:r w:rsidR="00975E26" w:rsidRPr="004B4540">
        <w:rPr>
          <w:lang w:val="en-GB"/>
        </w:rPr>
        <w:t xml:space="preserve"> be retained by the </w:t>
      </w:r>
      <w:r w:rsidR="00B327B9" w:rsidRPr="004B4540">
        <w:rPr>
          <w:lang w:val="en-GB"/>
        </w:rPr>
        <w:t>Company</w:t>
      </w:r>
      <w:r w:rsidR="00975E26" w:rsidRPr="00786E3C">
        <w:rPr>
          <w:lang w:val="en-GB"/>
        </w:rPr>
        <w:t>.</w:t>
      </w:r>
    </w:p>
    <w:p w14:paraId="6D8E973F" w14:textId="2A12B29E" w:rsidR="00595BAA" w:rsidRPr="00786E3C" w:rsidRDefault="00595BAA" w:rsidP="00595BAA">
      <w:pPr>
        <w:pStyle w:val="Heading2"/>
        <w:rPr>
          <w:lang w:val="en-GB"/>
        </w:rPr>
      </w:pPr>
      <w:r w:rsidRPr="00D42EF1">
        <w:rPr>
          <w:lang w:val="en-GB"/>
        </w:rPr>
        <w:t xml:space="preserve">Upon the receipt of any </w:t>
      </w:r>
      <w:r w:rsidR="004430A6" w:rsidRPr="00D42EF1">
        <w:rPr>
          <w:lang w:val="en-GB"/>
        </w:rPr>
        <w:t xml:space="preserve">part of </w:t>
      </w:r>
      <w:r w:rsidRPr="00D42EF1">
        <w:rPr>
          <w:lang w:val="en-GB"/>
        </w:rPr>
        <w:t xml:space="preserve">Sale Proceeds, the </w:t>
      </w:r>
      <w:r w:rsidR="00D66BC6" w:rsidRPr="00D42EF1">
        <w:rPr>
          <w:lang w:val="en-GB"/>
        </w:rPr>
        <w:t xml:space="preserve">Company </w:t>
      </w:r>
      <w:r w:rsidR="0031515E" w:rsidRPr="00D42EF1">
        <w:rPr>
          <w:lang w:val="en-GB"/>
        </w:rPr>
        <w:t>shall</w:t>
      </w:r>
      <w:r w:rsidRPr="00D42EF1">
        <w:rPr>
          <w:lang w:val="en-GB"/>
        </w:rPr>
        <w:t xml:space="preserve"> take all actions </w:t>
      </w:r>
      <w:r w:rsidR="00963481">
        <w:rPr>
          <w:lang w:val="en-GB"/>
        </w:rPr>
        <w:t xml:space="preserve">that it is </w:t>
      </w:r>
      <w:r w:rsidRPr="00D42EF1">
        <w:rPr>
          <w:lang w:val="en-GB"/>
        </w:rPr>
        <w:t>required</w:t>
      </w:r>
      <w:r w:rsidRPr="00786E3C">
        <w:rPr>
          <w:lang w:val="en-GB"/>
        </w:rPr>
        <w:t xml:space="preserve"> to </w:t>
      </w:r>
      <w:r w:rsidR="00963481">
        <w:rPr>
          <w:lang w:val="en-GB"/>
        </w:rPr>
        <w:t>take for</w:t>
      </w:r>
      <w:r w:rsidRPr="00786E3C">
        <w:rPr>
          <w:lang w:val="en-GB"/>
        </w:rPr>
        <w:t xml:space="preserve"> such </w:t>
      </w:r>
      <w:r w:rsidR="00DB7D16">
        <w:rPr>
          <w:lang w:val="en-GB"/>
        </w:rPr>
        <w:t xml:space="preserve">part of the </w:t>
      </w:r>
      <w:r w:rsidRPr="00786E3C">
        <w:rPr>
          <w:lang w:val="en-GB"/>
        </w:rPr>
        <w:t xml:space="preserve">Sale Proceeds </w:t>
      </w:r>
      <w:r w:rsidR="00963481">
        <w:rPr>
          <w:lang w:val="en-GB"/>
        </w:rPr>
        <w:t>to be</w:t>
      </w:r>
      <w:r w:rsidR="00963481" w:rsidRPr="00786E3C">
        <w:rPr>
          <w:lang w:val="en-GB"/>
        </w:rPr>
        <w:t xml:space="preserve"> </w:t>
      </w:r>
      <w:r w:rsidRPr="00786E3C">
        <w:rPr>
          <w:lang w:val="en-GB"/>
        </w:rPr>
        <w:t xml:space="preserve">distributed in accordance with Section </w:t>
      </w:r>
      <w:r w:rsidRPr="00786E3C">
        <w:rPr>
          <w:lang w:val="en-GB"/>
        </w:rPr>
        <w:fldChar w:fldCharType="begin"/>
      </w:r>
      <w:r w:rsidRPr="00786E3C">
        <w:rPr>
          <w:lang w:val="en-GB"/>
        </w:rPr>
        <w:instrText xml:space="preserve"> REF _Ref188522223 \r \h </w:instrText>
      </w:r>
      <w:r w:rsidR="00786E3C">
        <w:rPr>
          <w:lang w:val="en-GB"/>
        </w:rPr>
        <w:instrText xml:space="preserve"> \* MERGEFORMAT </w:instrText>
      </w:r>
      <w:r w:rsidRPr="00786E3C">
        <w:rPr>
          <w:lang w:val="en-GB"/>
        </w:rPr>
      </w:r>
      <w:r w:rsidRPr="00786E3C">
        <w:rPr>
          <w:lang w:val="en-GB"/>
        </w:rPr>
        <w:fldChar w:fldCharType="separate"/>
      </w:r>
      <w:r w:rsidR="00073B22">
        <w:rPr>
          <w:lang w:val="en-GB"/>
        </w:rPr>
        <w:t>4.1</w:t>
      </w:r>
      <w:r w:rsidRPr="00786E3C">
        <w:rPr>
          <w:lang w:val="en-GB"/>
        </w:rPr>
        <w:fldChar w:fldCharType="end"/>
      </w:r>
      <w:r w:rsidRPr="00786E3C">
        <w:rPr>
          <w:lang w:val="en-GB"/>
        </w:rPr>
        <w:t xml:space="preserve"> within </w:t>
      </w:r>
      <w:r w:rsidR="00D4139C">
        <w:rPr>
          <w:lang w:val="en-GB"/>
        </w:rPr>
        <w:t>20 (twenty)</w:t>
      </w:r>
      <w:r w:rsidRPr="00786E3C">
        <w:rPr>
          <w:lang w:val="en-GB"/>
        </w:rPr>
        <w:t xml:space="preserve"> </w:t>
      </w:r>
      <w:r w:rsidR="008B55FE">
        <w:rPr>
          <w:lang w:val="en-GB"/>
        </w:rPr>
        <w:t xml:space="preserve">business </w:t>
      </w:r>
      <w:r w:rsidRPr="00786E3C">
        <w:rPr>
          <w:lang w:val="en-GB"/>
        </w:rPr>
        <w:t>days as of the receipt.</w:t>
      </w:r>
      <w:r w:rsidR="008B55FE">
        <w:rPr>
          <w:lang w:val="en-GB"/>
        </w:rPr>
        <w:t xml:space="preserve"> Upon each relevant distribution of the portion of the Sale Proceeds, the Company shall be entitled to take steps </w:t>
      </w:r>
      <w:r w:rsidR="008B55FE">
        <w:rPr>
          <w:lang w:val="en-GB"/>
        </w:rPr>
        <w:lastRenderedPageBreak/>
        <w:t xml:space="preserve">to reduce the nominal value of each Note as further specified in the relevant Note Terms. </w:t>
      </w:r>
      <w:r w:rsidR="0086497A">
        <w:rPr>
          <w:lang w:val="en-GB"/>
        </w:rPr>
        <w:t xml:space="preserve"> </w:t>
      </w:r>
    </w:p>
    <w:p w14:paraId="6EC2EB9A" w14:textId="02555E32" w:rsidR="00E8333C" w:rsidRPr="0002453F" w:rsidRDefault="00E8333C" w:rsidP="00E8333C">
      <w:pPr>
        <w:pStyle w:val="Heading2"/>
        <w:rPr>
          <w:lang w:val="en-GB"/>
        </w:rPr>
      </w:pPr>
      <w:r w:rsidRPr="00786E3C">
        <w:rPr>
          <w:lang w:val="en-GB"/>
        </w:rPr>
        <w:t xml:space="preserve">Upon distribution of </w:t>
      </w:r>
      <w:r w:rsidR="00C911BF" w:rsidRPr="00786E3C">
        <w:rPr>
          <w:lang w:val="en-GB"/>
        </w:rPr>
        <w:t xml:space="preserve">all </w:t>
      </w:r>
      <w:r w:rsidRPr="00786E3C">
        <w:rPr>
          <w:lang w:val="en-GB"/>
        </w:rPr>
        <w:t xml:space="preserve">the Distribution Proceeds according to Section </w:t>
      </w:r>
      <w:r w:rsidRPr="00786E3C">
        <w:rPr>
          <w:lang w:val="en-GB"/>
        </w:rPr>
        <w:fldChar w:fldCharType="begin"/>
      </w:r>
      <w:r w:rsidRPr="00786E3C">
        <w:rPr>
          <w:lang w:val="en-GB"/>
        </w:rPr>
        <w:instrText xml:space="preserve"> REF _Ref188524993 \r \h </w:instrText>
      </w:r>
      <w:r w:rsidR="00D66BC6" w:rsidRPr="00786E3C">
        <w:rPr>
          <w:lang w:val="en-GB"/>
        </w:rPr>
        <w:instrText xml:space="preserve"> \* MERGEFORMAT </w:instrText>
      </w:r>
      <w:r w:rsidRPr="00786E3C">
        <w:rPr>
          <w:lang w:val="en-GB"/>
        </w:rPr>
      </w:r>
      <w:r w:rsidRPr="00786E3C">
        <w:rPr>
          <w:lang w:val="en-GB"/>
        </w:rPr>
        <w:fldChar w:fldCharType="separate"/>
      </w:r>
      <w:r w:rsidR="00073B22">
        <w:rPr>
          <w:lang w:val="en-GB"/>
        </w:rPr>
        <w:t>4.1.3</w:t>
      </w:r>
      <w:r w:rsidRPr="00786E3C">
        <w:rPr>
          <w:lang w:val="en-GB"/>
        </w:rPr>
        <w:fldChar w:fldCharType="end"/>
      </w:r>
      <w:r w:rsidRPr="00786E3C">
        <w:rPr>
          <w:lang w:val="en-GB"/>
        </w:rPr>
        <w:t xml:space="preserve">, </w:t>
      </w:r>
      <w:r w:rsidR="008B55FE">
        <w:rPr>
          <w:lang w:val="en-GB"/>
        </w:rPr>
        <w:t xml:space="preserve">all Restructured Financial Obligations shall be deemed fulfilled and terminated and </w:t>
      </w:r>
      <w:r w:rsidRPr="00786E3C">
        <w:rPr>
          <w:lang w:val="en-GB"/>
        </w:rPr>
        <w:t xml:space="preserve">the Notes will be considered </w:t>
      </w:r>
      <w:r w:rsidR="008B55FE">
        <w:rPr>
          <w:lang w:val="en-GB"/>
        </w:rPr>
        <w:t xml:space="preserve">fully </w:t>
      </w:r>
      <w:r w:rsidRPr="00786E3C">
        <w:rPr>
          <w:lang w:val="en-GB"/>
        </w:rPr>
        <w:t xml:space="preserve">redeemed and will be deleted from the ERS / Nasdaq CSD in accordance with the </w:t>
      </w:r>
      <w:r w:rsidRPr="0002453F">
        <w:rPr>
          <w:lang w:val="en-GB"/>
        </w:rPr>
        <w:t>Note Terms.</w:t>
      </w:r>
      <w:r w:rsidR="00806BD6" w:rsidRPr="0002453F">
        <w:rPr>
          <w:lang w:val="en-GB"/>
        </w:rPr>
        <w:t xml:space="preserve"> </w:t>
      </w:r>
    </w:p>
    <w:p w14:paraId="754CFAFC" w14:textId="62187EDC" w:rsidR="00C4224B" w:rsidRDefault="00C4224B" w:rsidP="00356872">
      <w:pPr>
        <w:pStyle w:val="Heading1"/>
        <w:rPr>
          <w:lang w:val="en-GB"/>
        </w:rPr>
      </w:pPr>
      <w:bookmarkStart w:id="14" w:name="_Ref193451260"/>
      <w:r>
        <w:rPr>
          <w:lang w:val="en-GB"/>
        </w:rPr>
        <w:t>DISTRIBUTION OF PROCEEDS FROM ENFORCEMENT OF COLLATERAL IN CASE OF EXTRAORDINARY EARLY REDEMPTION OF SECURED NOTES</w:t>
      </w:r>
      <w:bookmarkEnd w:id="14"/>
    </w:p>
    <w:p w14:paraId="304C5D42" w14:textId="460F67AA" w:rsidR="0072036D" w:rsidRDefault="00C4224B" w:rsidP="00C4224B">
      <w:pPr>
        <w:pStyle w:val="Heading2"/>
        <w:rPr>
          <w:lang w:val="en-GB"/>
        </w:rPr>
      </w:pPr>
      <w:r>
        <w:rPr>
          <w:lang w:val="en-GB"/>
        </w:rPr>
        <w:t xml:space="preserve">In case </w:t>
      </w:r>
      <w:r w:rsidR="0072036D">
        <w:rPr>
          <w:lang w:val="en-GB"/>
        </w:rPr>
        <w:t>an “Extraordinary Early Redemption Event” occurs as stipulated in clause 8.1 of the Secured Note Terms and as result of such event the right to enforce the “Collateral” (as defined in the Secured Note Terms; the “</w:t>
      </w:r>
      <w:r w:rsidR="0072036D">
        <w:rPr>
          <w:b/>
          <w:bCs/>
          <w:lang w:val="en-GB"/>
        </w:rPr>
        <w:t>Collateral</w:t>
      </w:r>
      <w:r w:rsidR="0072036D">
        <w:rPr>
          <w:lang w:val="en-GB"/>
        </w:rPr>
        <w:t>”) is exercised pursuant to Clause 10 of the Secured Note Terms and/or the assets forming part of the Collateral are sold</w:t>
      </w:r>
      <w:r w:rsidR="001C77FB">
        <w:rPr>
          <w:lang w:val="en-GB"/>
        </w:rPr>
        <w:t xml:space="preserve"> in any proceedings</w:t>
      </w:r>
      <w:r w:rsidR="0072036D">
        <w:rPr>
          <w:lang w:val="en-GB"/>
        </w:rPr>
        <w:t>:</w:t>
      </w:r>
    </w:p>
    <w:p w14:paraId="34FB1D33" w14:textId="6FE00CB9" w:rsidR="001C77FB" w:rsidRDefault="001C77FB" w:rsidP="0072036D">
      <w:pPr>
        <w:pStyle w:val="Heading3"/>
        <w:rPr>
          <w:lang w:val="en-GB"/>
        </w:rPr>
      </w:pPr>
      <w:r>
        <w:rPr>
          <w:lang w:val="en-GB"/>
        </w:rPr>
        <w:t xml:space="preserve">the rights and obligations of the Company set forth in Clause </w:t>
      </w:r>
      <w:r>
        <w:rPr>
          <w:lang w:val="en-GB"/>
        </w:rPr>
        <w:fldChar w:fldCharType="begin"/>
      </w:r>
      <w:r>
        <w:rPr>
          <w:lang w:val="en-GB"/>
        </w:rPr>
        <w:instrText xml:space="preserve"> REF _Ref192595999 \r \h </w:instrText>
      </w:r>
      <w:r>
        <w:rPr>
          <w:lang w:val="en-GB"/>
        </w:rPr>
      </w:r>
      <w:r>
        <w:rPr>
          <w:lang w:val="en-GB"/>
        </w:rPr>
        <w:fldChar w:fldCharType="separate"/>
      </w:r>
      <w:r w:rsidR="00073B22">
        <w:rPr>
          <w:lang w:val="en-GB"/>
        </w:rPr>
        <w:t>3</w:t>
      </w:r>
      <w:r>
        <w:rPr>
          <w:lang w:val="en-GB"/>
        </w:rPr>
        <w:fldChar w:fldCharType="end"/>
      </w:r>
      <w:r>
        <w:rPr>
          <w:lang w:val="en-GB"/>
        </w:rPr>
        <w:t xml:space="preserve"> shall no longer apply with respect to the arranging and carrying out the sale of the assets forming part of the Collateral; and </w:t>
      </w:r>
    </w:p>
    <w:p w14:paraId="67F2B152" w14:textId="347FD8CB" w:rsidR="001C77FB" w:rsidRPr="001C77FB" w:rsidRDefault="0072036D" w:rsidP="004D123C">
      <w:pPr>
        <w:pStyle w:val="Heading3"/>
        <w:rPr>
          <w:lang w:val="en-GB"/>
        </w:rPr>
      </w:pPr>
      <w:r>
        <w:rPr>
          <w:lang w:val="en-GB"/>
        </w:rPr>
        <w:t xml:space="preserve">the principles of sharing of proceeds stipulated in Clause </w:t>
      </w:r>
      <w:r w:rsidR="001C77FB">
        <w:rPr>
          <w:lang w:val="en-GB"/>
        </w:rPr>
        <w:fldChar w:fldCharType="begin"/>
      </w:r>
      <w:r w:rsidR="001C77FB">
        <w:rPr>
          <w:lang w:val="en-GB"/>
        </w:rPr>
        <w:instrText xml:space="preserve"> REF _Ref192595827 \r \h </w:instrText>
      </w:r>
      <w:r w:rsidR="001C77FB">
        <w:rPr>
          <w:lang w:val="en-GB"/>
        </w:rPr>
      </w:r>
      <w:r w:rsidR="001C77FB">
        <w:rPr>
          <w:lang w:val="en-GB"/>
        </w:rPr>
        <w:fldChar w:fldCharType="separate"/>
      </w:r>
      <w:r w:rsidR="00073B22">
        <w:rPr>
          <w:lang w:val="en-GB"/>
        </w:rPr>
        <w:t>4</w:t>
      </w:r>
      <w:r w:rsidR="001C77FB">
        <w:rPr>
          <w:lang w:val="en-GB"/>
        </w:rPr>
        <w:fldChar w:fldCharType="end"/>
      </w:r>
      <w:r w:rsidR="001C77FB">
        <w:rPr>
          <w:lang w:val="en-GB"/>
        </w:rPr>
        <w:t xml:space="preserve"> shall not apply, and instead the</w:t>
      </w:r>
      <w:r>
        <w:rPr>
          <w:lang w:val="en-GB"/>
        </w:rPr>
        <w:t xml:space="preserve"> proceeds </w:t>
      </w:r>
      <w:r w:rsidRPr="0072036D">
        <w:rPr>
          <w:lang w:val="en-GB"/>
        </w:rPr>
        <w:t>from the enforcement of the Collateral</w:t>
      </w:r>
      <w:r>
        <w:rPr>
          <w:lang w:val="en-GB"/>
        </w:rPr>
        <w:t xml:space="preserve"> shall be </w:t>
      </w:r>
      <w:r w:rsidR="001C77FB">
        <w:rPr>
          <w:lang w:val="en-GB"/>
        </w:rPr>
        <w:t xml:space="preserve">applied in accordance with Clause 11 of the Secured Note Terms </w:t>
      </w:r>
      <w:r w:rsidR="001C77FB" w:rsidRPr="001C77FB">
        <w:rPr>
          <w:rFonts w:cs="Arial"/>
          <w:lang w:val="en-GB"/>
        </w:rPr>
        <w:t>in the following order of</w:t>
      </w:r>
      <w:r w:rsidR="001C77FB" w:rsidRPr="001C77FB">
        <w:rPr>
          <w:rFonts w:cs="Arial"/>
          <w:spacing w:val="-11"/>
          <w:lang w:val="en-GB"/>
        </w:rPr>
        <w:t xml:space="preserve"> </w:t>
      </w:r>
      <w:r w:rsidR="001C77FB" w:rsidRPr="001C77FB">
        <w:rPr>
          <w:rFonts w:cs="Arial"/>
          <w:lang w:val="en-GB"/>
        </w:rPr>
        <w:t>priority:</w:t>
      </w:r>
      <w:r w:rsidR="001C77FB">
        <w:rPr>
          <w:rFonts w:cs="Arial"/>
          <w:lang w:val="en-GB"/>
        </w:rPr>
        <w:t xml:space="preserve"> </w:t>
      </w:r>
    </w:p>
    <w:p w14:paraId="648975F2" w14:textId="44FBD2C4" w:rsidR="001C77FB" w:rsidRPr="00EE0BBB" w:rsidRDefault="001C77FB" w:rsidP="00EE0BBB">
      <w:pPr>
        <w:pStyle w:val="Heading4"/>
        <w:rPr>
          <w:lang w:val="en-GB"/>
        </w:rPr>
      </w:pPr>
      <w:bookmarkStart w:id="15" w:name="_Ref26609542"/>
      <w:r w:rsidRPr="00EE0BBB">
        <w:rPr>
          <w:lang w:val="en-GB"/>
        </w:rPr>
        <w:t xml:space="preserve">first, towards the satisfaction and payment of fees, costs and expenses of the Collateral Agent as per Clause 11.1 of the Secured </w:t>
      </w:r>
      <w:proofErr w:type="gramStart"/>
      <w:r w:rsidRPr="00EE0BBB">
        <w:rPr>
          <w:lang w:val="en-GB"/>
        </w:rPr>
        <w:t>Terms;</w:t>
      </w:r>
      <w:bookmarkEnd w:id="15"/>
      <w:proofErr w:type="gramEnd"/>
    </w:p>
    <w:p w14:paraId="087EC472" w14:textId="1AA60823" w:rsidR="001C77FB" w:rsidRPr="00EE0BBB" w:rsidRDefault="001C77FB" w:rsidP="00EE0BBB">
      <w:pPr>
        <w:pStyle w:val="Heading4"/>
        <w:rPr>
          <w:lang w:val="en-GB"/>
        </w:rPr>
      </w:pPr>
      <w:bookmarkStart w:id="16" w:name="_Ref26610612"/>
      <w:r w:rsidRPr="00EE0BBB">
        <w:rPr>
          <w:lang w:val="en-GB"/>
        </w:rPr>
        <w:t xml:space="preserve">second, towards the repayment of the Senior </w:t>
      </w:r>
      <w:proofErr w:type="gramStart"/>
      <w:r w:rsidRPr="00EE0BBB">
        <w:rPr>
          <w:lang w:val="en-GB"/>
        </w:rPr>
        <w:t>Financing;</w:t>
      </w:r>
      <w:proofErr w:type="gramEnd"/>
    </w:p>
    <w:p w14:paraId="024302BD" w14:textId="0CF18024" w:rsidR="001C77FB" w:rsidRPr="00EE0BBB" w:rsidRDefault="001C77FB" w:rsidP="00EE0BBB">
      <w:pPr>
        <w:pStyle w:val="Heading4"/>
        <w:rPr>
          <w:lang w:val="en-GB"/>
        </w:rPr>
      </w:pPr>
      <w:r w:rsidRPr="00EE0BBB">
        <w:rPr>
          <w:lang w:val="en-GB"/>
        </w:rPr>
        <w:t>third, in payment of the claims of the Secured Noteholders arising under the Secured Note Terms</w:t>
      </w:r>
      <w:bookmarkEnd w:id="16"/>
      <w:r w:rsidR="000F54C8" w:rsidRPr="00EE0BBB">
        <w:rPr>
          <w:lang w:val="en-GB"/>
        </w:rPr>
        <w:t xml:space="preserve"> and relating Final Terms</w:t>
      </w:r>
      <w:r w:rsidRPr="00EE0BBB">
        <w:rPr>
          <w:lang w:val="en-GB"/>
        </w:rPr>
        <w:t>; and</w:t>
      </w:r>
    </w:p>
    <w:p w14:paraId="767E0D50" w14:textId="4655E5A4" w:rsidR="00C4224B" w:rsidRPr="00EE0BBB" w:rsidRDefault="001C77FB" w:rsidP="00EE0BBB">
      <w:pPr>
        <w:pStyle w:val="Heading4"/>
        <w:rPr>
          <w:lang w:val="en-GB"/>
        </w:rPr>
      </w:pPr>
      <w:r w:rsidRPr="00EE0BBB">
        <w:rPr>
          <w:lang w:val="en-GB"/>
        </w:rPr>
        <w:t xml:space="preserve">finally, any remaining proceeds shall be returned to the Company or the relevant </w:t>
      </w:r>
      <w:r w:rsidR="000F54C8" w:rsidRPr="00EE0BBB">
        <w:rPr>
          <w:lang w:val="en-GB"/>
        </w:rPr>
        <w:t xml:space="preserve">Group company being the </w:t>
      </w:r>
      <w:r w:rsidRPr="00EE0BBB">
        <w:rPr>
          <w:lang w:val="en-GB"/>
        </w:rPr>
        <w:t xml:space="preserve">Collateral </w:t>
      </w:r>
      <w:r w:rsidR="000F54C8" w:rsidRPr="00EE0BBB">
        <w:rPr>
          <w:lang w:val="en-GB"/>
        </w:rPr>
        <w:t>p</w:t>
      </w:r>
      <w:r w:rsidRPr="00EE0BBB">
        <w:rPr>
          <w:lang w:val="en-GB"/>
        </w:rPr>
        <w:t xml:space="preserve">rovider or paid to the persons entitled to receive such proceeds in accordance with mandatory provisions of law. </w:t>
      </w:r>
      <w:r w:rsidRPr="001C77FB">
        <w:rPr>
          <w:lang w:val="en-GB"/>
        </w:rPr>
        <w:t xml:space="preserve">  </w:t>
      </w:r>
      <w:r w:rsidR="0072036D" w:rsidRPr="001C77FB">
        <w:rPr>
          <w:lang w:val="en-GB"/>
        </w:rPr>
        <w:t xml:space="preserve">  </w:t>
      </w:r>
    </w:p>
    <w:p w14:paraId="203D66AC" w14:textId="7BE6A48C" w:rsidR="00DC6F82" w:rsidRDefault="00A73445" w:rsidP="00356872">
      <w:pPr>
        <w:pStyle w:val="Heading1"/>
        <w:rPr>
          <w:lang w:val="en-GB"/>
        </w:rPr>
      </w:pPr>
      <w:r>
        <w:rPr>
          <w:lang w:val="en-GB"/>
        </w:rPr>
        <w:t xml:space="preserve">UNDERTAKING TO </w:t>
      </w:r>
      <w:r w:rsidR="00963412">
        <w:rPr>
          <w:lang w:val="en-GB"/>
        </w:rPr>
        <w:t>safeguard</w:t>
      </w:r>
      <w:r>
        <w:rPr>
          <w:lang w:val="en-GB"/>
        </w:rPr>
        <w:t xml:space="preserve"> SENIORITY OF sENIOR fINANCING AND </w:t>
      </w:r>
      <w:r w:rsidR="00DC6F82" w:rsidRPr="0002453F">
        <w:rPr>
          <w:lang w:val="en-GB"/>
        </w:rPr>
        <w:t>general undertaking</w:t>
      </w:r>
      <w:r w:rsidR="00E230E1">
        <w:rPr>
          <w:lang w:val="en-GB"/>
        </w:rPr>
        <w:t xml:space="preserve"> of COOPERATION</w:t>
      </w:r>
    </w:p>
    <w:p w14:paraId="046B3876" w14:textId="794A1880" w:rsidR="003F25CD" w:rsidRPr="0073684E" w:rsidRDefault="00D647A7" w:rsidP="00951CEB">
      <w:pPr>
        <w:pStyle w:val="Heading2"/>
        <w:rPr>
          <w:lang w:val="en-GB"/>
        </w:rPr>
      </w:pPr>
      <w:r>
        <w:rPr>
          <w:lang w:val="en-GB"/>
        </w:rPr>
        <w:t>It is agreed in this Agreement and other Restructuring Documents that the Senior Financing will have priority and rank senior to other Restructured Financial Obligations. Among other, p</w:t>
      </w:r>
      <w:r w:rsidR="005A28E3">
        <w:rPr>
          <w:lang w:val="en-GB"/>
        </w:rPr>
        <w:t>ursuant to the Note Terms, i</w:t>
      </w:r>
      <w:r w:rsidR="003F25CD">
        <w:rPr>
          <w:lang w:val="en-GB"/>
        </w:rPr>
        <w:t>t is agreed</w:t>
      </w:r>
      <w:r>
        <w:rPr>
          <w:lang w:val="en-GB"/>
        </w:rPr>
        <w:t xml:space="preserve"> </w:t>
      </w:r>
      <w:r w:rsidR="003F25CD">
        <w:rPr>
          <w:lang w:val="en-GB"/>
        </w:rPr>
        <w:t xml:space="preserve">that </w:t>
      </w:r>
      <w:r w:rsidR="005A28E3">
        <w:rPr>
          <w:lang w:val="en-GB"/>
        </w:rPr>
        <w:t xml:space="preserve">the Notes shall </w:t>
      </w:r>
      <w:r w:rsidR="005A28E3" w:rsidRPr="005A28E3">
        <w:rPr>
          <w:lang w:val="en-GB"/>
        </w:rPr>
        <w:t>rank junior to the present and future obligations arising under the Senior Financing</w:t>
      </w:r>
      <w:r w:rsidR="005A28E3">
        <w:rPr>
          <w:lang w:val="en-GB"/>
        </w:rPr>
        <w:t xml:space="preserve"> and such junior</w:t>
      </w:r>
      <w:r w:rsidR="005A28E3" w:rsidRPr="005A28E3">
        <w:rPr>
          <w:lang w:val="en-GB"/>
        </w:rPr>
        <w:t xml:space="preserve"> ranking shall be applied and enforced upon distribution of any amounts, proceeds or assets of the Issuer</w:t>
      </w:r>
      <w:r w:rsidR="005A28E3">
        <w:rPr>
          <w:lang w:val="en-GB"/>
        </w:rPr>
        <w:t xml:space="preserve"> and its subsidiaries</w:t>
      </w:r>
      <w:r w:rsidR="005A28E3" w:rsidRPr="005A28E3">
        <w:rPr>
          <w:lang w:val="en-GB"/>
        </w:rPr>
        <w:t xml:space="preserve"> (including in any liquidation, bankruptcy, enforcement or other proceedings in respect of the Issuer</w:t>
      </w:r>
      <w:r w:rsidR="00963412">
        <w:rPr>
          <w:lang w:val="en-GB"/>
        </w:rPr>
        <w:t xml:space="preserve"> </w:t>
      </w:r>
      <w:r w:rsidR="005A28E3">
        <w:rPr>
          <w:lang w:val="en-GB"/>
        </w:rPr>
        <w:t>or its subsidiaries</w:t>
      </w:r>
      <w:r w:rsidR="005A28E3" w:rsidRPr="005A28E3">
        <w:rPr>
          <w:lang w:val="en-GB"/>
        </w:rPr>
        <w:t xml:space="preserve"> or any of </w:t>
      </w:r>
      <w:r w:rsidR="005A28E3">
        <w:rPr>
          <w:lang w:val="en-GB"/>
        </w:rPr>
        <w:t xml:space="preserve">their </w:t>
      </w:r>
      <w:r w:rsidR="005A28E3" w:rsidRPr="005A28E3">
        <w:rPr>
          <w:lang w:val="en-GB"/>
        </w:rPr>
        <w:t>assets). For the avoidance of doubt and without prejudice to the generality of the foregoing, th</w:t>
      </w:r>
      <w:r w:rsidR="00963412">
        <w:rPr>
          <w:lang w:val="en-GB"/>
        </w:rPr>
        <w:t xml:space="preserve">is </w:t>
      </w:r>
      <w:r w:rsidR="005A28E3" w:rsidRPr="005A28E3">
        <w:rPr>
          <w:lang w:val="en-GB"/>
        </w:rPr>
        <w:t xml:space="preserve">shall, among other, constitute an agreement on assigning a lower ranking to the </w:t>
      </w:r>
      <w:r w:rsidR="005A28E3" w:rsidRPr="005A28E3">
        <w:rPr>
          <w:lang w:val="en-US"/>
        </w:rPr>
        <w:t xml:space="preserve">Notes and to the obligations arising therefrom </w:t>
      </w:r>
      <w:r w:rsidR="005A28E3" w:rsidRPr="005A28E3">
        <w:rPr>
          <w:lang w:val="en-GB"/>
        </w:rPr>
        <w:t xml:space="preserve">than the ranking of the Senior Financing within the meaning of § </w:t>
      </w:r>
      <w:bookmarkStart w:id="17" w:name="_Hlk193979876"/>
      <w:r w:rsidR="005A28E3" w:rsidRPr="005A28E3">
        <w:t>153 (</w:t>
      </w:r>
      <w:r w:rsidR="005A28E3" w:rsidRPr="005A28E3">
        <w:rPr>
          <w:lang w:val="en-GB"/>
        </w:rPr>
        <w:t>4</w:t>
      </w:r>
      <w:r w:rsidR="005A28E3" w:rsidRPr="005A28E3">
        <w:rPr>
          <w:vertAlign w:val="superscript"/>
          <w:lang w:val="en-GB"/>
        </w:rPr>
        <w:t>1</w:t>
      </w:r>
      <w:r w:rsidR="005A28E3" w:rsidRPr="005A28E3">
        <w:t>)</w:t>
      </w:r>
      <w:r w:rsidR="005A28E3" w:rsidRPr="005A28E3">
        <w:rPr>
          <w:lang w:val="en-GB"/>
        </w:rPr>
        <w:t xml:space="preserve"> of the Bankruptcy Act</w:t>
      </w:r>
      <w:bookmarkEnd w:id="17"/>
      <w:r w:rsidR="005A28E3" w:rsidRPr="005A28E3">
        <w:rPr>
          <w:lang w:val="en-GB"/>
        </w:rPr>
        <w:t xml:space="preserve"> (in Estonian: </w:t>
      </w:r>
      <w:proofErr w:type="spellStart"/>
      <w:r w:rsidR="005A28E3" w:rsidRPr="005A28E3">
        <w:rPr>
          <w:i/>
          <w:lang w:val="en-GB"/>
        </w:rPr>
        <w:t>pankrotiseadus</w:t>
      </w:r>
      <w:proofErr w:type="spellEnd"/>
      <w:r w:rsidR="005A28E3" w:rsidRPr="005A28E3">
        <w:rPr>
          <w:lang w:val="en-GB"/>
        </w:rPr>
        <w:t xml:space="preserve">), regardless of the </w:t>
      </w:r>
      <w:r w:rsidR="00963412">
        <w:rPr>
          <w:lang w:val="en-GB"/>
        </w:rPr>
        <w:t xml:space="preserve">Secured </w:t>
      </w:r>
      <w:r w:rsidR="005A28E3" w:rsidRPr="005A28E3">
        <w:rPr>
          <w:lang w:val="en-GB"/>
        </w:rPr>
        <w:t>Notes being secured with the Collateral</w:t>
      </w:r>
      <w:r w:rsidR="00963412" w:rsidRPr="00963412">
        <w:rPr>
          <w:lang w:val="en-GB"/>
        </w:rPr>
        <w:t xml:space="preserve"> </w:t>
      </w:r>
      <w:r w:rsidR="00963412" w:rsidRPr="00135073">
        <w:rPr>
          <w:lang w:val="en-GB"/>
        </w:rPr>
        <w:t xml:space="preserve">and regardless of provisions of </w:t>
      </w:r>
      <w:r w:rsidR="00963412" w:rsidRPr="00135073">
        <w:t>153 (2)</w:t>
      </w:r>
      <w:r w:rsidR="00963412" w:rsidRPr="00135073">
        <w:rPr>
          <w:lang w:val="en-GB"/>
        </w:rPr>
        <w:t xml:space="preserve"> of the Bankruptcy Act</w:t>
      </w:r>
      <w:r w:rsidR="005A28E3" w:rsidRPr="005A28E3">
        <w:rPr>
          <w:lang w:val="en-GB"/>
        </w:rPr>
        <w:t xml:space="preserve">, and the agreement by the Noteholders that the </w:t>
      </w:r>
      <w:r w:rsidR="005A28E3" w:rsidRPr="005A28E3">
        <w:rPr>
          <w:lang w:val="en-US"/>
        </w:rPr>
        <w:t>obligations arising</w:t>
      </w:r>
      <w:r w:rsidR="005A28E3" w:rsidRPr="005A28E3">
        <w:rPr>
          <w:lang w:val="en-GB"/>
        </w:rPr>
        <w:t xml:space="preserve"> from the Notes shall be discharged after the full and final discharge of the obligations arising from the Senior Financing. </w:t>
      </w:r>
    </w:p>
    <w:p w14:paraId="25FC75F7" w14:textId="4F414F53" w:rsidR="00A73445" w:rsidRDefault="00D647A7" w:rsidP="00DC6F82">
      <w:pPr>
        <w:pStyle w:val="Heading2"/>
        <w:rPr>
          <w:lang w:val="en-GB"/>
        </w:rPr>
      </w:pPr>
      <w:r>
        <w:rPr>
          <w:lang w:val="en-GB"/>
        </w:rPr>
        <w:lastRenderedPageBreak/>
        <w:t>In any situations or proceedings involving</w:t>
      </w:r>
      <w:r w:rsidR="00DA6C46">
        <w:rPr>
          <w:lang w:val="en-GB"/>
        </w:rPr>
        <w:t xml:space="preserve"> distribution of any proceeds from the sale of the Core Assets or the </w:t>
      </w:r>
      <w:r w:rsidR="00963412">
        <w:rPr>
          <w:lang w:val="en-GB"/>
        </w:rPr>
        <w:t xml:space="preserve">enforcement of the </w:t>
      </w:r>
      <w:r w:rsidR="00DA6C46">
        <w:rPr>
          <w:lang w:val="en-GB"/>
        </w:rPr>
        <w:t>Collateral (including in any enforcement, bankruptcy, liquidation or any other proceedings)</w:t>
      </w:r>
      <w:r w:rsidR="00963412">
        <w:rPr>
          <w:lang w:val="en-GB"/>
        </w:rPr>
        <w:t>,</w:t>
      </w:r>
      <w:r w:rsidR="00DA6C46">
        <w:rPr>
          <w:lang w:val="en-GB"/>
        </w:rPr>
        <w:t xml:space="preserve"> </w:t>
      </w:r>
      <w:r w:rsidR="00963412">
        <w:rPr>
          <w:lang w:val="en-GB"/>
        </w:rPr>
        <w:t>t</w:t>
      </w:r>
      <w:r w:rsidR="00A73445">
        <w:rPr>
          <w:lang w:val="en-GB"/>
        </w:rPr>
        <w:t xml:space="preserve">he Company, </w:t>
      </w:r>
      <w:r w:rsidR="00902A27" w:rsidRPr="001B3921">
        <w:rPr>
          <w:lang w:val="en-GB"/>
        </w:rPr>
        <w:t>its relevant subsidiaries</w:t>
      </w:r>
      <w:r w:rsidR="00A73445" w:rsidRPr="001B3921">
        <w:rPr>
          <w:lang w:val="en-GB"/>
        </w:rPr>
        <w:t xml:space="preserve"> and the Noteholders shall take all reasonable steps </w:t>
      </w:r>
      <w:r w:rsidR="00963412" w:rsidRPr="001B3921">
        <w:rPr>
          <w:lang w:val="en-GB"/>
        </w:rPr>
        <w:t xml:space="preserve">and use reasonable efforts </w:t>
      </w:r>
      <w:r w:rsidR="00A73445" w:rsidRPr="001B3921">
        <w:rPr>
          <w:lang w:val="en-GB"/>
        </w:rPr>
        <w:t>to ensure that the Senior Financing</w:t>
      </w:r>
      <w:r w:rsidR="00A73445">
        <w:rPr>
          <w:lang w:val="en-GB"/>
        </w:rPr>
        <w:t xml:space="preserve"> is repaid in ful</w:t>
      </w:r>
      <w:r w:rsidR="00963412">
        <w:rPr>
          <w:lang w:val="en-GB"/>
        </w:rPr>
        <w:t xml:space="preserve">l </w:t>
      </w:r>
      <w:r w:rsidR="00A73445">
        <w:rPr>
          <w:lang w:val="en-GB"/>
        </w:rPr>
        <w:t>before</w:t>
      </w:r>
      <w:r w:rsidR="00902A27">
        <w:rPr>
          <w:lang w:val="en-GB"/>
        </w:rPr>
        <w:t xml:space="preserve"> payment of any amounts to</w:t>
      </w:r>
      <w:r w:rsidR="005A28E3">
        <w:rPr>
          <w:lang w:val="en-GB"/>
        </w:rPr>
        <w:t>,</w:t>
      </w:r>
      <w:r w:rsidR="00902A27">
        <w:rPr>
          <w:lang w:val="en-GB"/>
        </w:rPr>
        <w:t xml:space="preserve"> or satisfaction of any claims of</w:t>
      </w:r>
      <w:r w:rsidR="005A28E3">
        <w:rPr>
          <w:lang w:val="en-GB"/>
        </w:rPr>
        <w:t>,</w:t>
      </w:r>
      <w:r w:rsidR="00902A27">
        <w:rPr>
          <w:lang w:val="en-GB"/>
        </w:rPr>
        <w:t xml:space="preserve"> the Secured Noteholders, Convertible Noteholders and Unsecured Lender</w:t>
      </w:r>
      <w:r w:rsidR="005A28E3">
        <w:rPr>
          <w:lang w:val="en-GB"/>
        </w:rPr>
        <w:t>.</w:t>
      </w:r>
      <w:r w:rsidR="00902A27">
        <w:rPr>
          <w:lang w:val="en-GB"/>
        </w:rPr>
        <w:t xml:space="preserve"> </w:t>
      </w:r>
      <w:r w:rsidR="00963412">
        <w:rPr>
          <w:lang w:val="en-GB"/>
        </w:rPr>
        <w:t>The</w:t>
      </w:r>
      <w:r w:rsidR="00963412" w:rsidRPr="00963412">
        <w:rPr>
          <w:rFonts w:eastAsiaTheme="minorHAnsi"/>
          <w:lang w:val="en-GB"/>
        </w:rPr>
        <w:t xml:space="preserve"> </w:t>
      </w:r>
      <w:r w:rsidR="00963412" w:rsidRPr="00963412">
        <w:rPr>
          <w:lang w:val="en-GB"/>
        </w:rPr>
        <w:t>Noteholders</w:t>
      </w:r>
      <w:r w:rsidR="00963412">
        <w:rPr>
          <w:lang w:val="en-GB"/>
        </w:rPr>
        <w:t xml:space="preserve"> </w:t>
      </w:r>
      <w:r>
        <w:rPr>
          <w:lang w:val="en-GB"/>
        </w:rPr>
        <w:t>shall (</w:t>
      </w:r>
      <w:r w:rsidR="00963412">
        <w:rPr>
          <w:lang w:val="en-GB"/>
        </w:rPr>
        <w:t>and</w:t>
      </w:r>
      <w:r>
        <w:rPr>
          <w:lang w:val="en-GB"/>
        </w:rPr>
        <w:t xml:space="preserve"> hereby authorise and instruct</w:t>
      </w:r>
      <w:r w:rsidR="00963412">
        <w:rPr>
          <w:lang w:val="en-GB"/>
        </w:rPr>
        <w:t xml:space="preserve"> the Collateral Agent</w:t>
      </w:r>
      <w:r>
        <w:rPr>
          <w:lang w:val="en-GB"/>
        </w:rPr>
        <w:t xml:space="preserve"> to)</w:t>
      </w:r>
      <w:r w:rsidR="00963412">
        <w:rPr>
          <w:lang w:val="en-GB"/>
        </w:rPr>
        <w:t xml:space="preserve"> </w:t>
      </w:r>
      <w:r w:rsidR="00C1355D">
        <w:rPr>
          <w:lang w:val="en-GB"/>
        </w:rPr>
        <w:t xml:space="preserve">indicate and </w:t>
      </w:r>
      <w:r w:rsidR="00F91447">
        <w:rPr>
          <w:lang w:val="en-GB"/>
        </w:rPr>
        <w:t>confirm</w:t>
      </w:r>
      <w:r w:rsidR="00C1355D">
        <w:rPr>
          <w:lang w:val="en-GB"/>
        </w:rPr>
        <w:t xml:space="preserve"> </w:t>
      </w:r>
      <w:r w:rsidR="00F91447">
        <w:rPr>
          <w:lang w:val="en-GB"/>
        </w:rPr>
        <w:t xml:space="preserve">to </w:t>
      </w:r>
      <w:r w:rsidR="00C1355D">
        <w:rPr>
          <w:lang w:val="en-GB"/>
        </w:rPr>
        <w:t xml:space="preserve">any relevant person (including </w:t>
      </w:r>
      <w:r>
        <w:rPr>
          <w:lang w:val="en-GB"/>
        </w:rPr>
        <w:t xml:space="preserve">any </w:t>
      </w:r>
      <w:r w:rsidR="00C1355D">
        <w:rPr>
          <w:lang w:val="en-GB"/>
        </w:rPr>
        <w:t xml:space="preserve">bailiff, bankruptcy trustee, court or any other person or institution) </w:t>
      </w:r>
      <w:r>
        <w:rPr>
          <w:lang w:val="en-GB"/>
        </w:rPr>
        <w:t>that Senior Financing has higher ranking and must be repaid in full</w:t>
      </w:r>
      <w:r w:rsidR="00F91447">
        <w:rPr>
          <w:lang w:val="en-GB"/>
        </w:rPr>
        <w:t xml:space="preserve"> to the Senior Lender</w:t>
      </w:r>
      <w:r>
        <w:rPr>
          <w:lang w:val="en-GB"/>
        </w:rPr>
        <w:t xml:space="preserve"> in any such proceedings before any payments are made to them and, if any payments are paid to them </w:t>
      </w:r>
      <w:r w:rsidR="00F91447">
        <w:rPr>
          <w:lang w:val="en-GB"/>
        </w:rPr>
        <w:t xml:space="preserve">not in compliance with the above, transfer to the Senior Lender such amounts that should have been paid to the Senior Lender pursuant to the above.  </w:t>
      </w:r>
      <w:r>
        <w:rPr>
          <w:lang w:val="en-GB"/>
        </w:rPr>
        <w:t xml:space="preserve"> </w:t>
      </w:r>
      <w:r w:rsidR="00902A27">
        <w:rPr>
          <w:lang w:val="en-GB"/>
        </w:rPr>
        <w:t xml:space="preserve"> </w:t>
      </w:r>
      <w:r w:rsidR="00A73445">
        <w:rPr>
          <w:lang w:val="en-GB"/>
        </w:rPr>
        <w:t xml:space="preserve"> </w:t>
      </w:r>
    </w:p>
    <w:p w14:paraId="70E56CBC" w14:textId="39AC671C" w:rsidR="00DC6F82" w:rsidRPr="0002453F" w:rsidRDefault="00DC6F82" w:rsidP="00DC6F82">
      <w:pPr>
        <w:pStyle w:val="Heading2"/>
        <w:rPr>
          <w:lang w:val="en-GB"/>
        </w:rPr>
      </w:pPr>
      <w:r w:rsidRPr="0002453F">
        <w:rPr>
          <w:lang w:val="en-GB"/>
        </w:rPr>
        <w:t xml:space="preserve">The </w:t>
      </w:r>
      <w:bookmarkStart w:id="18" w:name="_Hlk193976008"/>
      <w:r w:rsidR="00EA71D7">
        <w:rPr>
          <w:lang w:val="en-GB"/>
        </w:rPr>
        <w:t xml:space="preserve">Company, the Sponsor and the Noteholders </w:t>
      </w:r>
      <w:bookmarkEnd w:id="18"/>
      <w:r w:rsidRPr="0002453F">
        <w:rPr>
          <w:lang w:val="en-GB"/>
        </w:rPr>
        <w:t xml:space="preserve">will use their commercially reasonable efforts to take, or cause to be taken, all actions and to do, or cause to be done, all things necessary to consummate and make effective as promptly as possible the transactions contemplated by the Agreement and to co-operate with others in connection with the foregoing. </w:t>
      </w:r>
    </w:p>
    <w:p w14:paraId="537875E1" w14:textId="77777777" w:rsidR="00A36448" w:rsidRPr="0002453F" w:rsidRDefault="00A36448" w:rsidP="00A36448">
      <w:pPr>
        <w:pStyle w:val="Heading1"/>
        <w:rPr>
          <w:lang w:val="en-GB"/>
        </w:rPr>
      </w:pPr>
      <w:bookmarkStart w:id="19" w:name="_Ref193291503"/>
      <w:r w:rsidRPr="0002453F">
        <w:rPr>
          <w:lang w:val="en-GB"/>
        </w:rPr>
        <w:t>applicable law and jurisdiction</w:t>
      </w:r>
      <w:bookmarkEnd w:id="19"/>
    </w:p>
    <w:p w14:paraId="4F4F0ADC" w14:textId="77777777" w:rsidR="00A36448" w:rsidRPr="0002453F" w:rsidRDefault="00A36448" w:rsidP="00A36448">
      <w:pPr>
        <w:pStyle w:val="Heading2"/>
        <w:rPr>
          <w:lang w:val="en-GB"/>
        </w:rPr>
      </w:pPr>
      <w:r w:rsidRPr="0002453F">
        <w:rPr>
          <w:lang w:val="en-GB"/>
        </w:rPr>
        <w:t>This Agreement and any rights or claims arising out of or in connection with this Agreement (including any non-contractual claims) shall be governed by the substantive law of Estonia without giving effect to any applicable laws on conflicts of law.</w:t>
      </w:r>
    </w:p>
    <w:p w14:paraId="266076C3" w14:textId="7788282F" w:rsidR="00A36448" w:rsidRPr="0002453F" w:rsidRDefault="00A36448" w:rsidP="00A36448">
      <w:pPr>
        <w:pStyle w:val="Heading2"/>
        <w:rPr>
          <w:lang w:val="en-GB"/>
        </w:rPr>
      </w:pPr>
      <w:r w:rsidRPr="0002453F">
        <w:rPr>
          <w:lang w:val="en-GB"/>
        </w:rPr>
        <w:t>Any dispute, controversy or claim arising out of or in connection with this Agreement shall be subject to jurisdiction of Harju County Court (</w:t>
      </w:r>
      <w:r w:rsidRPr="0002453F">
        <w:rPr>
          <w:i/>
          <w:iCs/>
          <w:lang w:val="en-GB"/>
        </w:rPr>
        <w:t xml:space="preserve">Harju </w:t>
      </w:r>
      <w:proofErr w:type="spellStart"/>
      <w:r w:rsidRPr="0002453F">
        <w:rPr>
          <w:i/>
          <w:iCs/>
          <w:lang w:val="en-GB"/>
        </w:rPr>
        <w:t>Maakohus</w:t>
      </w:r>
      <w:proofErr w:type="spellEnd"/>
      <w:r w:rsidRPr="0002453F">
        <w:rPr>
          <w:lang w:val="en-GB"/>
        </w:rPr>
        <w:t>) in Estonia as the court of first instance.</w:t>
      </w:r>
    </w:p>
    <w:p w14:paraId="50677917" w14:textId="77777777" w:rsidR="005F446A" w:rsidRPr="0002453F" w:rsidRDefault="005F446A" w:rsidP="005F446A">
      <w:pPr>
        <w:pStyle w:val="Heading1"/>
        <w:rPr>
          <w:lang w:val="en-GB"/>
        </w:rPr>
      </w:pPr>
      <w:bookmarkStart w:id="20" w:name="_Ref189479006"/>
      <w:r w:rsidRPr="0002453F">
        <w:rPr>
          <w:lang w:val="en-GB"/>
        </w:rPr>
        <w:t>FINAL PROVISIONS</w:t>
      </w:r>
      <w:bookmarkEnd w:id="20"/>
    </w:p>
    <w:p w14:paraId="2A507084" w14:textId="28CCA259" w:rsidR="005F446A" w:rsidRPr="004B4540" w:rsidRDefault="005F446A" w:rsidP="005F446A">
      <w:pPr>
        <w:pStyle w:val="Heading2"/>
        <w:rPr>
          <w:rFonts w:cs="Arial"/>
          <w:lang w:val="en-GB"/>
        </w:rPr>
      </w:pPr>
      <w:r w:rsidRPr="0002453F">
        <w:rPr>
          <w:lang w:val="en-GB"/>
        </w:rPr>
        <w:t>This Agreement will enter into force upon signing t</w:t>
      </w:r>
      <w:r w:rsidRPr="004B4540">
        <w:rPr>
          <w:lang w:val="en-GB"/>
        </w:rPr>
        <w:t>hereof and will remain valid until the earlier of (</w:t>
      </w:r>
      <w:proofErr w:type="spellStart"/>
      <w:r w:rsidRPr="004B4540">
        <w:rPr>
          <w:lang w:val="en-GB"/>
        </w:rPr>
        <w:t>i</w:t>
      </w:r>
      <w:proofErr w:type="spellEnd"/>
      <w:r w:rsidRPr="004B4540">
        <w:rPr>
          <w:lang w:val="en-GB"/>
        </w:rPr>
        <w:t xml:space="preserve">) </w:t>
      </w:r>
      <w:r w:rsidR="000732D3">
        <w:rPr>
          <w:lang w:val="en-GB"/>
        </w:rPr>
        <w:t xml:space="preserve">the </w:t>
      </w:r>
      <w:r w:rsidR="00566F21">
        <w:rPr>
          <w:lang w:val="en-GB"/>
        </w:rPr>
        <w:t>Core</w:t>
      </w:r>
      <w:r w:rsidR="00566F21" w:rsidRPr="004B4540">
        <w:rPr>
          <w:lang w:val="en-GB"/>
        </w:rPr>
        <w:t xml:space="preserve"> </w:t>
      </w:r>
      <w:r w:rsidR="000732D3" w:rsidRPr="004B4540">
        <w:rPr>
          <w:lang w:val="en-GB"/>
        </w:rPr>
        <w:t xml:space="preserve">Assets </w:t>
      </w:r>
      <w:r w:rsidR="000732D3">
        <w:rPr>
          <w:lang w:val="en-GB"/>
        </w:rPr>
        <w:t xml:space="preserve">have been sold and the Sale Proceeds have been applied </w:t>
      </w:r>
      <w:r w:rsidR="00117F20">
        <w:rPr>
          <w:lang w:val="en-GB"/>
        </w:rPr>
        <w:t xml:space="preserve">and distributed </w:t>
      </w:r>
      <w:r w:rsidR="000732D3">
        <w:rPr>
          <w:lang w:val="en-GB"/>
        </w:rPr>
        <w:t xml:space="preserve">in accordance with Section </w:t>
      </w:r>
      <w:r w:rsidR="000732D3">
        <w:rPr>
          <w:lang w:val="en-GB"/>
        </w:rPr>
        <w:fldChar w:fldCharType="begin"/>
      </w:r>
      <w:r w:rsidR="000732D3">
        <w:rPr>
          <w:lang w:val="en-GB"/>
        </w:rPr>
        <w:instrText xml:space="preserve"> REF _Ref188522223 \r \h </w:instrText>
      </w:r>
      <w:r w:rsidR="000732D3">
        <w:rPr>
          <w:lang w:val="en-GB"/>
        </w:rPr>
      </w:r>
      <w:r w:rsidR="000732D3">
        <w:rPr>
          <w:lang w:val="en-GB"/>
        </w:rPr>
        <w:fldChar w:fldCharType="separate"/>
      </w:r>
      <w:r w:rsidR="00073B22">
        <w:rPr>
          <w:lang w:val="en-GB"/>
        </w:rPr>
        <w:t>4.1</w:t>
      </w:r>
      <w:r w:rsidR="000732D3">
        <w:rPr>
          <w:lang w:val="en-GB"/>
        </w:rPr>
        <w:fldChar w:fldCharType="end"/>
      </w:r>
      <w:r w:rsidR="000732D3">
        <w:rPr>
          <w:lang w:val="en-GB"/>
        </w:rPr>
        <w:t xml:space="preserve">; </w:t>
      </w:r>
      <w:r w:rsidRPr="004B4540">
        <w:rPr>
          <w:lang w:val="en-GB"/>
        </w:rPr>
        <w:t xml:space="preserve">or (ii) it is terminated by an agreement signed by all the Parties. No </w:t>
      </w:r>
      <w:r w:rsidRPr="004B4540">
        <w:rPr>
          <w:rFonts w:cs="Arial"/>
          <w:lang w:val="en-GB"/>
        </w:rPr>
        <w:t>Party may cancel or withdraw from this Agreement on any other grounds.</w:t>
      </w:r>
      <w:r w:rsidR="005D066A">
        <w:rPr>
          <w:rFonts w:cs="Arial"/>
          <w:lang w:val="en-GB"/>
        </w:rPr>
        <w:t xml:space="preserve"> </w:t>
      </w:r>
    </w:p>
    <w:p w14:paraId="6AF93D2F" w14:textId="31B6CE2A" w:rsidR="005F446A" w:rsidRPr="002C4CAD" w:rsidRDefault="005F446A" w:rsidP="005F446A">
      <w:pPr>
        <w:pStyle w:val="Heading2"/>
        <w:rPr>
          <w:rFonts w:cs="Arial"/>
          <w:lang w:val="en-GB"/>
        </w:rPr>
      </w:pPr>
      <w:r w:rsidRPr="004B4540">
        <w:rPr>
          <w:rFonts w:cs="Arial"/>
          <w:lang w:val="en-GB"/>
        </w:rPr>
        <w:t xml:space="preserve">In the case of the termination of this Agreement by any reason, invalidity or annulment of any provisions of the Agreement, the provisions of this Agreement that by their nature regulate the rights and obligations of the Parties after the termination of this Agreement will remain in force after the termination of this Agreement. This concerns, above all, Clauses </w:t>
      </w:r>
      <w:r w:rsidR="00374583">
        <w:rPr>
          <w:rFonts w:cs="Arial"/>
          <w:lang w:val="en-GB"/>
        </w:rPr>
        <w:fldChar w:fldCharType="begin"/>
      </w:r>
      <w:r w:rsidR="00374583">
        <w:rPr>
          <w:rFonts w:cs="Arial"/>
          <w:lang w:val="en-GB"/>
        </w:rPr>
        <w:instrText xml:space="preserve"> REF _Ref193291503 \r \h </w:instrText>
      </w:r>
      <w:r w:rsidR="00374583">
        <w:rPr>
          <w:rFonts w:cs="Arial"/>
          <w:lang w:val="en-GB"/>
        </w:rPr>
      </w:r>
      <w:r w:rsidR="00374583">
        <w:rPr>
          <w:rFonts w:cs="Arial"/>
          <w:lang w:val="en-GB"/>
        </w:rPr>
        <w:fldChar w:fldCharType="separate"/>
      </w:r>
      <w:r w:rsidR="00073B22">
        <w:rPr>
          <w:rFonts w:cs="Arial"/>
          <w:lang w:val="en-GB"/>
        </w:rPr>
        <w:t>7</w:t>
      </w:r>
      <w:r w:rsidR="00374583">
        <w:rPr>
          <w:rFonts w:cs="Arial"/>
          <w:lang w:val="en-GB"/>
        </w:rPr>
        <w:fldChar w:fldCharType="end"/>
      </w:r>
      <w:r w:rsidRPr="004B4540">
        <w:rPr>
          <w:rFonts w:cs="Arial"/>
          <w:lang w:val="en-GB"/>
        </w:rPr>
        <w:t xml:space="preserve"> and </w:t>
      </w:r>
      <w:r w:rsidRPr="004B4540">
        <w:rPr>
          <w:rFonts w:cs="Arial"/>
          <w:lang w:val="en-GB"/>
        </w:rPr>
        <w:fldChar w:fldCharType="begin"/>
      </w:r>
      <w:r w:rsidRPr="004B4540">
        <w:rPr>
          <w:rFonts w:cs="Arial"/>
          <w:lang w:val="en-GB"/>
        </w:rPr>
        <w:instrText xml:space="preserve"> REF _Ref189479006 \r \h </w:instrText>
      </w:r>
      <w:r w:rsidR="00174DD1" w:rsidRPr="0002453F">
        <w:rPr>
          <w:rFonts w:cs="Arial"/>
          <w:lang w:val="en-GB"/>
        </w:rPr>
        <w:instrText xml:space="preserve"> \* MERGEFORMAT </w:instrText>
      </w:r>
      <w:r w:rsidRPr="004B4540">
        <w:rPr>
          <w:rFonts w:cs="Arial"/>
          <w:lang w:val="en-GB"/>
        </w:rPr>
      </w:r>
      <w:r w:rsidRPr="004B4540">
        <w:rPr>
          <w:rFonts w:cs="Arial"/>
          <w:lang w:val="en-GB"/>
        </w:rPr>
        <w:fldChar w:fldCharType="separate"/>
      </w:r>
      <w:r w:rsidR="00073B22">
        <w:rPr>
          <w:rFonts w:cs="Arial"/>
          <w:lang w:val="en-GB"/>
        </w:rPr>
        <w:t>8</w:t>
      </w:r>
      <w:r w:rsidRPr="004B4540">
        <w:rPr>
          <w:rFonts w:cs="Arial"/>
          <w:lang w:val="en-GB"/>
        </w:rPr>
        <w:fldChar w:fldCharType="end"/>
      </w:r>
      <w:r w:rsidRPr="004B4540">
        <w:rPr>
          <w:rFonts w:cs="Arial"/>
          <w:lang w:val="en-GB"/>
        </w:rPr>
        <w:t>.</w:t>
      </w:r>
      <w:r w:rsidR="0086497A">
        <w:rPr>
          <w:rFonts w:cs="Arial"/>
          <w:lang w:val="en-GB"/>
        </w:rPr>
        <w:t xml:space="preserve"> </w:t>
      </w:r>
    </w:p>
    <w:p w14:paraId="7B6FB1AD" w14:textId="32794D1B" w:rsidR="00117F20" w:rsidRPr="002C4CAD" w:rsidRDefault="00963481" w:rsidP="00117F20">
      <w:pPr>
        <w:pStyle w:val="Heading2"/>
        <w:rPr>
          <w:lang w:val="en-GB"/>
        </w:rPr>
      </w:pPr>
      <w:r>
        <w:rPr>
          <w:lang w:val="en-GB"/>
        </w:rPr>
        <w:t xml:space="preserve">This Agreement regulates only the subject matter specifically described herein </w:t>
      </w:r>
      <w:r w:rsidR="00117F20" w:rsidRPr="00993484">
        <w:rPr>
          <w:lang w:val="en-GB"/>
        </w:rPr>
        <w:t xml:space="preserve">and </w:t>
      </w:r>
      <w:r>
        <w:rPr>
          <w:lang w:val="en-GB"/>
        </w:rPr>
        <w:t>no other dealings of the Company or the Group are</w:t>
      </w:r>
      <w:r w:rsidR="00117F20" w:rsidRPr="00993484">
        <w:rPr>
          <w:lang w:val="en-GB"/>
        </w:rPr>
        <w:t xml:space="preserve"> subject to this Agreement.</w:t>
      </w:r>
    </w:p>
    <w:p w14:paraId="184C24C1" w14:textId="1686BFE8" w:rsidR="005F446A" w:rsidRPr="004B4540" w:rsidRDefault="005F446A" w:rsidP="00174DD1">
      <w:pPr>
        <w:pStyle w:val="Heading2"/>
        <w:rPr>
          <w:lang w:val="en-GB"/>
        </w:rPr>
      </w:pPr>
      <w:r w:rsidRPr="002C4CAD">
        <w:rPr>
          <w:lang w:val="en-GB"/>
        </w:rPr>
        <w:t>No amendment to this Agreement</w:t>
      </w:r>
      <w:r w:rsidRPr="004B4540">
        <w:rPr>
          <w:lang w:val="en-GB"/>
        </w:rPr>
        <w:t xml:space="preserve"> is valid unless </w:t>
      </w:r>
      <w:r w:rsidR="00374583">
        <w:rPr>
          <w:lang w:val="en-GB"/>
        </w:rPr>
        <w:t xml:space="preserve">signed by all Parties and </w:t>
      </w:r>
      <w:r w:rsidRPr="004B4540">
        <w:rPr>
          <w:lang w:val="en-GB"/>
        </w:rPr>
        <w:t>made in the same form as the original Agreement.</w:t>
      </w:r>
    </w:p>
    <w:p w14:paraId="3C918CA3" w14:textId="77777777" w:rsidR="0091053C" w:rsidRDefault="005F446A" w:rsidP="005F446A">
      <w:pPr>
        <w:pStyle w:val="Heading2"/>
        <w:rPr>
          <w:lang w:val="en-GB"/>
        </w:rPr>
      </w:pPr>
      <w:r w:rsidRPr="004B4540">
        <w:rPr>
          <w:lang w:val="en-GB"/>
        </w:rPr>
        <w:t>No Party has the right to transfer its rights or obligations under this Agreement to any third party without the prior consent of the other Parties in a form reproducible in writing.</w:t>
      </w:r>
      <w:r w:rsidR="00C91DF5" w:rsidRPr="004B4540">
        <w:rPr>
          <w:lang w:val="en-GB"/>
        </w:rPr>
        <w:t xml:space="preserve"> Notwithstanding the previous sentence</w:t>
      </w:r>
      <w:r w:rsidR="0091053C">
        <w:rPr>
          <w:lang w:val="en-GB"/>
        </w:rPr>
        <w:t>:</w:t>
      </w:r>
    </w:p>
    <w:p w14:paraId="22F095F8" w14:textId="79458C76" w:rsidR="0091053C" w:rsidRDefault="004D123C" w:rsidP="00AE3D2A">
      <w:pPr>
        <w:pStyle w:val="Heading3"/>
        <w:rPr>
          <w:lang w:val="en-GB"/>
        </w:rPr>
      </w:pPr>
      <w:r>
        <w:rPr>
          <w:lang w:val="en-GB"/>
        </w:rPr>
        <w:t>t</w:t>
      </w:r>
      <w:r w:rsidR="0091053C">
        <w:rPr>
          <w:lang w:val="en-GB"/>
        </w:rPr>
        <w:t>he Senior Lender and the Unsecured Lender shall be entitled to transfer and assign its rights and</w:t>
      </w:r>
      <w:r w:rsidR="0091053C" w:rsidRPr="004B4540">
        <w:rPr>
          <w:lang w:val="en-GB"/>
        </w:rPr>
        <w:t xml:space="preserve"> obligations under this Agreement without </w:t>
      </w:r>
      <w:r w:rsidR="0091053C">
        <w:rPr>
          <w:lang w:val="en-GB"/>
        </w:rPr>
        <w:t>any additional</w:t>
      </w:r>
      <w:r w:rsidR="0091053C" w:rsidRPr="004B4540">
        <w:rPr>
          <w:lang w:val="en-GB"/>
        </w:rPr>
        <w:t xml:space="preserve"> consent of the other Parties </w:t>
      </w:r>
      <w:r w:rsidR="0091053C">
        <w:rPr>
          <w:lang w:val="en-GB"/>
        </w:rPr>
        <w:t xml:space="preserve">to </w:t>
      </w:r>
      <w:r w:rsidR="0091053C" w:rsidRPr="0091053C">
        <w:rPr>
          <w:lang w:val="en-US"/>
        </w:rPr>
        <w:t xml:space="preserve">a person </w:t>
      </w:r>
      <w:r w:rsidR="00AE3D2A">
        <w:rPr>
          <w:lang w:val="en-US"/>
        </w:rPr>
        <w:t>(</w:t>
      </w:r>
      <w:r w:rsidR="00AE3D2A" w:rsidRPr="00AE3D2A">
        <w:rPr>
          <w:lang w:val="en-US"/>
        </w:rPr>
        <w:t xml:space="preserve">controlled by the Senior Lender / Unsecured Lender or </w:t>
      </w:r>
      <w:r w:rsidR="00AE3D2A" w:rsidRPr="00AE3D2A">
        <w:rPr>
          <w:lang w:val="en-US"/>
        </w:rPr>
        <w:lastRenderedPageBreak/>
        <w:t xml:space="preserve">who is under the control of the substantially same persons as the Senior Lender / Unsecured Lender)  </w:t>
      </w:r>
      <w:r w:rsidR="0091053C" w:rsidRPr="0091053C">
        <w:rPr>
          <w:lang w:val="en-US"/>
        </w:rPr>
        <w:t xml:space="preserve">to whom the rights and obligations of </w:t>
      </w:r>
      <w:r w:rsidR="0091053C">
        <w:rPr>
          <w:lang w:val="en-US"/>
        </w:rPr>
        <w:t>the Senior Lender and the Unsecured Lender</w:t>
      </w:r>
      <w:r w:rsidR="0091053C" w:rsidRPr="0091053C">
        <w:rPr>
          <w:lang w:val="en-US"/>
        </w:rPr>
        <w:t xml:space="preserve"> under the Senior Financing </w:t>
      </w:r>
      <w:r w:rsidR="0091053C">
        <w:rPr>
          <w:lang w:val="en-US"/>
        </w:rPr>
        <w:t>and under the Unsecured Loan</w:t>
      </w:r>
      <w:r>
        <w:rPr>
          <w:lang w:val="en-US"/>
        </w:rPr>
        <w:t xml:space="preserve"> </w:t>
      </w:r>
      <w:r w:rsidR="00B6646E">
        <w:rPr>
          <w:lang w:val="en-US"/>
        </w:rPr>
        <w:t>(</w:t>
      </w:r>
      <w:r>
        <w:rPr>
          <w:lang w:val="en-US"/>
        </w:rPr>
        <w:t>respectively</w:t>
      </w:r>
      <w:r w:rsidR="00B6646E">
        <w:rPr>
          <w:lang w:val="en-US"/>
        </w:rPr>
        <w:t>)</w:t>
      </w:r>
      <w:r w:rsidR="0091053C">
        <w:rPr>
          <w:lang w:val="en-US"/>
        </w:rPr>
        <w:t xml:space="preserve"> </w:t>
      </w:r>
      <w:r w:rsidR="0091053C" w:rsidRPr="0091053C">
        <w:rPr>
          <w:lang w:val="en-US"/>
        </w:rPr>
        <w:t xml:space="preserve">have been transferred by </w:t>
      </w:r>
      <w:r w:rsidR="0091053C">
        <w:rPr>
          <w:lang w:val="en-US"/>
        </w:rPr>
        <w:t>the Senior Lender and Unsecured Lender</w:t>
      </w:r>
      <w:r w:rsidR="0091053C" w:rsidRPr="0091053C">
        <w:rPr>
          <w:lang w:val="en-US"/>
        </w:rPr>
        <w:t xml:space="preserve"> in connection with the transfer </w:t>
      </w:r>
      <w:r w:rsidR="00B6646E" w:rsidRPr="0091053C">
        <w:rPr>
          <w:lang w:val="en-US"/>
        </w:rPr>
        <w:t>in accordance with the</w:t>
      </w:r>
      <w:r w:rsidR="00B6646E">
        <w:rPr>
          <w:lang w:val="en-US"/>
        </w:rPr>
        <w:t xml:space="preserve"> Secured</w:t>
      </w:r>
      <w:r w:rsidR="00B6646E" w:rsidRPr="0091053C">
        <w:rPr>
          <w:lang w:val="en-US"/>
        </w:rPr>
        <w:t xml:space="preserve"> </w:t>
      </w:r>
      <w:r w:rsidR="00B6646E">
        <w:rPr>
          <w:lang w:val="en-US"/>
        </w:rPr>
        <w:t xml:space="preserve">Note </w:t>
      </w:r>
      <w:r w:rsidR="00B6646E" w:rsidRPr="0091053C">
        <w:rPr>
          <w:lang w:val="en-US"/>
        </w:rPr>
        <w:t xml:space="preserve">Terms </w:t>
      </w:r>
      <w:r w:rsidR="0091053C" w:rsidRPr="0091053C">
        <w:rPr>
          <w:lang w:val="en-US"/>
        </w:rPr>
        <w:t xml:space="preserve">of the (beneficial or legal) ownership of the shares owned by it in the </w:t>
      </w:r>
      <w:r w:rsidR="0091053C">
        <w:rPr>
          <w:lang w:val="en-US"/>
        </w:rPr>
        <w:t>Company</w:t>
      </w:r>
      <w:r w:rsidR="00B6646E">
        <w:rPr>
          <w:lang w:val="en-US"/>
        </w:rPr>
        <w:t>;</w:t>
      </w:r>
    </w:p>
    <w:p w14:paraId="12D8B948" w14:textId="2B7EBBC3" w:rsidR="00186194" w:rsidRDefault="00186194">
      <w:pPr>
        <w:pStyle w:val="Heading3"/>
        <w:rPr>
          <w:lang w:val="en-GB"/>
        </w:rPr>
      </w:pPr>
      <w:r w:rsidRPr="00186194">
        <w:rPr>
          <w:lang w:val="en-GB"/>
        </w:rPr>
        <w:t xml:space="preserve">the </w:t>
      </w:r>
      <w:r w:rsidRPr="00AE3D2A">
        <w:rPr>
          <w:lang w:val="en-GB"/>
        </w:rPr>
        <w:t>Representative of Convertible Bondholders</w:t>
      </w:r>
      <w:r>
        <w:rPr>
          <w:lang w:val="en-GB"/>
        </w:rPr>
        <w:t xml:space="preserve"> may</w:t>
      </w:r>
      <w:r w:rsidRPr="00186194">
        <w:rPr>
          <w:lang w:val="en-GB"/>
        </w:rPr>
        <w:t xml:space="preserve"> </w:t>
      </w:r>
      <w:r>
        <w:rPr>
          <w:lang w:val="en-GB"/>
        </w:rPr>
        <w:t xml:space="preserve">be replaced by its successor or any other person approved by the Convertible Noteholders holding in aggregate at least 50% of the Convertible Notes, </w:t>
      </w:r>
      <w:r w:rsidRPr="00186194">
        <w:rPr>
          <w:lang w:val="en-GB"/>
        </w:rPr>
        <w:t xml:space="preserve">in which case the rights and obligation of the </w:t>
      </w:r>
      <w:r w:rsidRPr="00D65B3E">
        <w:rPr>
          <w:lang w:val="en-GB"/>
        </w:rPr>
        <w:t>Representative of Convertible Bondholders</w:t>
      </w:r>
      <w:r>
        <w:rPr>
          <w:lang w:val="en-GB"/>
        </w:rPr>
        <w:t xml:space="preserve"> </w:t>
      </w:r>
      <w:r w:rsidRPr="00186194">
        <w:rPr>
          <w:lang w:val="en-GB"/>
        </w:rPr>
        <w:t xml:space="preserve">under this Agreement shall be transferred to </w:t>
      </w:r>
      <w:r>
        <w:rPr>
          <w:lang w:val="en-GB"/>
        </w:rPr>
        <w:t>such person</w:t>
      </w:r>
      <w:r w:rsidRPr="00186194">
        <w:rPr>
          <w:lang w:val="en-GB"/>
        </w:rPr>
        <w:t xml:space="preserve"> without requiring the prior consent of the other </w:t>
      </w:r>
      <w:proofErr w:type="gramStart"/>
      <w:r w:rsidRPr="00186194">
        <w:rPr>
          <w:lang w:val="en-GB"/>
        </w:rPr>
        <w:t>Parties</w:t>
      </w:r>
      <w:r>
        <w:rPr>
          <w:lang w:val="en-GB"/>
        </w:rPr>
        <w:t>;</w:t>
      </w:r>
      <w:proofErr w:type="gramEnd"/>
    </w:p>
    <w:p w14:paraId="4CF37CA1" w14:textId="4F3CC4B2" w:rsidR="005F446A" w:rsidRDefault="00C91DF5" w:rsidP="00AE3D2A">
      <w:pPr>
        <w:pStyle w:val="Heading3"/>
        <w:rPr>
          <w:lang w:val="en-GB"/>
        </w:rPr>
      </w:pPr>
      <w:r w:rsidRPr="004B4540">
        <w:rPr>
          <w:lang w:val="en-GB"/>
        </w:rPr>
        <w:t>the Collateral Agent may be replaced in accordance with the Secured Note Terms</w:t>
      </w:r>
      <w:r w:rsidR="005E23BC" w:rsidRPr="004B4540">
        <w:rPr>
          <w:lang w:val="en-GB"/>
        </w:rPr>
        <w:t>,</w:t>
      </w:r>
      <w:r w:rsidRPr="004B4540">
        <w:rPr>
          <w:lang w:val="en-GB"/>
        </w:rPr>
        <w:t xml:space="preserve"> </w:t>
      </w:r>
      <w:r w:rsidR="005E23BC" w:rsidRPr="004B4540">
        <w:rPr>
          <w:lang w:val="en-GB"/>
        </w:rPr>
        <w:t>in which case the rights and obligation of the Collateral Agent under this Agreement shall be transferred to the new collateral agent without requiring the prior consent of the other Parties.</w:t>
      </w:r>
      <w:r w:rsidR="00174DD1" w:rsidRPr="004B4540">
        <w:rPr>
          <w:lang w:val="en-GB"/>
        </w:rPr>
        <w:t xml:space="preserve"> </w:t>
      </w:r>
    </w:p>
    <w:p w14:paraId="6361C9C7" w14:textId="6FD7D4ED" w:rsidR="00945DF1" w:rsidRDefault="00374583" w:rsidP="00003B11">
      <w:pPr>
        <w:pStyle w:val="Heading2"/>
        <w:rPr>
          <w:lang w:val="en-GB"/>
        </w:rPr>
      </w:pPr>
      <w:r w:rsidRPr="000432D1">
        <w:rPr>
          <w:lang w:val="en-GB"/>
        </w:rPr>
        <w:t>For the avoidance of doubt, the Collateral Agent enters into this Agreement</w:t>
      </w:r>
      <w:r w:rsidR="00EA71D7">
        <w:rPr>
          <w:lang w:val="en-GB"/>
        </w:rPr>
        <w:t xml:space="preserve"> in accordance with the </w:t>
      </w:r>
      <w:r w:rsidR="0087392D">
        <w:rPr>
          <w:lang w:val="en-GB"/>
        </w:rPr>
        <w:t xml:space="preserve">decision and </w:t>
      </w:r>
      <w:r w:rsidR="00EA71D7">
        <w:rPr>
          <w:lang w:val="en-GB"/>
        </w:rPr>
        <w:t>instructions of the Secured Noteholders (and not as an agent of any other Party</w:t>
      </w:r>
      <w:r w:rsidR="00EA71D7" w:rsidRPr="00EA71D7">
        <w:rPr>
          <w:lang w:val="en-GB"/>
        </w:rPr>
        <w:t xml:space="preserve">) and </w:t>
      </w:r>
      <w:r w:rsidRPr="00EA71D7">
        <w:rPr>
          <w:lang w:val="en-GB"/>
        </w:rPr>
        <w:t xml:space="preserve">only in order for this Agreement to constitute a “Note Document” within the meaning of the Secured Note Terms and to ensure that this Agreement cannot be amended without such amendment having been signed by the Collateral Agent (acting on the decision of the Secured Noteholders’ meeting adopted in accordance with the Secured </w:t>
      </w:r>
      <w:r w:rsidR="00FD3417" w:rsidRPr="00EA71D7">
        <w:rPr>
          <w:lang w:val="en-GB"/>
        </w:rPr>
        <w:t xml:space="preserve">Note </w:t>
      </w:r>
      <w:r w:rsidRPr="00EA71D7">
        <w:rPr>
          <w:lang w:val="en-GB"/>
        </w:rPr>
        <w:t>Terms)</w:t>
      </w:r>
      <w:r w:rsidR="00EA71D7" w:rsidRPr="00EA71D7">
        <w:rPr>
          <w:lang w:val="en-GB"/>
        </w:rPr>
        <w:t xml:space="preserve">. </w:t>
      </w:r>
      <w:r w:rsidR="009741DC" w:rsidRPr="00EA71D7">
        <w:rPr>
          <w:lang w:val="en-GB"/>
        </w:rPr>
        <w:t xml:space="preserve"> </w:t>
      </w:r>
      <w:r w:rsidR="00EA71D7">
        <w:rPr>
          <w:lang w:val="en-GB"/>
        </w:rPr>
        <w:t xml:space="preserve">The Collateral Agent </w:t>
      </w:r>
      <w:r w:rsidR="009A33D3">
        <w:rPr>
          <w:lang w:val="en-GB"/>
        </w:rPr>
        <w:t>does not individually undertake any obligations under this Agreement, other than the obligation to observe the principles of distribution of proceed</w:t>
      </w:r>
      <w:r w:rsidR="003F694D">
        <w:rPr>
          <w:lang w:val="en-GB"/>
        </w:rPr>
        <w:t>s</w:t>
      </w:r>
      <w:r w:rsidR="009A33D3">
        <w:rPr>
          <w:lang w:val="en-GB"/>
        </w:rPr>
        <w:t xml:space="preserve"> </w:t>
      </w:r>
      <w:r w:rsidR="00854912" w:rsidRPr="00854912">
        <w:rPr>
          <w:lang w:val="en-GB"/>
        </w:rPr>
        <w:t>from the enforcement of the Collateral</w:t>
      </w:r>
      <w:r w:rsidR="00854912">
        <w:rPr>
          <w:lang w:val="en-GB"/>
        </w:rPr>
        <w:t xml:space="preserve"> </w:t>
      </w:r>
      <w:r w:rsidR="009A33D3">
        <w:rPr>
          <w:lang w:val="en-GB"/>
        </w:rPr>
        <w:t>set out herein</w:t>
      </w:r>
      <w:r w:rsidR="00117305">
        <w:rPr>
          <w:lang w:val="en-GB"/>
        </w:rPr>
        <w:t xml:space="preserve">, </w:t>
      </w:r>
      <w:r w:rsidR="009A33D3">
        <w:rPr>
          <w:lang w:val="en-GB"/>
        </w:rPr>
        <w:t xml:space="preserve">and </w:t>
      </w:r>
      <w:r w:rsidR="00EA71D7" w:rsidRPr="00EA71D7">
        <w:rPr>
          <w:lang w:val="en-GB"/>
        </w:rPr>
        <w:t>acts under this Agreement</w:t>
      </w:r>
      <w:r w:rsidR="00EA71D7">
        <w:rPr>
          <w:lang w:val="en-GB"/>
        </w:rPr>
        <w:t xml:space="preserve"> in accordance with</w:t>
      </w:r>
      <w:r w:rsidR="00353126">
        <w:rPr>
          <w:lang w:val="en-GB"/>
        </w:rPr>
        <w:t xml:space="preserve"> </w:t>
      </w:r>
      <w:r w:rsidR="0036457D">
        <w:rPr>
          <w:lang w:val="en-GB"/>
        </w:rPr>
        <w:t xml:space="preserve">and subject to limitations of liability provided in </w:t>
      </w:r>
      <w:r w:rsidR="00EA71D7">
        <w:rPr>
          <w:lang w:val="en-GB"/>
        </w:rPr>
        <w:t xml:space="preserve">the Secured </w:t>
      </w:r>
      <w:r w:rsidR="00117305">
        <w:rPr>
          <w:lang w:val="en-GB"/>
        </w:rPr>
        <w:t xml:space="preserve">Note </w:t>
      </w:r>
      <w:r w:rsidR="00EA71D7">
        <w:rPr>
          <w:lang w:val="en-GB"/>
        </w:rPr>
        <w:t>Terms</w:t>
      </w:r>
      <w:r w:rsidR="0087392D">
        <w:rPr>
          <w:lang w:val="en-GB"/>
        </w:rPr>
        <w:t>.</w:t>
      </w:r>
      <w:r w:rsidR="00003B11">
        <w:rPr>
          <w:lang w:val="en-GB"/>
        </w:rPr>
        <w:t xml:space="preserve"> </w:t>
      </w:r>
      <w:r w:rsidR="00C7207F">
        <w:rPr>
          <w:lang w:val="en-GB"/>
        </w:rPr>
        <w:t xml:space="preserve">For the avoidance of doubt, if the Collateral is enforced in accordance with the Secured Note Terms and the Collateral assets are sold in enforcement </w:t>
      </w:r>
      <w:r w:rsidR="005C7590">
        <w:rPr>
          <w:lang w:val="en-GB"/>
        </w:rPr>
        <w:t>proceedings conducted by a bailiff or</w:t>
      </w:r>
      <w:r w:rsidR="006D4AC2">
        <w:rPr>
          <w:lang w:val="en-GB"/>
        </w:rPr>
        <w:t xml:space="preserve"> bankruptcy</w:t>
      </w:r>
      <w:r w:rsidR="00E0246A">
        <w:rPr>
          <w:lang w:val="en-GB"/>
        </w:rPr>
        <w:t xml:space="preserve"> or liquidation</w:t>
      </w:r>
      <w:r w:rsidR="006D4AC2">
        <w:rPr>
          <w:lang w:val="en-GB"/>
        </w:rPr>
        <w:t xml:space="preserve"> proceedings</w:t>
      </w:r>
      <w:r w:rsidR="00C7207F">
        <w:rPr>
          <w:lang w:val="en-GB"/>
        </w:rPr>
        <w:t>, the Collateral Agent</w:t>
      </w:r>
      <w:r w:rsidR="00F32F01">
        <w:rPr>
          <w:lang w:val="en-GB"/>
        </w:rPr>
        <w:t xml:space="preserve"> shall </w:t>
      </w:r>
      <w:r w:rsidR="00F32F01" w:rsidRPr="00F32F01">
        <w:rPr>
          <w:lang w:val="en-GB"/>
        </w:rPr>
        <w:t xml:space="preserve">indicate and confirm to </w:t>
      </w:r>
      <w:r w:rsidR="005C7590">
        <w:rPr>
          <w:lang w:val="en-GB"/>
        </w:rPr>
        <w:t>the bailiff</w:t>
      </w:r>
      <w:r w:rsidR="00E0246A">
        <w:rPr>
          <w:lang w:val="en-GB"/>
        </w:rPr>
        <w:t>,</w:t>
      </w:r>
      <w:r w:rsidR="005C7590">
        <w:rPr>
          <w:lang w:val="en-GB"/>
        </w:rPr>
        <w:t xml:space="preserve"> bankruptcy trustee</w:t>
      </w:r>
      <w:r w:rsidR="00E0246A">
        <w:rPr>
          <w:lang w:val="en-GB"/>
        </w:rPr>
        <w:t xml:space="preserve"> or liquidator</w:t>
      </w:r>
      <w:r w:rsidR="005C7590">
        <w:rPr>
          <w:lang w:val="en-GB"/>
        </w:rPr>
        <w:t xml:space="preserve"> </w:t>
      </w:r>
      <w:r w:rsidR="00F32F01" w:rsidRPr="00F32F01">
        <w:rPr>
          <w:lang w:val="en-GB"/>
        </w:rPr>
        <w:t xml:space="preserve">that </w:t>
      </w:r>
      <w:r w:rsidR="006D4AC2">
        <w:rPr>
          <w:lang w:val="en-GB"/>
        </w:rPr>
        <w:t xml:space="preserve">the secured claim of the Secured Noteholders and the Collateral Agent is calculated as per Section 11 of the Secured Note Terms and as </w:t>
      </w:r>
      <w:r w:rsidR="00F32F01">
        <w:rPr>
          <w:lang w:val="en-GB"/>
        </w:rPr>
        <w:t xml:space="preserve">per the agreement between the relevant creditors the proceeds should be first used to fully repay the Senior Financing </w:t>
      </w:r>
      <w:r w:rsidR="00F32F01" w:rsidRPr="00F32F01">
        <w:rPr>
          <w:lang w:val="en-GB"/>
        </w:rPr>
        <w:t>to the Senior Lender</w:t>
      </w:r>
      <w:r w:rsidR="00F32F01">
        <w:rPr>
          <w:lang w:val="en-GB"/>
        </w:rPr>
        <w:t>, before payments in respect of the Secured Notes;</w:t>
      </w:r>
      <w:r w:rsidR="00E0246A">
        <w:rPr>
          <w:lang w:val="en-GB"/>
        </w:rPr>
        <w:t xml:space="preserve"> </w:t>
      </w:r>
      <w:r w:rsidR="00F32F01">
        <w:rPr>
          <w:lang w:val="en-GB"/>
        </w:rPr>
        <w:t xml:space="preserve">however, the Collateral Agent shall not be liable </w:t>
      </w:r>
      <w:r w:rsidR="002E469A">
        <w:rPr>
          <w:lang w:val="en-GB"/>
        </w:rPr>
        <w:t>if</w:t>
      </w:r>
      <w:r w:rsidR="00F32F01">
        <w:rPr>
          <w:lang w:val="en-GB"/>
        </w:rPr>
        <w:t xml:space="preserve"> the bailiff</w:t>
      </w:r>
      <w:r w:rsidR="006543F1">
        <w:rPr>
          <w:lang w:val="en-GB"/>
        </w:rPr>
        <w:t xml:space="preserve">, bankruptcy trustee </w:t>
      </w:r>
      <w:r w:rsidR="00D17949">
        <w:rPr>
          <w:lang w:val="en-GB"/>
        </w:rPr>
        <w:t xml:space="preserve">or liquidator </w:t>
      </w:r>
      <w:r w:rsidR="002E469A">
        <w:rPr>
          <w:lang w:val="en-GB"/>
        </w:rPr>
        <w:t>does not transfer the required payment to the Senior Lender</w:t>
      </w:r>
      <w:r w:rsidR="005C7590">
        <w:rPr>
          <w:lang w:val="en-GB"/>
        </w:rPr>
        <w:t xml:space="preserve"> </w:t>
      </w:r>
      <w:r w:rsidR="00E0246A">
        <w:rPr>
          <w:lang w:val="en-GB"/>
        </w:rPr>
        <w:t xml:space="preserve">if the Collateral Agent </w:t>
      </w:r>
      <w:r w:rsidR="005C7590">
        <w:rPr>
          <w:lang w:val="en-GB"/>
        </w:rPr>
        <w:t>act</w:t>
      </w:r>
      <w:r w:rsidR="00E0246A">
        <w:rPr>
          <w:lang w:val="en-GB"/>
        </w:rPr>
        <w:t>s</w:t>
      </w:r>
      <w:r w:rsidR="005C7590">
        <w:rPr>
          <w:lang w:val="en-GB"/>
        </w:rPr>
        <w:t xml:space="preserve"> on instructions of the Majority Noteholders when distributing the received funds to the Noteholders</w:t>
      </w:r>
      <w:r w:rsidR="002E469A">
        <w:rPr>
          <w:lang w:val="en-GB"/>
        </w:rPr>
        <w:t>.</w:t>
      </w:r>
      <w:r w:rsidR="00F32F01">
        <w:rPr>
          <w:lang w:val="en-GB"/>
        </w:rPr>
        <w:t xml:space="preserve"> </w:t>
      </w:r>
    </w:p>
    <w:p w14:paraId="72C9BE4A" w14:textId="57E17266" w:rsidR="00945DF1" w:rsidRPr="00273A4C" w:rsidRDefault="00945DF1" w:rsidP="00AD4E5B">
      <w:pPr>
        <w:pStyle w:val="Heading3"/>
        <w:numPr>
          <w:ilvl w:val="0"/>
          <w:numId w:val="0"/>
        </w:numPr>
        <w:ind w:left="720"/>
        <w:rPr>
          <w:lang w:val="en-GB"/>
        </w:rPr>
      </w:pPr>
    </w:p>
    <w:p w14:paraId="47CD5923" w14:textId="77777777" w:rsidR="00A36448" w:rsidRPr="004B4540" w:rsidRDefault="00A36448" w:rsidP="00A36448">
      <w:pPr>
        <w:jc w:val="center"/>
        <w:rPr>
          <w:i/>
          <w:iCs/>
          <w:lang w:val="en-GB"/>
        </w:rPr>
      </w:pPr>
      <w:r w:rsidRPr="004B4540">
        <w:rPr>
          <w:i/>
          <w:iCs/>
          <w:lang w:val="en-GB"/>
        </w:rPr>
        <w:t>***</w:t>
      </w:r>
    </w:p>
    <w:p w14:paraId="2BE17892" w14:textId="77777777" w:rsidR="00A36448" w:rsidRPr="004B4540" w:rsidRDefault="00A36448" w:rsidP="00A36448">
      <w:pPr>
        <w:jc w:val="center"/>
        <w:rPr>
          <w:i/>
          <w:iCs/>
          <w:lang w:val="en-GB"/>
        </w:rPr>
      </w:pPr>
      <w:r w:rsidRPr="004B4540">
        <w:rPr>
          <w:i/>
          <w:iCs/>
          <w:lang w:val="en-GB"/>
        </w:rPr>
        <w:t>Signature page to follow</w:t>
      </w:r>
    </w:p>
    <w:p w14:paraId="35A34554" w14:textId="2A0EBFCE" w:rsidR="00A36448" w:rsidRDefault="00D805F8" w:rsidP="00A36448">
      <w:pPr>
        <w:pStyle w:val="Level1"/>
        <w:numPr>
          <w:ilvl w:val="0"/>
          <w:numId w:val="0"/>
        </w:numPr>
        <w:ind w:left="720" w:hanging="720"/>
        <w:rPr>
          <w:lang w:val="en-GB"/>
        </w:rPr>
      </w:pPr>
      <w:r w:rsidRPr="004B4540">
        <w:rPr>
          <w:i/>
          <w:iCs/>
          <w:lang w:val="en-GB"/>
        </w:rPr>
        <w:br w:type="page"/>
      </w:r>
      <w:r w:rsidR="00A36448" w:rsidRPr="004B4540">
        <w:rPr>
          <w:lang w:val="en-GB"/>
        </w:rPr>
        <w:lastRenderedPageBreak/>
        <w:t xml:space="preserve">SCHEDULE 1 – </w:t>
      </w:r>
      <w:r w:rsidR="005E23BC" w:rsidRPr="004B4540">
        <w:rPr>
          <w:lang w:val="en-GB"/>
        </w:rPr>
        <w:t>DISTRIBUTION PRINCIPLES</w:t>
      </w:r>
    </w:p>
    <w:p w14:paraId="356DD665" w14:textId="47C36388" w:rsidR="000B2525" w:rsidRDefault="00E43E92">
      <w:pPr>
        <w:pStyle w:val="Normaltextafter12"/>
        <w:rPr>
          <w:lang w:val="en-GB"/>
        </w:rPr>
      </w:pPr>
      <w:r>
        <w:rPr>
          <w:lang w:val="en-GB"/>
        </w:rPr>
        <w:t>The Distribution Proceeds</w:t>
      </w:r>
      <w:r w:rsidR="000902CC" w:rsidRPr="000902CC">
        <w:rPr>
          <w:lang w:val="en-GB"/>
        </w:rPr>
        <w:t xml:space="preserve"> </w:t>
      </w:r>
      <w:r w:rsidR="000902CC">
        <w:rPr>
          <w:lang w:val="en-GB"/>
        </w:rPr>
        <w:t xml:space="preserve">(i.e. the </w:t>
      </w:r>
      <w:r w:rsidR="000902CC" w:rsidRPr="000902CC">
        <w:rPr>
          <w:lang w:val="en-GB"/>
        </w:rPr>
        <w:t xml:space="preserve">proceeds from the sale of </w:t>
      </w:r>
      <w:r w:rsidR="000902CC">
        <w:rPr>
          <w:lang w:val="en-GB"/>
        </w:rPr>
        <w:t>the</w:t>
      </w:r>
      <w:r w:rsidR="000902CC" w:rsidRPr="000902CC">
        <w:rPr>
          <w:lang w:val="en-GB"/>
        </w:rPr>
        <w:t xml:space="preserve"> </w:t>
      </w:r>
      <w:r w:rsidR="00566F21">
        <w:rPr>
          <w:lang w:val="en-GB"/>
        </w:rPr>
        <w:t>Core</w:t>
      </w:r>
      <w:r w:rsidR="00566F21" w:rsidRPr="000902CC">
        <w:rPr>
          <w:lang w:val="en-GB"/>
        </w:rPr>
        <w:t xml:space="preserve"> </w:t>
      </w:r>
      <w:r w:rsidR="000902CC" w:rsidRPr="000902CC">
        <w:rPr>
          <w:lang w:val="en-GB"/>
        </w:rPr>
        <w:t xml:space="preserve">Assets </w:t>
      </w:r>
      <w:r w:rsidR="000902CC">
        <w:rPr>
          <w:lang w:val="en-GB"/>
        </w:rPr>
        <w:t xml:space="preserve">after deduction of the costs and amounts referred to in Sections </w:t>
      </w:r>
      <w:r w:rsidR="000902CC">
        <w:rPr>
          <w:lang w:val="en-GB"/>
        </w:rPr>
        <w:fldChar w:fldCharType="begin"/>
      </w:r>
      <w:r w:rsidR="000902CC">
        <w:rPr>
          <w:lang w:val="en-GB"/>
        </w:rPr>
        <w:instrText xml:space="preserve"> REF _Ref193193173 \r \h </w:instrText>
      </w:r>
      <w:r w:rsidR="000902CC">
        <w:rPr>
          <w:lang w:val="en-GB"/>
        </w:rPr>
      </w:r>
      <w:r w:rsidR="000902CC">
        <w:rPr>
          <w:lang w:val="en-GB"/>
        </w:rPr>
        <w:fldChar w:fldCharType="separate"/>
      </w:r>
      <w:r w:rsidR="00D40422">
        <w:rPr>
          <w:lang w:val="en-GB"/>
        </w:rPr>
        <w:t>4.1.1</w:t>
      </w:r>
      <w:r w:rsidR="000902CC">
        <w:rPr>
          <w:lang w:val="en-GB"/>
        </w:rPr>
        <w:fldChar w:fldCharType="end"/>
      </w:r>
      <w:r w:rsidR="000902CC">
        <w:rPr>
          <w:lang w:val="en-GB"/>
        </w:rPr>
        <w:t xml:space="preserve"> and </w:t>
      </w:r>
      <w:r w:rsidR="000902CC">
        <w:rPr>
          <w:lang w:val="en-GB"/>
        </w:rPr>
        <w:fldChar w:fldCharType="begin"/>
      </w:r>
      <w:r w:rsidR="000902CC">
        <w:rPr>
          <w:lang w:val="en-GB"/>
        </w:rPr>
        <w:instrText xml:space="preserve"> REF _Ref193193175 \r \h </w:instrText>
      </w:r>
      <w:r w:rsidR="000902CC">
        <w:rPr>
          <w:lang w:val="en-GB"/>
        </w:rPr>
      </w:r>
      <w:r w:rsidR="000902CC">
        <w:rPr>
          <w:lang w:val="en-GB"/>
        </w:rPr>
        <w:fldChar w:fldCharType="separate"/>
      </w:r>
      <w:r w:rsidR="00D40422">
        <w:rPr>
          <w:lang w:val="en-GB"/>
        </w:rPr>
        <w:t>4.1.2</w:t>
      </w:r>
      <w:r w:rsidR="000902CC">
        <w:rPr>
          <w:lang w:val="en-GB"/>
        </w:rPr>
        <w:fldChar w:fldCharType="end"/>
      </w:r>
      <w:r w:rsidR="000902CC">
        <w:rPr>
          <w:lang w:val="en-GB"/>
        </w:rPr>
        <w:t xml:space="preserve"> of the Proceeds Sharing Agreement)</w:t>
      </w:r>
      <w:r>
        <w:rPr>
          <w:lang w:val="en-GB"/>
        </w:rPr>
        <w:t xml:space="preserve"> will be allocated using a tiered structure, where the applicable </w:t>
      </w:r>
      <w:r w:rsidRPr="00E43E92">
        <w:rPr>
          <w:lang w:val="en-GB"/>
        </w:rPr>
        <w:t>percentage allocations are applied separately to each portion of the proceeds that falls within a respective tier. The distribution shall be carried out progressively, meaning that proceeds within the first tier will be allocated based on the percentages specified for that tier. Once the first tier is fully allocated, any remaining proceeds will be distributed according to the percentages applicable to the next tier, and this process will continue for each subsequent tier until all Distribution Proceeds have been fully allocated. This means that percentage allocations do not apply uniformly to the total amount of Distribution Proceeds but are instead calculated on a step-by-step basis for each tier.</w:t>
      </w:r>
    </w:p>
    <w:p w14:paraId="51C6C0F9" w14:textId="77777777" w:rsidR="00133D70" w:rsidRPr="004B4540" w:rsidRDefault="00133D70" w:rsidP="000902CC">
      <w:pPr>
        <w:pStyle w:val="Normaltextafter12"/>
        <w:rPr>
          <w:lang w:val="en-GB"/>
        </w:rPr>
      </w:pPr>
      <w:r>
        <w:rPr>
          <w:lang w:val="en-GB"/>
        </w:rPr>
        <w:t xml:space="preserve">The Distribution Proceeds will be allocated as follows: </w:t>
      </w:r>
    </w:p>
    <w:tbl>
      <w:tblPr>
        <w:tblStyle w:val="TableGrid"/>
        <w:tblW w:w="0" w:type="auto"/>
        <w:tblLook w:val="04A0" w:firstRow="1" w:lastRow="0" w:firstColumn="1" w:lastColumn="0" w:noHBand="0" w:noVBand="1"/>
      </w:tblPr>
      <w:tblGrid>
        <w:gridCol w:w="846"/>
        <w:gridCol w:w="2268"/>
        <w:gridCol w:w="1491"/>
        <w:gridCol w:w="2761"/>
        <w:gridCol w:w="1411"/>
      </w:tblGrid>
      <w:tr w:rsidR="00EB616E" w:rsidRPr="00DE25C1" w14:paraId="416A4CCF" w14:textId="77777777" w:rsidTr="00250719">
        <w:trPr>
          <w:trHeight w:val="472"/>
        </w:trPr>
        <w:tc>
          <w:tcPr>
            <w:tcW w:w="846" w:type="dxa"/>
          </w:tcPr>
          <w:p w14:paraId="50E5F9F5" w14:textId="77777777" w:rsidR="00EB616E" w:rsidRPr="005D64AF" w:rsidRDefault="00EB616E" w:rsidP="00250719">
            <w:pPr>
              <w:pStyle w:val="Normaltextafter12"/>
              <w:rPr>
                <w:rFonts w:cs="Arial"/>
                <w:b/>
                <w:lang w:val="en-GB"/>
              </w:rPr>
            </w:pPr>
            <w:r w:rsidRPr="005D64AF">
              <w:rPr>
                <w:rFonts w:cs="Arial"/>
                <w:b/>
                <w:lang w:val="en-GB"/>
              </w:rPr>
              <w:t>Tier</w:t>
            </w:r>
          </w:p>
        </w:tc>
        <w:tc>
          <w:tcPr>
            <w:tcW w:w="2268" w:type="dxa"/>
            <w:hideMark/>
          </w:tcPr>
          <w:p w14:paraId="21B2FC41" w14:textId="77777777" w:rsidR="00EB616E" w:rsidRPr="005D64AF" w:rsidRDefault="00EB616E" w:rsidP="00250719">
            <w:pPr>
              <w:pStyle w:val="Normaltextafter12"/>
              <w:rPr>
                <w:rFonts w:cs="Arial"/>
                <w:b/>
                <w:lang w:val="en-GB"/>
              </w:rPr>
            </w:pPr>
            <w:r w:rsidRPr="005D64AF">
              <w:rPr>
                <w:rFonts w:cs="Arial"/>
                <w:b/>
                <w:lang w:val="en-GB"/>
              </w:rPr>
              <w:t>Distribution Proceeds (EUR)</w:t>
            </w:r>
          </w:p>
        </w:tc>
        <w:tc>
          <w:tcPr>
            <w:tcW w:w="1491" w:type="dxa"/>
            <w:hideMark/>
          </w:tcPr>
          <w:p w14:paraId="6A8411B1" w14:textId="77777777" w:rsidR="00EB616E" w:rsidRPr="005D64AF" w:rsidRDefault="00EB616E" w:rsidP="00250719">
            <w:pPr>
              <w:pStyle w:val="Normaltextafter12"/>
              <w:rPr>
                <w:rFonts w:cs="Arial"/>
                <w:b/>
                <w:lang w:val="en-GB"/>
              </w:rPr>
            </w:pPr>
            <w:r w:rsidRPr="005D64AF">
              <w:rPr>
                <w:rFonts w:cs="Arial"/>
                <w:b/>
                <w:lang w:val="en-GB"/>
              </w:rPr>
              <w:t>Secured Noteholders</w:t>
            </w:r>
          </w:p>
        </w:tc>
        <w:tc>
          <w:tcPr>
            <w:tcW w:w="2761" w:type="dxa"/>
            <w:hideMark/>
          </w:tcPr>
          <w:p w14:paraId="67A7A976" w14:textId="77777777" w:rsidR="00EB616E" w:rsidRPr="005D64AF" w:rsidRDefault="00EB616E" w:rsidP="00250719">
            <w:pPr>
              <w:pStyle w:val="Normaltextafter12"/>
              <w:rPr>
                <w:rFonts w:cs="Arial"/>
                <w:b/>
                <w:lang w:val="en-GB"/>
              </w:rPr>
            </w:pPr>
            <w:r w:rsidRPr="005D64AF">
              <w:rPr>
                <w:rFonts w:cs="Arial"/>
                <w:b/>
                <w:bCs/>
                <w:lang w:val="en-GB"/>
              </w:rPr>
              <w:t>Convertible Noteholders and the Unsecured Lender</w:t>
            </w:r>
            <w:r w:rsidR="004B7EE0">
              <w:rPr>
                <w:rStyle w:val="FootnoteReference"/>
                <w:rFonts w:cs="Arial"/>
                <w:b/>
                <w:bCs/>
                <w:lang w:val="en-GB"/>
              </w:rPr>
              <w:footnoteReference w:id="2"/>
            </w:r>
            <w:r w:rsidR="004B7EE0">
              <w:rPr>
                <w:rFonts w:cs="Arial"/>
                <w:b/>
                <w:bCs/>
                <w:lang w:val="en-GB"/>
              </w:rPr>
              <w:t xml:space="preserve"> </w:t>
            </w:r>
          </w:p>
        </w:tc>
        <w:tc>
          <w:tcPr>
            <w:tcW w:w="1411" w:type="dxa"/>
            <w:hideMark/>
          </w:tcPr>
          <w:p w14:paraId="261CFEDE" w14:textId="77777777" w:rsidR="00EB616E" w:rsidRPr="005D64AF" w:rsidRDefault="000B2525" w:rsidP="00250719">
            <w:pPr>
              <w:pStyle w:val="Normaltextafter12"/>
              <w:rPr>
                <w:rFonts w:cs="Arial"/>
                <w:b/>
                <w:lang w:val="en-GB"/>
              </w:rPr>
            </w:pPr>
            <w:r>
              <w:rPr>
                <w:rFonts w:cs="Arial"/>
                <w:b/>
                <w:lang w:val="en-GB"/>
              </w:rPr>
              <w:t>Company</w:t>
            </w:r>
          </w:p>
        </w:tc>
      </w:tr>
      <w:tr w:rsidR="00EB616E" w:rsidRPr="00DE25C1" w14:paraId="643037A4" w14:textId="77777777" w:rsidTr="00250719">
        <w:trPr>
          <w:trHeight w:val="288"/>
        </w:trPr>
        <w:tc>
          <w:tcPr>
            <w:tcW w:w="846" w:type="dxa"/>
          </w:tcPr>
          <w:p w14:paraId="261189F3" w14:textId="77777777" w:rsidR="00EB616E" w:rsidRPr="005D64AF" w:rsidRDefault="00EB616E" w:rsidP="00250719">
            <w:pPr>
              <w:pStyle w:val="Normaltextafter12"/>
              <w:rPr>
                <w:rFonts w:cs="Arial"/>
                <w:lang w:val="en-GB"/>
              </w:rPr>
            </w:pPr>
            <w:r w:rsidRPr="005D64AF">
              <w:rPr>
                <w:rFonts w:cs="Arial"/>
                <w:lang w:val="en-GB"/>
              </w:rPr>
              <w:t>Tier 1</w:t>
            </w:r>
          </w:p>
        </w:tc>
        <w:tc>
          <w:tcPr>
            <w:tcW w:w="2268" w:type="dxa"/>
            <w:noWrap/>
            <w:hideMark/>
          </w:tcPr>
          <w:p w14:paraId="09E60693" w14:textId="77777777" w:rsidR="00EB616E" w:rsidRPr="005D64AF" w:rsidRDefault="00EB616E" w:rsidP="00250719">
            <w:pPr>
              <w:pStyle w:val="Normaltextafter12"/>
              <w:rPr>
                <w:rFonts w:cs="Arial"/>
                <w:lang w:val="en-GB"/>
              </w:rPr>
            </w:pPr>
            <w:r w:rsidRPr="005D64AF">
              <w:rPr>
                <w:rFonts w:cs="Arial"/>
                <w:lang w:val="en-GB"/>
              </w:rPr>
              <w:t xml:space="preserve"> 0 – 4,500,000 </w:t>
            </w:r>
          </w:p>
        </w:tc>
        <w:tc>
          <w:tcPr>
            <w:tcW w:w="1491" w:type="dxa"/>
            <w:noWrap/>
            <w:hideMark/>
          </w:tcPr>
          <w:p w14:paraId="5896D9F7" w14:textId="77777777" w:rsidR="00EB616E" w:rsidRPr="005D64AF" w:rsidRDefault="00EB616E" w:rsidP="00250719">
            <w:pPr>
              <w:pStyle w:val="Normaltextafter12"/>
              <w:rPr>
                <w:rFonts w:cs="Arial"/>
                <w:lang w:val="en-GB"/>
              </w:rPr>
            </w:pPr>
            <w:r w:rsidRPr="005D64AF">
              <w:rPr>
                <w:rFonts w:cs="Arial"/>
                <w:lang w:val="en-GB"/>
              </w:rPr>
              <w:t>90%</w:t>
            </w:r>
          </w:p>
        </w:tc>
        <w:tc>
          <w:tcPr>
            <w:tcW w:w="2761" w:type="dxa"/>
            <w:noWrap/>
            <w:hideMark/>
          </w:tcPr>
          <w:p w14:paraId="2E34CB26" w14:textId="77777777" w:rsidR="00EB616E" w:rsidRPr="005D64AF" w:rsidRDefault="00EB616E" w:rsidP="00250719">
            <w:pPr>
              <w:pStyle w:val="Normaltextafter12"/>
              <w:rPr>
                <w:rFonts w:cs="Arial"/>
                <w:lang w:val="en-GB"/>
              </w:rPr>
            </w:pPr>
            <w:r w:rsidRPr="005D64AF">
              <w:rPr>
                <w:rFonts w:cs="Arial"/>
                <w:lang w:val="en-GB"/>
              </w:rPr>
              <w:t>9%</w:t>
            </w:r>
          </w:p>
        </w:tc>
        <w:tc>
          <w:tcPr>
            <w:tcW w:w="1411" w:type="dxa"/>
            <w:noWrap/>
            <w:hideMark/>
          </w:tcPr>
          <w:p w14:paraId="3A62324B" w14:textId="77777777" w:rsidR="00EB616E" w:rsidRPr="005D64AF" w:rsidRDefault="00EB616E" w:rsidP="00250719">
            <w:pPr>
              <w:pStyle w:val="Normaltextafter12"/>
              <w:rPr>
                <w:rFonts w:cs="Arial"/>
                <w:lang w:val="en-GB"/>
              </w:rPr>
            </w:pPr>
            <w:r w:rsidRPr="005D64AF">
              <w:rPr>
                <w:rFonts w:cs="Arial"/>
                <w:lang w:val="en-GB"/>
              </w:rPr>
              <w:t>1%</w:t>
            </w:r>
          </w:p>
        </w:tc>
      </w:tr>
      <w:tr w:rsidR="00EB616E" w:rsidRPr="00DE25C1" w14:paraId="6DA2AFEE" w14:textId="77777777" w:rsidTr="00250719">
        <w:trPr>
          <w:trHeight w:val="288"/>
        </w:trPr>
        <w:tc>
          <w:tcPr>
            <w:tcW w:w="846" w:type="dxa"/>
          </w:tcPr>
          <w:p w14:paraId="28D38AF6" w14:textId="77777777" w:rsidR="00EB616E" w:rsidRPr="005D64AF" w:rsidRDefault="00EB616E" w:rsidP="00250719">
            <w:pPr>
              <w:pStyle w:val="Normaltextafter12"/>
              <w:rPr>
                <w:rFonts w:cs="Arial"/>
                <w:lang w:val="en-GB"/>
              </w:rPr>
            </w:pPr>
            <w:r w:rsidRPr="005D64AF">
              <w:rPr>
                <w:rFonts w:cs="Arial"/>
                <w:lang w:val="en-GB"/>
              </w:rPr>
              <w:t>Tier 2</w:t>
            </w:r>
          </w:p>
        </w:tc>
        <w:tc>
          <w:tcPr>
            <w:tcW w:w="2268" w:type="dxa"/>
            <w:noWrap/>
            <w:hideMark/>
          </w:tcPr>
          <w:p w14:paraId="5686C6EC" w14:textId="77777777" w:rsidR="00EB616E" w:rsidRPr="005D64AF" w:rsidRDefault="00EB616E" w:rsidP="00250719">
            <w:pPr>
              <w:pStyle w:val="Normaltextafter12"/>
              <w:rPr>
                <w:rFonts w:cs="Arial"/>
                <w:lang w:val="en-GB"/>
              </w:rPr>
            </w:pPr>
            <w:r w:rsidRPr="005D64AF">
              <w:rPr>
                <w:rFonts w:cs="Arial"/>
                <w:lang w:val="en-GB"/>
              </w:rPr>
              <w:t xml:space="preserve"> 4,500,001 – 6,000,000 </w:t>
            </w:r>
          </w:p>
        </w:tc>
        <w:tc>
          <w:tcPr>
            <w:tcW w:w="1491" w:type="dxa"/>
            <w:noWrap/>
            <w:hideMark/>
          </w:tcPr>
          <w:p w14:paraId="0B8A377C" w14:textId="77777777" w:rsidR="00EB616E" w:rsidRPr="005D64AF" w:rsidRDefault="00EB616E" w:rsidP="00250719">
            <w:pPr>
              <w:pStyle w:val="Normaltextafter12"/>
              <w:rPr>
                <w:rFonts w:cs="Arial"/>
                <w:lang w:val="en-GB"/>
              </w:rPr>
            </w:pPr>
            <w:r w:rsidRPr="005D64AF">
              <w:rPr>
                <w:rFonts w:cs="Arial"/>
                <w:lang w:val="en-GB"/>
              </w:rPr>
              <w:t>70%</w:t>
            </w:r>
          </w:p>
        </w:tc>
        <w:tc>
          <w:tcPr>
            <w:tcW w:w="2761" w:type="dxa"/>
            <w:noWrap/>
            <w:hideMark/>
          </w:tcPr>
          <w:p w14:paraId="507F4B2A" w14:textId="77777777" w:rsidR="00EB616E" w:rsidRPr="005D64AF" w:rsidRDefault="00EB616E" w:rsidP="00250719">
            <w:pPr>
              <w:pStyle w:val="Normaltextafter12"/>
              <w:rPr>
                <w:rFonts w:cs="Arial"/>
                <w:lang w:val="en-GB"/>
              </w:rPr>
            </w:pPr>
            <w:r w:rsidRPr="005D64AF">
              <w:rPr>
                <w:rFonts w:cs="Arial"/>
                <w:lang w:val="en-GB"/>
              </w:rPr>
              <w:t>25%</w:t>
            </w:r>
          </w:p>
        </w:tc>
        <w:tc>
          <w:tcPr>
            <w:tcW w:w="1411" w:type="dxa"/>
            <w:noWrap/>
            <w:hideMark/>
          </w:tcPr>
          <w:p w14:paraId="3E737029" w14:textId="77777777" w:rsidR="00EB616E" w:rsidRPr="005D64AF" w:rsidRDefault="00EB616E" w:rsidP="00250719">
            <w:pPr>
              <w:pStyle w:val="Normaltextafter12"/>
              <w:rPr>
                <w:rFonts w:cs="Arial"/>
                <w:lang w:val="en-GB"/>
              </w:rPr>
            </w:pPr>
            <w:r w:rsidRPr="005D64AF">
              <w:rPr>
                <w:rFonts w:cs="Arial"/>
                <w:lang w:val="en-GB"/>
              </w:rPr>
              <w:t>5%</w:t>
            </w:r>
          </w:p>
        </w:tc>
      </w:tr>
      <w:tr w:rsidR="00EB616E" w:rsidRPr="00DE25C1" w14:paraId="41755D99" w14:textId="77777777" w:rsidTr="00250719">
        <w:trPr>
          <w:trHeight w:val="288"/>
        </w:trPr>
        <w:tc>
          <w:tcPr>
            <w:tcW w:w="846" w:type="dxa"/>
          </w:tcPr>
          <w:p w14:paraId="154431E7" w14:textId="77777777" w:rsidR="00EB616E" w:rsidRPr="005D64AF" w:rsidRDefault="00EB616E" w:rsidP="00250719">
            <w:pPr>
              <w:pStyle w:val="Normaltextafter12"/>
              <w:rPr>
                <w:rFonts w:cs="Arial"/>
                <w:lang w:val="en-GB"/>
              </w:rPr>
            </w:pPr>
            <w:r w:rsidRPr="005D64AF">
              <w:rPr>
                <w:rFonts w:cs="Arial"/>
                <w:lang w:val="en-GB"/>
              </w:rPr>
              <w:t>Tier 3</w:t>
            </w:r>
          </w:p>
        </w:tc>
        <w:tc>
          <w:tcPr>
            <w:tcW w:w="2268" w:type="dxa"/>
            <w:noWrap/>
            <w:hideMark/>
          </w:tcPr>
          <w:p w14:paraId="743B28E1" w14:textId="77777777" w:rsidR="00EB616E" w:rsidRPr="005D64AF" w:rsidRDefault="00EB616E" w:rsidP="00250719">
            <w:pPr>
              <w:pStyle w:val="Normaltextafter12"/>
              <w:rPr>
                <w:rFonts w:cs="Arial"/>
                <w:lang w:val="en-GB"/>
              </w:rPr>
            </w:pPr>
            <w:r w:rsidRPr="005D64AF">
              <w:rPr>
                <w:rFonts w:cs="Arial"/>
                <w:lang w:val="en-GB"/>
              </w:rPr>
              <w:t xml:space="preserve"> 6,000,001 – 8,000,000 </w:t>
            </w:r>
          </w:p>
        </w:tc>
        <w:tc>
          <w:tcPr>
            <w:tcW w:w="1491" w:type="dxa"/>
            <w:noWrap/>
            <w:hideMark/>
          </w:tcPr>
          <w:p w14:paraId="1C9C4843" w14:textId="77777777" w:rsidR="00EB616E" w:rsidRPr="005D64AF" w:rsidRDefault="00EB616E" w:rsidP="00250719">
            <w:pPr>
              <w:pStyle w:val="Normaltextafter12"/>
              <w:rPr>
                <w:rFonts w:cs="Arial"/>
                <w:lang w:val="en-GB"/>
              </w:rPr>
            </w:pPr>
            <w:r w:rsidRPr="005D64AF">
              <w:rPr>
                <w:rFonts w:cs="Arial"/>
                <w:lang w:val="en-GB"/>
              </w:rPr>
              <w:t>60%</w:t>
            </w:r>
          </w:p>
        </w:tc>
        <w:tc>
          <w:tcPr>
            <w:tcW w:w="2761" w:type="dxa"/>
            <w:noWrap/>
            <w:hideMark/>
          </w:tcPr>
          <w:p w14:paraId="328CE405" w14:textId="77777777" w:rsidR="00EB616E" w:rsidRPr="005D64AF" w:rsidRDefault="00EB616E" w:rsidP="00250719">
            <w:pPr>
              <w:pStyle w:val="Normaltextafter12"/>
              <w:rPr>
                <w:rFonts w:cs="Arial"/>
                <w:lang w:val="en-GB"/>
              </w:rPr>
            </w:pPr>
            <w:r w:rsidRPr="005D64AF">
              <w:rPr>
                <w:rFonts w:cs="Arial"/>
                <w:lang w:val="en-GB"/>
              </w:rPr>
              <w:t>30%</w:t>
            </w:r>
          </w:p>
        </w:tc>
        <w:tc>
          <w:tcPr>
            <w:tcW w:w="1411" w:type="dxa"/>
            <w:noWrap/>
            <w:hideMark/>
          </w:tcPr>
          <w:p w14:paraId="621457B3" w14:textId="77777777" w:rsidR="00EB616E" w:rsidRPr="005D64AF" w:rsidRDefault="00EB616E" w:rsidP="00250719">
            <w:pPr>
              <w:pStyle w:val="Normaltextafter12"/>
              <w:rPr>
                <w:rFonts w:cs="Arial"/>
                <w:lang w:val="en-GB"/>
              </w:rPr>
            </w:pPr>
            <w:r w:rsidRPr="005D64AF">
              <w:rPr>
                <w:rFonts w:cs="Arial"/>
                <w:lang w:val="en-GB"/>
              </w:rPr>
              <w:t>10%</w:t>
            </w:r>
          </w:p>
        </w:tc>
      </w:tr>
      <w:tr w:rsidR="00EB616E" w:rsidRPr="00DE25C1" w14:paraId="068319B9" w14:textId="77777777" w:rsidTr="00250719">
        <w:trPr>
          <w:trHeight w:val="288"/>
        </w:trPr>
        <w:tc>
          <w:tcPr>
            <w:tcW w:w="846" w:type="dxa"/>
          </w:tcPr>
          <w:p w14:paraId="4E947BD1" w14:textId="77777777" w:rsidR="00EB616E" w:rsidRPr="005D64AF" w:rsidRDefault="00EB616E" w:rsidP="00250719">
            <w:pPr>
              <w:pStyle w:val="Normaltextafter12"/>
              <w:rPr>
                <w:rFonts w:cs="Arial"/>
                <w:lang w:val="en-GB"/>
              </w:rPr>
            </w:pPr>
            <w:r w:rsidRPr="005D64AF">
              <w:rPr>
                <w:rFonts w:cs="Arial"/>
                <w:lang w:val="en-GB"/>
              </w:rPr>
              <w:t>Tier 4</w:t>
            </w:r>
          </w:p>
        </w:tc>
        <w:tc>
          <w:tcPr>
            <w:tcW w:w="2268" w:type="dxa"/>
            <w:noWrap/>
            <w:hideMark/>
          </w:tcPr>
          <w:p w14:paraId="315ED479" w14:textId="77777777" w:rsidR="00EB616E" w:rsidRPr="005D64AF" w:rsidRDefault="00EB616E" w:rsidP="00250719">
            <w:pPr>
              <w:pStyle w:val="Normaltextafter12"/>
              <w:rPr>
                <w:rFonts w:cs="Arial"/>
                <w:lang w:val="en-GB"/>
              </w:rPr>
            </w:pPr>
            <w:r w:rsidRPr="005D64AF">
              <w:rPr>
                <w:rFonts w:cs="Arial"/>
                <w:lang w:val="en-GB"/>
              </w:rPr>
              <w:t xml:space="preserve"> above 8,000,000 </w:t>
            </w:r>
          </w:p>
        </w:tc>
        <w:tc>
          <w:tcPr>
            <w:tcW w:w="1491" w:type="dxa"/>
            <w:noWrap/>
            <w:hideMark/>
          </w:tcPr>
          <w:p w14:paraId="1E09EDBE" w14:textId="77777777" w:rsidR="00EB616E" w:rsidRPr="005D64AF" w:rsidRDefault="00EB616E" w:rsidP="00250719">
            <w:pPr>
              <w:pStyle w:val="Normaltextafter12"/>
              <w:rPr>
                <w:rFonts w:cs="Arial"/>
                <w:lang w:val="en-GB"/>
              </w:rPr>
            </w:pPr>
            <w:r w:rsidRPr="005D64AF">
              <w:rPr>
                <w:rFonts w:cs="Arial"/>
                <w:lang w:val="en-GB"/>
              </w:rPr>
              <w:t>45%</w:t>
            </w:r>
          </w:p>
        </w:tc>
        <w:tc>
          <w:tcPr>
            <w:tcW w:w="2761" w:type="dxa"/>
            <w:noWrap/>
            <w:hideMark/>
          </w:tcPr>
          <w:p w14:paraId="7DF245F2" w14:textId="77777777" w:rsidR="00EB616E" w:rsidRPr="005D64AF" w:rsidRDefault="00EB616E" w:rsidP="00250719">
            <w:pPr>
              <w:pStyle w:val="Normaltextafter12"/>
              <w:rPr>
                <w:rFonts w:cs="Arial"/>
                <w:lang w:val="en-GB"/>
              </w:rPr>
            </w:pPr>
            <w:r w:rsidRPr="005D64AF">
              <w:rPr>
                <w:rFonts w:cs="Arial"/>
                <w:lang w:val="en-GB"/>
              </w:rPr>
              <w:t>40%</w:t>
            </w:r>
          </w:p>
        </w:tc>
        <w:tc>
          <w:tcPr>
            <w:tcW w:w="1411" w:type="dxa"/>
            <w:noWrap/>
            <w:hideMark/>
          </w:tcPr>
          <w:p w14:paraId="52725065" w14:textId="694AAAF5" w:rsidR="00EB616E" w:rsidRPr="005D64AF" w:rsidRDefault="00D700D8" w:rsidP="00250719">
            <w:pPr>
              <w:pStyle w:val="Normaltextafter12"/>
              <w:rPr>
                <w:rFonts w:cs="Arial"/>
                <w:lang w:val="en-GB"/>
              </w:rPr>
            </w:pPr>
            <w:r>
              <w:rPr>
                <w:rFonts w:cs="Arial"/>
                <w:lang w:val="en-GB"/>
              </w:rPr>
              <w:t>15</w:t>
            </w:r>
            <w:r w:rsidR="00EB616E" w:rsidRPr="005D64AF">
              <w:rPr>
                <w:rFonts w:cs="Arial"/>
                <w:lang w:val="en-GB"/>
              </w:rPr>
              <w:t>%</w:t>
            </w:r>
          </w:p>
        </w:tc>
      </w:tr>
    </w:tbl>
    <w:p w14:paraId="6E7E7850" w14:textId="77777777" w:rsidR="009C355B" w:rsidRDefault="009C355B" w:rsidP="00A36448">
      <w:pPr>
        <w:pStyle w:val="Level1"/>
        <w:numPr>
          <w:ilvl w:val="0"/>
          <w:numId w:val="0"/>
        </w:numPr>
        <w:ind w:left="720" w:hanging="720"/>
        <w:rPr>
          <w:lang w:val="en-GB"/>
        </w:rPr>
      </w:pPr>
    </w:p>
    <w:p w14:paraId="04DA986A" w14:textId="77777777" w:rsidR="009C355B" w:rsidRDefault="009C355B">
      <w:pPr>
        <w:spacing w:line="264" w:lineRule="auto"/>
        <w:rPr>
          <w:rFonts w:ascii="Arial Bold" w:hAnsi="Arial Bold" w:cstheme="minorBidi"/>
          <w:b/>
          <w:lang w:val="en-GB"/>
        </w:rPr>
      </w:pPr>
      <w:r>
        <w:rPr>
          <w:lang w:val="en-GB"/>
        </w:rPr>
        <w:br w:type="page"/>
      </w:r>
    </w:p>
    <w:p w14:paraId="3396D14D" w14:textId="77777777" w:rsidR="004E50D8" w:rsidRDefault="009C355B" w:rsidP="004E50D8">
      <w:pPr>
        <w:pStyle w:val="Level1"/>
        <w:numPr>
          <w:ilvl w:val="0"/>
          <w:numId w:val="0"/>
        </w:numPr>
        <w:ind w:left="720" w:hanging="720"/>
        <w:rPr>
          <w:lang w:val="en-GB"/>
        </w:rPr>
      </w:pPr>
      <w:r>
        <w:rPr>
          <w:lang w:val="en-GB"/>
        </w:rPr>
        <w:lastRenderedPageBreak/>
        <w:t>SIGNATURES:</w:t>
      </w:r>
    </w:p>
    <w:tbl>
      <w:tblPr>
        <w:tblStyle w:val="TableGrid1"/>
        <w:tblW w:w="9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4"/>
        <w:gridCol w:w="727"/>
        <w:gridCol w:w="4534"/>
      </w:tblGrid>
      <w:tr w:rsidR="004E50D8" w:rsidRPr="00865F97" w14:paraId="70400E77" w14:textId="77777777" w:rsidTr="006063AE">
        <w:trPr>
          <w:trHeight w:val="492"/>
        </w:trPr>
        <w:tc>
          <w:tcPr>
            <w:tcW w:w="3804" w:type="dxa"/>
          </w:tcPr>
          <w:p w14:paraId="4AC0097C" w14:textId="19553F69" w:rsidR="004E50D8" w:rsidRPr="004E50D8" w:rsidRDefault="004E50D8" w:rsidP="00BC0A72">
            <w:pPr>
              <w:keepNext/>
              <w:keepLines/>
              <w:tabs>
                <w:tab w:val="left" w:pos="6059"/>
              </w:tabs>
              <w:spacing w:line="276" w:lineRule="auto"/>
              <w:rPr>
                <w:rFonts w:cs="Arial"/>
                <w:b/>
                <w:bCs/>
                <w:lang w:val="en-GB"/>
              </w:rPr>
            </w:pPr>
            <w:r w:rsidRPr="00F54668">
              <w:rPr>
                <w:rFonts w:cs="Arial"/>
                <w:b/>
                <w:lang w:val="en-GB"/>
              </w:rPr>
              <w:t>AS PRFOODS:</w:t>
            </w:r>
            <w:r w:rsidRPr="004E50D8">
              <w:rPr>
                <w:rFonts w:cs="Arial"/>
                <w:b/>
                <w:bCs/>
                <w:lang w:val="en-GB"/>
              </w:rPr>
              <w:t xml:space="preserve"> </w:t>
            </w:r>
          </w:p>
        </w:tc>
        <w:tc>
          <w:tcPr>
            <w:tcW w:w="727" w:type="dxa"/>
          </w:tcPr>
          <w:p w14:paraId="4438B9CE" w14:textId="77777777" w:rsidR="004E50D8" w:rsidRPr="00865F97" w:rsidRDefault="004E50D8" w:rsidP="006063AE">
            <w:pPr>
              <w:keepNext/>
              <w:keepLines/>
              <w:tabs>
                <w:tab w:val="left" w:pos="6059"/>
              </w:tabs>
              <w:spacing w:line="276" w:lineRule="auto"/>
              <w:rPr>
                <w:rFonts w:cs="Arial"/>
                <w:b/>
                <w:lang w:val="en-GB"/>
              </w:rPr>
            </w:pPr>
          </w:p>
        </w:tc>
        <w:tc>
          <w:tcPr>
            <w:tcW w:w="4534" w:type="dxa"/>
          </w:tcPr>
          <w:p w14:paraId="4F3CF2EB" w14:textId="4294A94D" w:rsidR="004E50D8" w:rsidRPr="00865F97" w:rsidRDefault="004E50D8" w:rsidP="006063AE">
            <w:pPr>
              <w:keepNext/>
              <w:keepLines/>
              <w:tabs>
                <w:tab w:val="left" w:pos="6059"/>
              </w:tabs>
              <w:spacing w:line="276" w:lineRule="auto"/>
              <w:rPr>
                <w:rFonts w:cs="Arial"/>
                <w:b/>
                <w:lang w:val="en-GB"/>
              </w:rPr>
            </w:pPr>
            <w:r>
              <w:rPr>
                <w:rFonts w:cs="Arial"/>
                <w:b/>
                <w:lang w:val="en-GB"/>
              </w:rPr>
              <w:t>PRF COLLATERAL AGENT OÜ</w:t>
            </w:r>
          </w:p>
        </w:tc>
      </w:tr>
      <w:tr w:rsidR="004E50D8" w:rsidRPr="00865F97" w14:paraId="5A9B2690" w14:textId="77777777" w:rsidTr="006063AE">
        <w:trPr>
          <w:trHeight w:val="1417"/>
        </w:trPr>
        <w:tc>
          <w:tcPr>
            <w:tcW w:w="3804" w:type="dxa"/>
          </w:tcPr>
          <w:p w14:paraId="6477D70D" w14:textId="77777777" w:rsidR="004E50D8" w:rsidRPr="00865F97" w:rsidRDefault="004E50D8" w:rsidP="006063AE">
            <w:pPr>
              <w:spacing w:before="120" w:after="120"/>
              <w:rPr>
                <w:rFonts w:cs="Arial"/>
                <w:lang w:val="en-GB"/>
              </w:rPr>
            </w:pPr>
          </w:p>
          <w:p w14:paraId="6481F63F" w14:textId="77777777" w:rsidR="004E50D8" w:rsidRPr="00865F97" w:rsidRDefault="004E50D8" w:rsidP="006063AE">
            <w:pPr>
              <w:spacing w:before="120" w:after="120"/>
              <w:rPr>
                <w:rFonts w:cs="Arial"/>
                <w:lang w:val="en-GB"/>
              </w:rPr>
            </w:pPr>
          </w:p>
          <w:p w14:paraId="68D0B7A2" w14:textId="77777777" w:rsidR="004E50D8" w:rsidRPr="00865F97" w:rsidRDefault="004E50D8" w:rsidP="006063AE">
            <w:pPr>
              <w:spacing w:before="120" w:after="120"/>
              <w:rPr>
                <w:rFonts w:cs="Arial"/>
                <w:lang w:val="en-GB"/>
              </w:rPr>
            </w:pPr>
          </w:p>
          <w:p w14:paraId="2A21BF82" w14:textId="77777777" w:rsidR="004E50D8" w:rsidRPr="00865F97" w:rsidRDefault="004E50D8" w:rsidP="006063AE">
            <w:pPr>
              <w:spacing w:before="120" w:after="120"/>
              <w:rPr>
                <w:rFonts w:cs="Arial"/>
                <w:lang w:val="en-GB"/>
              </w:rPr>
            </w:pPr>
            <w:r w:rsidRPr="00865F97">
              <w:rPr>
                <w:rFonts w:cs="Arial"/>
                <w:lang w:val="en-GB"/>
              </w:rPr>
              <w:t>______________________________</w:t>
            </w:r>
          </w:p>
        </w:tc>
        <w:tc>
          <w:tcPr>
            <w:tcW w:w="727" w:type="dxa"/>
          </w:tcPr>
          <w:p w14:paraId="6BBCA927" w14:textId="77777777" w:rsidR="004E50D8" w:rsidRPr="00865F97" w:rsidRDefault="004E50D8" w:rsidP="006063AE">
            <w:pPr>
              <w:keepNext/>
              <w:keepLines/>
              <w:tabs>
                <w:tab w:val="left" w:pos="6059"/>
              </w:tabs>
              <w:spacing w:line="276" w:lineRule="auto"/>
              <w:rPr>
                <w:rFonts w:cs="Arial"/>
                <w:b/>
                <w:lang w:val="en-GB"/>
              </w:rPr>
            </w:pPr>
          </w:p>
        </w:tc>
        <w:tc>
          <w:tcPr>
            <w:tcW w:w="4534" w:type="dxa"/>
          </w:tcPr>
          <w:p w14:paraId="3FB22F95" w14:textId="77777777" w:rsidR="004E50D8" w:rsidRPr="00865F97" w:rsidRDefault="004E50D8" w:rsidP="006063AE">
            <w:pPr>
              <w:spacing w:before="120" w:after="120"/>
              <w:rPr>
                <w:rFonts w:cs="Arial"/>
                <w:lang w:val="en-GB"/>
              </w:rPr>
            </w:pPr>
          </w:p>
          <w:p w14:paraId="31D84F0E" w14:textId="77777777" w:rsidR="004E50D8" w:rsidRPr="00865F97" w:rsidRDefault="004E50D8" w:rsidP="006063AE">
            <w:pPr>
              <w:spacing w:before="120" w:after="120"/>
              <w:rPr>
                <w:rFonts w:cs="Arial"/>
                <w:lang w:val="en-GB"/>
              </w:rPr>
            </w:pPr>
          </w:p>
          <w:p w14:paraId="525DA374" w14:textId="77777777" w:rsidR="004E50D8" w:rsidRPr="00865F97" w:rsidRDefault="004E50D8" w:rsidP="006063AE">
            <w:pPr>
              <w:spacing w:before="120" w:after="120"/>
              <w:rPr>
                <w:rFonts w:cs="Arial"/>
                <w:lang w:val="en-GB"/>
              </w:rPr>
            </w:pPr>
          </w:p>
          <w:p w14:paraId="6D546B09" w14:textId="77777777" w:rsidR="004E50D8" w:rsidRPr="00865F97" w:rsidRDefault="004E50D8" w:rsidP="006063AE">
            <w:pPr>
              <w:spacing w:before="120" w:after="120"/>
              <w:rPr>
                <w:rFonts w:cs="Arial"/>
                <w:lang w:val="en-GB"/>
              </w:rPr>
            </w:pPr>
            <w:r w:rsidRPr="00865F97">
              <w:rPr>
                <w:rFonts w:cs="Arial"/>
                <w:lang w:val="en-GB"/>
              </w:rPr>
              <w:t>______________________________</w:t>
            </w:r>
          </w:p>
        </w:tc>
      </w:tr>
      <w:tr w:rsidR="004E50D8" w:rsidRPr="00865F97" w14:paraId="003D074C" w14:textId="77777777" w:rsidTr="006063AE">
        <w:trPr>
          <w:trHeight w:val="567"/>
        </w:trPr>
        <w:tc>
          <w:tcPr>
            <w:tcW w:w="3804" w:type="dxa"/>
          </w:tcPr>
          <w:p w14:paraId="0D234A8B" w14:textId="12B3F29B" w:rsidR="004E50D8" w:rsidRPr="00865F97" w:rsidRDefault="004E50D8" w:rsidP="006063AE">
            <w:pPr>
              <w:keepNext/>
              <w:keepLines/>
              <w:tabs>
                <w:tab w:val="left" w:pos="6059"/>
              </w:tabs>
              <w:spacing w:line="276" w:lineRule="auto"/>
              <w:rPr>
                <w:rFonts w:cs="Arial"/>
                <w:lang w:val="en-GB"/>
              </w:rPr>
            </w:pPr>
            <w:r w:rsidRPr="00865F97">
              <w:rPr>
                <w:rFonts w:cs="Arial"/>
                <w:lang w:val="en-GB"/>
              </w:rPr>
              <w:t xml:space="preserve">Name: </w:t>
            </w:r>
            <w:proofErr w:type="gramStart"/>
            <w:r w:rsidR="00401155">
              <w:rPr>
                <w:rFonts w:cs="Arial"/>
                <w:lang w:val="en-GB"/>
              </w:rPr>
              <w:t>[  ]</w:t>
            </w:r>
            <w:proofErr w:type="gramEnd"/>
          </w:p>
        </w:tc>
        <w:tc>
          <w:tcPr>
            <w:tcW w:w="727" w:type="dxa"/>
          </w:tcPr>
          <w:p w14:paraId="1DEF5D03" w14:textId="77777777" w:rsidR="004E50D8" w:rsidRPr="00865F97" w:rsidRDefault="004E50D8" w:rsidP="006063AE">
            <w:pPr>
              <w:keepNext/>
              <w:keepLines/>
              <w:tabs>
                <w:tab w:val="left" w:pos="6059"/>
              </w:tabs>
              <w:spacing w:line="276" w:lineRule="auto"/>
              <w:rPr>
                <w:rFonts w:cs="Arial"/>
                <w:b/>
                <w:lang w:val="en-GB"/>
              </w:rPr>
            </w:pPr>
          </w:p>
        </w:tc>
        <w:tc>
          <w:tcPr>
            <w:tcW w:w="4534" w:type="dxa"/>
          </w:tcPr>
          <w:p w14:paraId="02CFFD82" w14:textId="71900032" w:rsidR="004E50D8" w:rsidRPr="00865F97" w:rsidRDefault="004E50D8" w:rsidP="006063AE">
            <w:pPr>
              <w:keepNext/>
              <w:keepLines/>
              <w:tabs>
                <w:tab w:val="left" w:pos="6059"/>
              </w:tabs>
              <w:spacing w:line="276" w:lineRule="auto"/>
              <w:rPr>
                <w:rFonts w:cs="Arial"/>
                <w:lang w:val="en-GB"/>
              </w:rPr>
            </w:pPr>
            <w:r w:rsidRPr="00865F97">
              <w:rPr>
                <w:rFonts w:cs="Arial"/>
                <w:lang w:val="en-GB"/>
              </w:rPr>
              <w:t xml:space="preserve">Name: </w:t>
            </w:r>
            <w:proofErr w:type="gramStart"/>
            <w:r w:rsidR="00401155">
              <w:rPr>
                <w:rFonts w:cs="Arial"/>
                <w:lang w:val="en-GB"/>
              </w:rPr>
              <w:t>[  ]</w:t>
            </w:r>
            <w:proofErr w:type="gramEnd"/>
          </w:p>
        </w:tc>
      </w:tr>
      <w:tr w:rsidR="00F54668" w:rsidRPr="00865F97" w14:paraId="21E751A1" w14:textId="77777777" w:rsidTr="006063AE">
        <w:trPr>
          <w:trHeight w:val="567"/>
        </w:trPr>
        <w:tc>
          <w:tcPr>
            <w:tcW w:w="3804" w:type="dxa"/>
          </w:tcPr>
          <w:p w14:paraId="404DA263" w14:textId="246CD364" w:rsidR="00F54668" w:rsidRPr="00865F97" w:rsidRDefault="00F54668" w:rsidP="00F54668">
            <w:pPr>
              <w:keepNext/>
              <w:keepLines/>
              <w:tabs>
                <w:tab w:val="left" w:pos="6059"/>
              </w:tabs>
              <w:spacing w:line="276" w:lineRule="auto"/>
              <w:rPr>
                <w:rFonts w:cs="Arial"/>
                <w:b/>
                <w:bCs/>
              </w:rPr>
            </w:pPr>
            <w:r>
              <w:rPr>
                <w:rFonts w:cs="Arial"/>
                <w:b/>
                <w:bCs/>
              </w:rPr>
              <w:t xml:space="preserve">AMBER TRUST II S.C.A., SICAR (in </w:t>
            </w:r>
            <w:proofErr w:type="spellStart"/>
            <w:r>
              <w:rPr>
                <w:rFonts w:cs="Arial"/>
                <w:b/>
                <w:bCs/>
              </w:rPr>
              <w:t>liquidation</w:t>
            </w:r>
            <w:proofErr w:type="spellEnd"/>
            <w:r>
              <w:rPr>
                <w:rFonts w:cs="Arial"/>
                <w:b/>
                <w:bCs/>
              </w:rPr>
              <w:t>)</w:t>
            </w:r>
            <w:r w:rsidRPr="00865F97">
              <w:rPr>
                <w:rFonts w:cs="Arial"/>
                <w:b/>
                <w:bCs/>
              </w:rPr>
              <w:t xml:space="preserve"> </w:t>
            </w:r>
          </w:p>
        </w:tc>
        <w:tc>
          <w:tcPr>
            <w:tcW w:w="727" w:type="dxa"/>
          </w:tcPr>
          <w:p w14:paraId="7D5B8E24" w14:textId="77777777" w:rsidR="00F54668" w:rsidRPr="00865F97" w:rsidRDefault="00F54668" w:rsidP="00F54668">
            <w:pPr>
              <w:keepNext/>
              <w:keepLines/>
              <w:tabs>
                <w:tab w:val="left" w:pos="6059"/>
              </w:tabs>
              <w:spacing w:line="276" w:lineRule="auto"/>
              <w:rPr>
                <w:rFonts w:cs="Arial"/>
                <w:b/>
              </w:rPr>
            </w:pPr>
          </w:p>
        </w:tc>
        <w:tc>
          <w:tcPr>
            <w:tcW w:w="4534" w:type="dxa"/>
          </w:tcPr>
          <w:p w14:paraId="3C68F762" w14:textId="4157F1D8" w:rsidR="00F54668" w:rsidRPr="00865F97" w:rsidRDefault="00F54668" w:rsidP="00F54668">
            <w:pPr>
              <w:keepNext/>
              <w:keepLines/>
              <w:tabs>
                <w:tab w:val="left" w:pos="6059"/>
              </w:tabs>
              <w:spacing w:line="276" w:lineRule="auto"/>
              <w:rPr>
                <w:rFonts w:cs="Arial"/>
              </w:rPr>
            </w:pPr>
            <w:r>
              <w:rPr>
                <w:rFonts w:cs="Arial"/>
                <w:b/>
                <w:lang w:val="en-GB"/>
              </w:rPr>
              <w:t>SAAREMERE KALA AS</w:t>
            </w:r>
          </w:p>
        </w:tc>
      </w:tr>
      <w:tr w:rsidR="00F54668" w:rsidRPr="00865F97" w14:paraId="6C4E8C24" w14:textId="77777777" w:rsidTr="006063AE">
        <w:trPr>
          <w:trHeight w:val="567"/>
        </w:trPr>
        <w:tc>
          <w:tcPr>
            <w:tcW w:w="3804" w:type="dxa"/>
          </w:tcPr>
          <w:p w14:paraId="081F5DD6" w14:textId="77777777" w:rsidR="00F54668" w:rsidRPr="00865F97" w:rsidRDefault="00F54668" w:rsidP="00F54668">
            <w:pPr>
              <w:spacing w:before="120" w:after="120"/>
              <w:rPr>
                <w:rFonts w:cs="Arial"/>
                <w:lang w:val="en-GB"/>
              </w:rPr>
            </w:pPr>
          </w:p>
          <w:p w14:paraId="365F8FDE" w14:textId="77777777" w:rsidR="00F54668" w:rsidRPr="00865F97" w:rsidRDefault="00F54668" w:rsidP="00F54668">
            <w:pPr>
              <w:spacing w:before="120" w:after="120"/>
              <w:rPr>
                <w:rFonts w:cs="Arial"/>
                <w:lang w:val="en-GB"/>
              </w:rPr>
            </w:pPr>
          </w:p>
          <w:p w14:paraId="0B1F092D" w14:textId="77777777" w:rsidR="00F54668" w:rsidRPr="00865F97" w:rsidRDefault="00F54668" w:rsidP="00F54668">
            <w:pPr>
              <w:spacing w:before="120" w:after="120"/>
              <w:rPr>
                <w:rFonts w:cs="Arial"/>
                <w:lang w:val="en-GB"/>
              </w:rPr>
            </w:pPr>
          </w:p>
          <w:p w14:paraId="47E0B6E5" w14:textId="40AFA870" w:rsidR="00F54668" w:rsidRPr="00865F97" w:rsidRDefault="00F54668" w:rsidP="00F54668">
            <w:pPr>
              <w:keepNext/>
              <w:keepLines/>
              <w:tabs>
                <w:tab w:val="left" w:pos="6059"/>
              </w:tabs>
              <w:spacing w:line="276" w:lineRule="auto"/>
              <w:rPr>
                <w:rFonts w:cs="Arial"/>
                <w:b/>
                <w:bCs/>
              </w:rPr>
            </w:pPr>
            <w:r w:rsidRPr="00865F97">
              <w:rPr>
                <w:rFonts w:cs="Arial"/>
                <w:lang w:val="en-GB"/>
              </w:rPr>
              <w:t>______________________________</w:t>
            </w:r>
          </w:p>
        </w:tc>
        <w:tc>
          <w:tcPr>
            <w:tcW w:w="727" w:type="dxa"/>
          </w:tcPr>
          <w:p w14:paraId="12D54D28" w14:textId="77777777" w:rsidR="00F54668" w:rsidRPr="00865F97" w:rsidRDefault="00F54668" w:rsidP="00F54668">
            <w:pPr>
              <w:keepNext/>
              <w:keepLines/>
              <w:tabs>
                <w:tab w:val="left" w:pos="6059"/>
              </w:tabs>
              <w:spacing w:line="276" w:lineRule="auto"/>
              <w:rPr>
                <w:rFonts w:cs="Arial"/>
                <w:b/>
              </w:rPr>
            </w:pPr>
          </w:p>
        </w:tc>
        <w:tc>
          <w:tcPr>
            <w:tcW w:w="4534" w:type="dxa"/>
          </w:tcPr>
          <w:p w14:paraId="39456B17" w14:textId="77777777" w:rsidR="00F54668" w:rsidRPr="00865F97" w:rsidRDefault="00F54668" w:rsidP="00F54668">
            <w:pPr>
              <w:spacing w:before="120" w:after="120"/>
              <w:rPr>
                <w:rFonts w:cs="Arial"/>
                <w:lang w:val="en-GB"/>
              </w:rPr>
            </w:pPr>
          </w:p>
          <w:p w14:paraId="372A1FE2" w14:textId="77777777" w:rsidR="00F54668" w:rsidRPr="00865F97" w:rsidRDefault="00F54668" w:rsidP="00F54668">
            <w:pPr>
              <w:spacing w:before="120" w:after="120"/>
              <w:rPr>
                <w:rFonts w:cs="Arial"/>
                <w:lang w:val="en-GB"/>
              </w:rPr>
            </w:pPr>
          </w:p>
          <w:p w14:paraId="6615E25D" w14:textId="77777777" w:rsidR="00F54668" w:rsidRPr="00865F97" w:rsidRDefault="00F54668" w:rsidP="00F54668">
            <w:pPr>
              <w:spacing w:before="120" w:after="120"/>
              <w:rPr>
                <w:rFonts w:cs="Arial"/>
                <w:lang w:val="en-GB"/>
              </w:rPr>
            </w:pPr>
          </w:p>
          <w:p w14:paraId="1BFDA278" w14:textId="7099EBA4" w:rsidR="00F54668" w:rsidRPr="00865F97" w:rsidRDefault="00F54668" w:rsidP="00F54668">
            <w:pPr>
              <w:keepNext/>
              <w:keepLines/>
              <w:tabs>
                <w:tab w:val="left" w:pos="6059"/>
              </w:tabs>
              <w:spacing w:line="276" w:lineRule="auto"/>
              <w:rPr>
                <w:rFonts w:cs="Arial"/>
              </w:rPr>
            </w:pPr>
            <w:r w:rsidRPr="00865F97">
              <w:rPr>
                <w:rFonts w:cs="Arial"/>
                <w:lang w:val="en-GB"/>
              </w:rPr>
              <w:t>______________________________</w:t>
            </w:r>
          </w:p>
        </w:tc>
      </w:tr>
      <w:tr w:rsidR="00F54668" w:rsidRPr="00865F97" w14:paraId="7EE15C69" w14:textId="77777777" w:rsidTr="006063AE">
        <w:trPr>
          <w:trHeight w:val="80"/>
        </w:trPr>
        <w:tc>
          <w:tcPr>
            <w:tcW w:w="3804" w:type="dxa"/>
          </w:tcPr>
          <w:p w14:paraId="1C6323E9" w14:textId="67BE96F1" w:rsidR="00F54668" w:rsidRPr="004B1B44" w:rsidRDefault="00F54668" w:rsidP="00BC0A72">
            <w:pPr>
              <w:keepNext/>
              <w:keepLines/>
              <w:tabs>
                <w:tab w:val="left" w:pos="6059"/>
              </w:tabs>
              <w:spacing w:line="276" w:lineRule="auto"/>
              <w:rPr>
                <w:rFonts w:cs="Arial"/>
              </w:rPr>
            </w:pPr>
            <w:r w:rsidRPr="004B1B44">
              <w:rPr>
                <w:rFonts w:cs="Arial"/>
                <w:lang w:val="en-GB"/>
              </w:rPr>
              <w:t xml:space="preserve">Name: </w:t>
            </w:r>
            <w:proofErr w:type="gramStart"/>
            <w:r w:rsidR="00401155">
              <w:rPr>
                <w:rFonts w:cs="Arial"/>
                <w:lang w:val="en-GB"/>
              </w:rPr>
              <w:t>[  ]</w:t>
            </w:r>
            <w:proofErr w:type="gramEnd"/>
          </w:p>
        </w:tc>
        <w:tc>
          <w:tcPr>
            <w:tcW w:w="727" w:type="dxa"/>
          </w:tcPr>
          <w:p w14:paraId="22656B9A" w14:textId="77777777" w:rsidR="00F54668" w:rsidRPr="004B1B44" w:rsidRDefault="00F54668" w:rsidP="00F54668">
            <w:pPr>
              <w:keepNext/>
              <w:keepLines/>
              <w:tabs>
                <w:tab w:val="left" w:pos="6059"/>
              </w:tabs>
              <w:spacing w:line="276" w:lineRule="auto"/>
              <w:rPr>
                <w:rFonts w:cs="Arial"/>
                <w:b/>
              </w:rPr>
            </w:pPr>
          </w:p>
        </w:tc>
        <w:tc>
          <w:tcPr>
            <w:tcW w:w="4534" w:type="dxa"/>
          </w:tcPr>
          <w:p w14:paraId="5D83108C" w14:textId="7567D871" w:rsidR="00F54668" w:rsidRDefault="00F54668" w:rsidP="00F54668">
            <w:pPr>
              <w:keepNext/>
              <w:keepLines/>
              <w:tabs>
                <w:tab w:val="left" w:pos="6059"/>
              </w:tabs>
              <w:spacing w:line="276" w:lineRule="auto"/>
              <w:rPr>
                <w:rFonts w:cs="Arial"/>
                <w:lang w:val="en-GB"/>
              </w:rPr>
            </w:pPr>
            <w:r w:rsidRPr="00865F97">
              <w:rPr>
                <w:rFonts w:cs="Arial"/>
                <w:lang w:val="en-GB"/>
              </w:rPr>
              <w:t xml:space="preserve">Name: </w:t>
            </w:r>
            <w:proofErr w:type="gramStart"/>
            <w:r w:rsidR="00401155">
              <w:rPr>
                <w:rFonts w:cs="Arial"/>
                <w:lang w:val="en-GB"/>
              </w:rPr>
              <w:t>[  ]</w:t>
            </w:r>
            <w:proofErr w:type="gramEnd"/>
          </w:p>
          <w:p w14:paraId="27DDB123" w14:textId="40CC134B" w:rsidR="00A524F0" w:rsidRPr="004B1B44" w:rsidRDefault="00A524F0" w:rsidP="00F54668">
            <w:pPr>
              <w:keepNext/>
              <w:keepLines/>
              <w:tabs>
                <w:tab w:val="left" w:pos="6059"/>
              </w:tabs>
              <w:spacing w:line="276" w:lineRule="auto"/>
              <w:rPr>
                <w:rFonts w:cs="Arial"/>
              </w:rPr>
            </w:pPr>
          </w:p>
        </w:tc>
      </w:tr>
    </w:tbl>
    <w:tbl>
      <w:tblPr>
        <w:tblStyle w:val="TableGrid"/>
        <w:tblW w:w="9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4"/>
        <w:gridCol w:w="727"/>
        <w:gridCol w:w="4534"/>
      </w:tblGrid>
      <w:tr w:rsidR="004E50D8" w:rsidRPr="00865F97" w14:paraId="43C511CC" w14:textId="77777777" w:rsidTr="006063AE">
        <w:trPr>
          <w:trHeight w:val="492"/>
        </w:trPr>
        <w:tc>
          <w:tcPr>
            <w:tcW w:w="3804" w:type="dxa"/>
          </w:tcPr>
          <w:p w14:paraId="6DA145EE" w14:textId="2399E3B6" w:rsidR="004E50D8" w:rsidRPr="00865F97" w:rsidRDefault="00F54668" w:rsidP="00BC0A72">
            <w:pPr>
              <w:keepNext/>
              <w:keepLines/>
              <w:tabs>
                <w:tab w:val="left" w:pos="6059"/>
              </w:tabs>
              <w:spacing w:line="276" w:lineRule="auto"/>
              <w:jc w:val="left"/>
              <w:rPr>
                <w:rFonts w:cs="Arial"/>
                <w:lang w:val="en-GB"/>
              </w:rPr>
            </w:pPr>
            <w:r>
              <w:rPr>
                <w:rFonts w:cs="Arial"/>
                <w:b/>
                <w:lang w:val="en-GB"/>
              </w:rPr>
              <w:t>SAARE KALA TOOTMINE OÜ</w:t>
            </w:r>
          </w:p>
        </w:tc>
        <w:tc>
          <w:tcPr>
            <w:tcW w:w="727" w:type="dxa"/>
          </w:tcPr>
          <w:p w14:paraId="5F049BBE" w14:textId="77777777" w:rsidR="004E50D8" w:rsidRPr="00865F97" w:rsidRDefault="004E50D8" w:rsidP="006063AE">
            <w:pPr>
              <w:keepNext/>
              <w:keepLines/>
              <w:tabs>
                <w:tab w:val="left" w:pos="6059"/>
              </w:tabs>
              <w:spacing w:line="276" w:lineRule="auto"/>
              <w:rPr>
                <w:rFonts w:cs="Arial"/>
                <w:b/>
                <w:lang w:val="en-GB"/>
              </w:rPr>
            </w:pPr>
          </w:p>
        </w:tc>
        <w:tc>
          <w:tcPr>
            <w:tcW w:w="4534" w:type="dxa"/>
          </w:tcPr>
          <w:p w14:paraId="4ED7B199" w14:textId="7C9E3D7E" w:rsidR="004E50D8" w:rsidRPr="00865F97" w:rsidRDefault="004E50D8" w:rsidP="006063AE">
            <w:pPr>
              <w:keepNext/>
              <w:keepLines/>
              <w:tabs>
                <w:tab w:val="left" w:pos="6059"/>
              </w:tabs>
              <w:spacing w:line="276" w:lineRule="auto"/>
              <w:rPr>
                <w:rFonts w:cs="Arial"/>
                <w:b/>
                <w:lang w:val="en-GB"/>
              </w:rPr>
            </w:pPr>
          </w:p>
        </w:tc>
      </w:tr>
      <w:tr w:rsidR="004E50D8" w:rsidRPr="00865F97" w14:paraId="49155DC4" w14:textId="77777777" w:rsidTr="006063AE">
        <w:trPr>
          <w:trHeight w:val="1417"/>
        </w:trPr>
        <w:tc>
          <w:tcPr>
            <w:tcW w:w="3804" w:type="dxa"/>
          </w:tcPr>
          <w:p w14:paraId="7A48A96E" w14:textId="77777777" w:rsidR="004E50D8" w:rsidRPr="00865F97" w:rsidRDefault="004E50D8" w:rsidP="006063AE">
            <w:pPr>
              <w:spacing w:before="120" w:after="120"/>
              <w:rPr>
                <w:rFonts w:cs="Arial"/>
                <w:lang w:val="en-GB"/>
              </w:rPr>
            </w:pPr>
          </w:p>
          <w:p w14:paraId="12900AC4" w14:textId="77777777" w:rsidR="004E50D8" w:rsidRPr="00865F97" w:rsidRDefault="004E50D8" w:rsidP="006063AE">
            <w:pPr>
              <w:spacing w:before="120" w:after="120"/>
              <w:rPr>
                <w:rFonts w:cs="Arial"/>
                <w:lang w:val="en-GB"/>
              </w:rPr>
            </w:pPr>
          </w:p>
          <w:p w14:paraId="0BCF5070" w14:textId="77777777" w:rsidR="00A524F0" w:rsidRPr="00865F97" w:rsidRDefault="00A524F0" w:rsidP="00A524F0">
            <w:pPr>
              <w:spacing w:before="120" w:after="120"/>
              <w:rPr>
                <w:rFonts w:cs="Arial"/>
                <w:lang w:val="en-GB"/>
              </w:rPr>
            </w:pPr>
          </w:p>
          <w:p w14:paraId="3AF9BCB2" w14:textId="2B4D8EA3" w:rsidR="004E50D8" w:rsidRPr="00865F97" w:rsidRDefault="00A524F0" w:rsidP="00A524F0">
            <w:pPr>
              <w:spacing w:before="120" w:after="120"/>
              <w:rPr>
                <w:rFonts w:cs="Arial"/>
                <w:lang w:val="en-GB"/>
              </w:rPr>
            </w:pPr>
            <w:r w:rsidRPr="00865F97">
              <w:rPr>
                <w:rFonts w:cs="Arial"/>
                <w:lang w:val="en-GB"/>
              </w:rPr>
              <w:t>______________________________</w:t>
            </w:r>
          </w:p>
        </w:tc>
        <w:tc>
          <w:tcPr>
            <w:tcW w:w="727" w:type="dxa"/>
          </w:tcPr>
          <w:p w14:paraId="19C8DB0C" w14:textId="77777777" w:rsidR="004E50D8" w:rsidRPr="00865F97" w:rsidRDefault="004E50D8" w:rsidP="006063AE">
            <w:pPr>
              <w:keepNext/>
              <w:keepLines/>
              <w:tabs>
                <w:tab w:val="left" w:pos="6059"/>
              </w:tabs>
              <w:spacing w:line="276" w:lineRule="auto"/>
              <w:rPr>
                <w:rFonts w:cs="Arial"/>
                <w:b/>
                <w:lang w:val="en-GB"/>
              </w:rPr>
            </w:pPr>
          </w:p>
        </w:tc>
        <w:tc>
          <w:tcPr>
            <w:tcW w:w="4534" w:type="dxa"/>
          </w:tcPr>
          <w:p w14:paraId="498821CB" w14:textId="77777777" w:rsidR="004E50D8" w:rsidRPr="00865F97" w:rsidRDefault="004E50D8" w:rsidP="006063AE">
            <w:pPr>
              <w:spacing w:before="120" w:after="120"/>
              <w:rPr>
                <w:rFonts w:cs="Arial"/>
                <w:lang w:val="en-GB"/>
              </w:rPr>
            </w:pPr>
          </w:p>
          <w:p w14:paraId="068538B3" w14:textId="77777777" w:rsidR="004E50D8" w:rsidRPr="00865F97" w:rsidRDefault="004E50D8" w:rsidP="006063AE">
            <w:pPr>
              <w:spacing w:before="120" w:after="120"/>
              <w:rPr>
                <w:rFonts w:cs="Arial"/>
                <w:lang w:val="en-GB"/>
              </w:rPr>
            </w:pPr>
          </w:p>
          <w:p w14:paraId="1639F915" w14:textId="43AD8B1B" w:rsidR="004E50D8" w:rsidRPr="00865F97" w:rsidRDefault="004E50D8" w:rsidP="006063AE">
            <w:pPr>
              <w:spacing w:before="120" w:after="120"/>
              <w:rPr>
                <w:rFonts w:cs="Arial"/>
                <w:lang w:val="en-GB"/>
              </w:rPr>
            </w:pPr>
          </w:p>
        </w:tc>
      </w:tr>
      <w:tr w:rsidR="004E50D8" w:rsidRPr="00865F97" w14:paraId="1F55C3DD" w14:textId="77777777" w:rsidTr="006063AE">
        <w:trPr>
          <w:trHeight w:val="567"/>
        </w:trPr>
        <w:tc>
          <w:tcPr>
            <w:tcW w:w="3804" w:type="dxa"/>
          </w:tcPr>
          <w:p w14:paraId="53BAF873" w14:textId="56895120" w:rsidR="004E50D8" w:rsidRPr="00865F97" w:rsidRDefault="004E50D8" w:rsidP="006063AE">
            <w:pPr>
              <w:keepNext/>
              <w:keepLines/>
              <w:tabs>
                <w:tab w:val="left" w:pos="6059"/>
              </w:tabs>
              <w:spacing w:line="276" w:lineRule="auto"/>
              <w:rPr>
                <w:rFonts w:cs="Arial"/>
                <w:lang w:val="en-GB"/>
              </w:rPr>
            </w:pPr>
            <w:r w:rsidRPr="00865F97">
              <w:rPr>
                <w:rFonts w:cs="Arial"/>
                <w:lang w:val="en-GB"/>
              </w:rPr>
              <w:t xml:space="preserve">Name: </w:t>
            </w:r>
            <w:proofErr w:type="gramStart"/>
            <w:r w:rsidR="00401155">
              <w:rPr>
                <w:rFonts w:cs="Arial"/>
                <w:lang w:val="en-GB"/>
              </w:rPr>
              <w:t>[  ]</w:t>
            </w:r>
            <w:proofErr w:type="gramEnd"/>
          </w:p>
        </w:tc>
        <w:tc>
          <w:tcPr>
            <w:tcW w:w="727" w:type="dxa"/>
          </w:tcPr>
          <w:p w14:paraId="46DA4239" w14:textId="77777777" w:rsidR="004E50D8" w:rsidRPr="00865F97" w:rsidRDefault="004E50D8" w:rsidP="006063AE">
            <w:pPr>
              <w:keepNext/>
              <w:keepLines/>
              <w:tabs>
                <w:tab w:val="left" w:pos="6059"/>
              </w:tabs>
              <w:spacing w:line="276" w:lineRule="auto"/>
              <w:rPr>
                <w:rFonts w:cs="Arial"/>
                <w:b/>
                <w:lang w:val="en-GB"/>
              </w:rPr>
            </w:pPr>
          </w:p>
        </w:tc>
        <w:tc>
          <w:tcPr>
            <w:tcW w:w="4534" w:type="dxa"/>
          </w:tcPr>
          <w:p w14:paraId="3E2B5482" w14:textId="31897DD5" w:rsidR="004E50D8" w:rsidRPr="00865F97" w:rsidRDefault="004E50D8" w:rsidP="006063AE">
            <w:pPr>
              <w:keepNext/>
              <w:keepLines/>
              <w:tabs>
                <w:tab w:val="left" w:pos="6059"/>
              </w:tabs>
              <w:spacing w:line="276" w:lineRule="auto"/>
              <w:rPr>
                <w:rFonts w:cs="Arial"/>
                <w:lang w:val="en-GB"/>
              </w:rPr>
            </w:pPr>
          </w:p>
        </w:tc>
      </w:tr>
    </w:tbl>
    <w:p w14:paraId="29CFC54A" w14:textId="044DB148" w:rsidR="00DF0306" w:rsidRPr="004B4540" w:rsidRDefault="004E50D8" w:rsidP="004E50D8">
      <w:pPr>
        <w:pStyle w:val="Level1"/>
        <w:numPr>
          <w:ilvl w:val="0"/>
          <w:numId w:val="0"/>
        </w:numPr>
        <w:ind w:left="720" w:hanging="720"/>
        <w:rPr>
          <w:lang w:val="en-GB"/>
        </w:rPr>
      </w:pPr>
      <w:r w:rsidRPr="004B4540">
        <w:rPr>
          <w:lang w:val="en-GB"/>
        </w:rPr>
        <w:t xml:space="preserve"> </w:t>
      </w:r>
    </w:p>
    <w:p w14:paraId="727B6643" w14:textId="67646C2D" w:rsidR="00FA13A7" w:rsidRPr="004B4540" w:rsidRDefault="00FA13A7" w:rsidP="00D66BC6">
      <w:pPr>
        <w:spacing w:line="264" w:lineRule="auto"/>
        <w:rPr>
          <w:lang w:val="en-GB"/>
        </w:rPr>
      </w:pPr>
    </w:p>
    <w:sectPr w:rsidR="00FA13A7" w:rsidRPr="004B4540" w:rsidSect="00A524F0">
      <w:footerReference w:type="default" r:id="rId11"/>
      <w:headerReference w:type="first" r:id="rId12"/>
      <w:endnotePr>
        <w:numFmt w:val="decimal"/>
      </w:endnotePr>
      <w:pgSz w:w="11906" w:h="16838" w:code="9"/>
      <w:pgMar w:top="1701" w:right="1418" w:bottom="1701" w:left="1701" w:header="998" w:footer="68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5F4FD" w14:textId="77777777" w:rsidR="006E3C9C" w:rsidRDefault="006E3C9C">
      <w:r>
        <w:separator/>
      </w:r>
    </w:p>
    <w:p w14:paraId="3FD46ECB" w14:textId="77777777" w:rsidR="006E3C9C" w:rsidRDefault="006E3C9C"/>
    <w:p w14:paraId="53AB3644" w14:textId="77777777" w:rsidR="006E3C9C" w:rsidRDefault="006E3C9C"/>
  </w:endnote>
  <w:endnote w:type="continuationSeparator" w:id="0">
    <w:p w14:paraId="3FA6B569" w14:textId="77777777" w:rsidR="006E3C9C" w:rsidRDefault="006E3C9C">
      <w:r>
        <w:continuationSeparator/>
      </w:r>
    </w:p>
    <w:p w14:paraId="798A5721" w14:textId="77777777" w:rsidR="006E3C9C" w:rsidRDefault="006E3C9C"/>
    <w:p w14:paraId="4B3D92F6" w14:textId="77777777" w:rsidR="006E3C9C" w:rsidRDefault="006E3C9C"/>
  </w:endnote>
  <w:endnote w:type="continuationNotice" w:id="1">
    <w:p w14:paraId="52226EED" w14:textId="77777777" w:rsidR="006E3C9C" w:rsidRDefault="006E3C9C"/>
    <w:p w14:paraId="0E06652C" w14:textId="77777777" w:rsidR="006E3C9C" w:rsidRDefault="006E3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ucida Grande">
    <w:altName w:val="Courier New"/>
    <w:panose1 w:val="00000000000000000000"/>
    <w:charset w:val="BA"/>
    <w:family w:val="roman"/>
    <w:notTrueType/>
    <w:pitch w:val="variable"/>
    <w:sig w:usb0="00000005" w:usb1="00000000" w:usb2="00000000" w:usb3="00000000" w:csb0="0000008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3965093"/>
      <w:docPartObj>
        <w:docPartGallery w:val="Page Numbers (Bottom of Page)"/>
        <w:docPartUnique/>
      </w:docPartObj>
    </w:sdtPr>
    <w:sdtEndPr>
      <w:rPr>
        <w:rStyle w:val="PageNumber"/>
      </w:rPr>
    </w:sdtEndPr>
    <w:sdtContent>
      <w:p w14:paraId="6A9AC91E" w14:textId="77777777" w:rsidR="00813E06" w:rsidRDefault="00C2553C" w:rsidP="008F4C84">
        <w:pPr>
          <w:pStyle w:val="Footer"/>
          <w:jc w:val="right"/>
          <w:rPr>
            <w:rStyle w:val="PageNumber"/>
          </w:rPr>
        </w:pPr>
        <w:r w:rsidRPr="00C2553C">
          <w:rPr>
            <w:rFonts w:ascii="Arial" w:hAnsi="Arial" w:cs="Arial"/>
            <w:color w:val="auto"/>
            <w:sz w:val="20"/>
            <w:szCs w:val="20"/>
            <w:lang w:val="en-GB"/>
          </w:rPr>
          <w:fldChar w:fldCharType="begin"/>
        </w:r>
        <w:r w:rsidRPr="00C2553C">
          <w:rPr>
            <w:rFonts w:ascii="Arial" w:hAnsi="Arial" w:cs="Arial"/>
            <w:color w:val="auto"/>
            <w:sz w:val="20"/>
            <w:szCs w:val="20"/>
            <w:lang w:val="en-GB"/>
          </w:rPr>
          <w:instrText xml:space="preserve"> PAGE </w:instrText>
        </w:r>
        <w:r w:rsidRPr="00C2553C">
          <w:rPr>
            <w:rFonts w:ascii="Arial" w:hAnsi="Arial" w:cs="Arial"/>
            <w:color w:val="auto"/>
            <w:sz w:val="20"/>
            <w:szCs w:val="20"/>
            <w:lang w:val="en-GB"/>
          </w:rPr>
          <w:fldChar w:fldCharType="separate"/>
        </w:r>
        <w:r w:rsidRPr="00C2553C">
          <w:rPr>
            <w:rFonts w:ascii="Arial" w:hAnsi="Arial" w:cs="Arial"/>
            <w:sz w:val="20"/>
            <w:szCs w:val="20"/>
          </w:rPr>
          <w:t>2</w:t>
        </w:r>
        <w:r w:rsidRPr="00C2553C">
          <w:rPr>
            <w:rFonts w:ascii="Arial" w:hAnsi="Arial" w:cs="Arial"/>
            <w:color w:val="auto"/>
            <w:sz w:val="20"/>
            <w:szCs w:val="20"/>
            <w:lang w:val="en-GB"/>
          </w:rPr>
          <w:fldChar w:fldCharType="end"/>
        </w:r>
        <w:r w:rsidRPr="00C2553C">
          <w:rPr>
            <w:rFonts w:ascii="Arial" w:hAnsi="Arial" w:cs="Arial"/>
            <w:color w:val="auto"/>
            <w:sz w:val="20"/>
            <w:szCs w:val="20"/>
            <w:lang w:val="en-GB"/>
          </w:rPr>
          <w:t xml:space="preserve"> | </w:t>
        </w:r>
        <w:r w:rsidRPr="00C2553C">
          <w:rPr>
            <w:rFonts w:ascii="Arial" w:hAnsi="Arial" w:cs="Arial"/>
            <w:color w:val="auto"/>
            <w:sz w:val="20"/>
            <w:szCs w:val="20"/>
            <w:lang w:val="en-GB"/>
          </w:rPr>
          <w:fldChar w:fldCharType="begin"/>
        </w:r>
        <w:r w:rsidRPr="00C2553C">
          <w:rPr>
            <w:rFonts w:ascii="Arial" w:hAnsi="Arial" w:cs="Arial"/>
            <w:color w:val="auto"/>
            <w:sz w:val="20"/>
            <w:szCs w:val="20"/>
            <w:lang w:val="en-GB"/>
          </w:rPr>
          <w:instrText xml:space="preserve"> NUMPAGES </w:instrText>
        </w:r>
        <w:r w:rsidRPr="00C2553C">
          <w:rPr>
            <w:rFonts w:ascii="Arial" w:hAnsi="Arial" w:cs="Arial"/>
            <w:color w:val="auto"/>
            <w:sz w:val="20"/>
            <w:szCs w:val="20"/>
            <w:lang w:val="en-GB"/>
          </w:rPr>
          <w:fldChar w:fldCharType="separate"/>
        </w:r>
        <w:r w:rsidRPr="00C2553C">
          <w:rPr>
            <w:rFonts w:ascii="Arial" w:hAnsi="Arial" w:cs="Arial"/>
            <w:sz w:val="20"/>
            <w:szCs w:val="20"/>
          </w:rPr>
          <w:t>2</w:t>
        </w:r>
        <w:r w:rsidRPr="00C2553C">
          <w:rPr>
            <w:rFonts w:ascii="Arial" w:hAnsi="Arial" w:cs="Arial"/>
            <w:color w:val="auto"/>
            <w:sz w:val="20"/>
            <w:szCs w:val="20"/>
            <w:lang w:val="en-GB"/>
          </w:rPr>
          <w:fldChar w:fldCharType="end"/>
        </w:r>
      </w:p>
    </w:sdtContent>
  </w:sdt>
  <w:p w14:paraId="066391DE" w14:textId="77777777" w:rsidR="00FA2592" w:rsidRDefault="00FA25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AF6DF" w14:textId="77777777" w:rsidR="006E3C9C" w:rsidRDefault="006E3C9C">
      <w:r>
        <w:separator/>
      </w:r>
    </w:p>
    <w:p w14:paraId="205DB882" w14:textId="77777777" w:rsidR="006E3C9C" w:rsidRDefault="006E3C9C"/>
  </w:footnote>
  <w:footnote w:type="continuationSeparator" w:id="0">
    <w:p w14:paraId="20B7E671" w14:textId="77777777" w:rsidR="006E3C9C" w:rsidRDefault="006E3C9C">
      <w:r>
        <w:continuationSeparator/>
      </w:r>
    </w:p>
    <w:p w14:paraId="4A104475" w14:textId="77777777" w:rsidR="006E3C9C" w:rsidRDefault="006E3C9C"/>
  </w:footnote>
  <w:footnote w:type="continuationNotice" w:id="1">
    <w:p w14:paraId="5D4158C9" w14:textId="77777777" w:rsidR="006E3C9C" w:rsidRDefault="006E3C9C"/>
    <w:p w14:paraId="2EF7FC40" w14:textId="77777777" w:rsidR="006E3C9C" w:rsidRDefault="006E3C9C"/>
  </w:footnote>
  <w:footnote w:id="2">
    <w:p w14:paraId="62E6D855" w14:textId="77777777" w:rsidR="004B7EE0" w:rsidRPr="008F6ABF" w:rsidRDefault="004B7EE0">
      <w:pPr>
        <w:pStyle w:val="FootnoteText"/>
        <w:rPr>
          <w:lang w:val="en-GB"/>
        </w:rPr>
      </w:pPr>
      <w:r>
        <w:rPr>
          <w:rStyle w:val="FootnoteReference"/>
        </w:rPr>
        <w:footnoteRef/>
      </w:r>
      <w:r>
        <w:t xml:space="preserve"> </w:t>
      </w:r>
      <w:r>
        <w:rPr>
          <w:lang w:val="en-GB"/>
        </w:rPr>
        <w:t xml:space="preserve">The amounts allocated under this column are </w:t>
      </w:r>
      <w:r w:rsidRPr="008F6ABF">
        <w:rPr>
          <w:lang w:val="en-GB"/>
        </w:rPr>
        <w:t xml:space="preserve">to be shared </w:t>
      </w:r>
      <w:r>
        <w:rPr>
          <w:lang w:val="en-GB"/>
        </w:rPr>
        <w:t xml:space="preserve">between the Convertible Noteholders and the Unsecured Lender </w:t>
      </w:r>
      <w:r w:rsidRPr="008F6ABF">
        <w:rPr>
          <w:lang w:val="en-GB"/>
        </w:rPr>
        <w:t>on a pro rata basis based on their respective outstanding amounts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33DA" w14:textId="77777777" w:rsidR="00FA2592" w:rsidRDefault="00FA2592"/>
  <w:p w14:paraId="3EFC04DE" w14:textId="77777777" w:rsidR="00FA13A7" w:rsidRDefault="00FA1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7C2B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D2C9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321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6E82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F6B7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CEB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C8EA77EC"/>
    <w:lvl w:ilvl="0">
      <w:start w:val="1"/>
      <w:numFmt w:val="decimal"/>
      <w:lvlText w:val="%1."/>
      <w:lvlJc w:val="left"/>
      <w:pPr>
        <w:tabs>
          <w:tab w:val="num" w:pos="360"/>
        </w:tabs>
        <w:ind w:left="360" w:hanging="360"/>
      </w:pPr>
    </w:lvl>
  </w:abstractNum>
  <w:abstractNum w:abstractNumId="7" w15:restartNumberingAfterBreak="0">
    <w:nsid w:val="02C55CA7"/>
    <w:multiLevelType w:val="hybridMultilevel"/>
    <w:tmpl w:val="83B89B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2D438C"/>
    <w:multiLevelType w:val="multilevel"/>
    <w:tmpl w:val="38684152"/>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pStyle w:val="Heading2"/>
      <w:lvlText w:val="%1.%2"/>
      <w:lvlJc w:val="left"/>
      <w:pPr>
        <w:tabs>
          <w:tab w:val="num" w:pos="8234"/>
        </w:tabs>
        <w:ind w:left="8234"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val="0"/>
        <w:color w:val="auto"/>
        <w:sz w:val="20"/>
      </w:rPr>
    </w:lvl>
    <w:lvl w:ilvl="4">
      <w:start w:val="1"/>
      <w:numFmt w:val="decimal"/>
      <w:pStyle w:val="Heading5"/>
      <w:lvlText w:val="%1.%2.%3.%4.%5"/>
      <w:lvlJc w:val="left"/>
      <w:pPr>
        <w:tabs>
          <w:tab w:val="num" w:pos="3289"/>
        </w:tabs>
        <w:ind w:left="3856" w:hanging="1588"/>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EA04CA"/>
    <w:multiLevelType w:val="multilevel"/>
    <w:tmpl w:val="0409001F"/>
    <w:lvl w:ilvl="0">
      <w:start w:val="1"/>
      <w:numFmt w:val="decimal"/>
      <w:lvlText w:val="%1."/>
      <w:lvlJc w:val="left"/>
      <w:pPr>
        <w:ind w:left="360" w:hanging="360"/>
      </w:pPr>
      <w:rPr>
        <w:rFonts w:hint="default"/>
        <w:b/>
        <w:i w:val="0"/>
        <w:color w:val="auto"/>
        <w:spacing w:val="0"/>
        <w:w w:val="100"/>
        <w:position w:val="0"/>
        <w:sz w:val="20"/>
      </w:rPr>
    </w:lvl>
    <w:lvl w:ilvl="1">
      <w:start w:val="1"/>
      <w:numFmt w:val="decimal"/>
      <w:lvlText w:val="%1.%2."/>
      <w:lvlJc w:val="left"/>
      <w:pPr>
        <w:ind w:left="792" w:hanging="432"/>
      </w:pPr>
      <w:rPr>
        <w:rFonts w:hint="default"/>
        <w:b w:val="0"/>
        <w:i w:val="0"/>
        <w:color w:val="auto"/>
        <w:spacing w:val="0"/>
        <w:w w:val="100"/>
        <w:position w:val="0"/>
        <w:sz w:val="20"/>
      </w:rPr>
    </w:lvl>
    <w:lvl w:ilvl="2">
      <w:start w:val="1"/>
      <w:numFmt w:val="decimal"/>
      <w:lvlText w:val="%1.%2.%3."/>
      <w:lvlJc w:val="left"/>
      <w:pPr>
        <w:ind w:left="1224" w:hanging="504"/>
      </w:pPr>
      <w:rPr>
        <w:rFonts w:hint="default"/>
        <w:b w:val="0"/>
        <w:i w:val="0"/>
        <w:spacing w:val="0"/>
        <w:w w:val="100"/>
        <w:position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1F6406"/>
    <w:multiLevelType w:val="multilevel"/>
    <w:tmpl w:val="0902D03E"/>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1" w15:restartNumberingAfterBreak="0">
    <w:nsid w:val="13597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D43E5D"/>
    <w:multiLevelType w:val="hybridMultilevel"/>
    <w:tmpl w:val="77BE3AFC"/>
    <w:lvl w:ilvl="0" w:tplc="0425000F">
      <w:start w:val="1"/>
      <w:numFmt w:val="decimal"/>
      <w:lvlText w:val="%1."/>
      <w:lvlJc w:val="left"/>
      <w:pPr>
        <w:tabs>
          <w:tab w:val="num" w:pos="644"/>
        </w:tabs>
        <w:ind w:left="644" w:hanging="360"/>
      </w:p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3" w15:restartNumberingAfterBreak="0">
    <w:nsid w:val="1BFF2D5B"/>
    <w:multiLevelType w:val="hybridMultilevel"/>
    <w:tmpl w:val="E0B89966"/>
    <w:lvl w:ilvl="0" w:tplc="A16429B8">
      <w:start w:val="1"/>
      <w:numFmt w:val="lowerLetter"/>
      <w:lvlText w:val="(%1)"/>
      <w:lvlJc w:val="left"/>
      <w:pPr>
        <w:ind w:left="398" w:hanging="360"/>
      </w:pPr>
      <w:rPr>
        <w:rFonts w:hint="default"/>
      </w:rPr>
    </w:lvl>
    <w:lvl w:ilvl="1" w:tplc="04250019" w:tentative="1">
      <w:start w:val="1"/>
      <w:numFmt w:val="lowerLetter"/>
      <w:lvlText w:val="%2."/>
      <w:lvlJc w:val="left"/>
      <w:pPr>
        <w:ind w:left="1118" w:hanging="360"/>
      </w:pPr>
    </w:lvl>
    <w:lvl w:ilvl="2" w:tplc="0425001B" w:tentative="1">
      <w:start w:val="1"/>
      <w:numFmt w:val="lowerRoman"/>
      <w:lvlText w:val="%3."/>
      <w:lvlJc w:val="right"/>
      <w:pPr>
        <w:ind w:left="1838" w:hanging="180"/>
      </w:pPr>
    </w:lvl>
    <w:lvl w:ilvl="3" w:tplc="0425000F" w:tentative="1">
      <w:start w:val="1"/>
      <w:numFmt w:val="decimal"/>
      <w:lvlText w:val="%4."/>
      <w:lvlJc w:val="left"/>
      <w:pPr>
        <w:ind w:left="2558" w:hanging="360"/>
      </w:pPr>
    </w:lvl>
    <w:lvl w:ilvl="4" w:tplc="04250019" w:tentative="1">
      <w:start w:val="1"/>
      <w:numFmt w:val="lowerLetter"/>
      <w:lvlText w:val="%5."/>
      <w:lvlJc w:val="left"/>
      <w:pPr>
        <w:ind w:left="3278" w:hanging="360"/>
      </w:pPr>
    </w:lvl>
    <w:lvl w:ilvl="5" w:tplc="0425001B" w:tentative="1">
      <w:start w:val="1"/>
      <w:numFmt w:val="lowerRoman"/>
      <w:lvlText w:val="%6."/>
      <w:lvlJc w:val="right"/>
      <w:pPr>
        <w:ind w:left="3998" w:hanging="180"/>
      </w:pPr>
    </w:lvl>
    <w:lvl w:ilvl="6" w:tplc="0425000F" w:tentative="1">
      <w:start w:val="1"/>
      <w:numFmt w:val="decimal"/>
      <w:lvlText w:val="%7."/>
      <w:lvlJc w:val="left"/>
      <w:pPr>
        <w:ind w:left="4718" w:hanging="360"/>
      </w:pPr>
    </w:lvl>
    <w:lvl w:ilvl="7" w:tplc="04250019" w:tentative="1">
      <w:start w:val="1"/>
      <w:numFmt w:val="lowerLetter"/>
      <w:lvlText w:val="%8."/>
      <w:lvlJc w:val="left"/>
      <w:pPr>
        <w:ind w:left="5438" w:hanging="360"/>
      </w:pPr>
    </w:lvl>
    <w:lvl w:ilvl="8" w:tplc="0425001B" w:tentative="1">
      <w:start w:val="1"/>
      <w:numFmt w:val="lowerRoman"/>
      <w:lvlText w:val="%9."/>
      <w:lvlJc w:val="right"/>
      <w:pPr>
        <w:ind w:left="6158" w:hanging="180"/>
      </w:pPr>
    </w:lvl>
  </w:abstractNum>
  <w:abstractNum w:abstractNumId="14"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317484"/>
    <w:multiLevelType w:val="multilevel"/>
    <w:tmpl w:val="0F743760"/>
    <w:lvl w:ilvl="0">
      <w:start w:val="1"/>
      <w:numFmt w:val="decimal"/>
      <w:pStyle w:val="Level1"/>
      <w:lvlText w:val="%1"/>
      <w:lvlJc w:val="left"/>
      <w:pPr>
        <w:tabs>
          <w:tab w:val="num" w:pos="720"/>
        </w:tabs>
        <w:ind w:left="720" w:hanging="720"/>
      </w:pPr>
      <w:rPr>
        <w:rFonts w:ascii="Arial" w:hAnsi="Arial" w:hint="default"/>
        <w:b/>
        <w:i w:val="0"/>
        <w:caps/>
        <w:sz w:val="20"/>
      </w:rPr>
    </w:lvl>
    <w:lvl w:ilvl="1">
      <w:start w:val="1"/>
      <w:numFmt w:val="decimal"/>
      <w:pStyle w:val="Level2"/>
      <w:lvlText w:val="%1.%2"/>
      <w:lvlJc w:val="left"/>
      <w:pPr>
        <w:tabs>
          <w:tab w:val="num" w:pos="720"/>
        </w:tabs>
        <w:ind w:left="720" w:hanging="720"/>
      </w:pPr>
      <w:rPr>
        <w:rFonts w:ascii="Arial" w:hAnsi="Arial" w:hint="default"/>
        <w:b/>
        <w:i w:val="0"/>
        <w:sz w:val="20"/>
      </w:rPr>
    </w:lvl>
    <w:lvl w:ilvl="2">
      <w:start w:val="1"/>
      <w:numFmt w:val="decimal"/>
      <w:pStyle w:val="Level3"/>
      <w:lvlText w:val="%1.%2.%3"/>
      <w:lvlJc w:val="left"/>
      <w:pPr>
        <w:tabs>
          <w:tab w:val="num" w:pos="1440"/>
        </w:tabs>
        <w:ind w:left="1440" w:hanging="720"/>
      </w:pPr>
      <w:rPr>
        <w:rFonts w:ascii="Arial" w:hAnsi="Arial" w:hint="default"/>
        <w:b w:val="0"/>
        <w:i w:val="0"/>
        <w:color w:val="auto"/>
        <w:sz w:val="20"/>
      </w:rPr>
    </w:lvl>
    <w:lvl w:ilvl="3">
      <w:start w:val="1"/>
      <w:numFmt w:val="decimal"/>
      <w:pStyle w:val="Level4"/>
      <w:lvlText w:val="%1.%2.%3.%4"/>
      <w:lvlJc w:val="left"/>
      <w:pPr>
        <w:tabs>
          <w:tab w:val="num" w:pos="2268"/>
        </w:tabs>
        <w:ind w:left="2268" w:hanging="828"/>
      </w:pPr>
      <w:rPr>
        <w:rFonts w:ascii="Arial" w:hAnsi="Arial" w:cs="Times New Roman" w:hint="default"/>
        <w:b w:val="0"/>
        <w:bCs w:val="0"/>
        <w:i w:val="0"/>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289"/>
        </w:tabs>
        <w:ind w:left="3289" w:hanging="1021"/>
      </w:pPr>
      <w:rPr>
        <w:rFonts w:ascii="Arial" w:hAnsi="Arial" w:hint="default"/>
        <w:b w:val="0"/>
        <w:i w:val="0"/>
        <w:color w:val="auto"/>
        <w:sz w:val="20"/>
      </w:rPr>
    </w:lvl>
    <w:lvl w:ilvl="5">
      <w:start w:val="1"/>
      <w:numFmt w:val="decimal"/>
      <w:pStyle w:val="Level6"/>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E15D80"/>
    <w:multiLevelType w:val="multilevel"/>
    <w:tmpl w:val="4986FF4C"/>
    <w:lvl w:ilvl="0">
      <w:start w:val="1"/>
      <w:numFmt w:val="bullet"/>
      <w:lvlText w:val=""/>
      <w:lvlJc w:val="left"/>
      <w:pPr>
        <w:tabs>
          <w:tab w:val="num" w:pos="567"/>
        </w:tabs>
        <w:ind w:left="567" w:hanging="567"/>
      </w:pPr>
      <w:rPr>
        <w:rFonts w:ascii="Symbol" w:hAnsi="Symbol" w:hint="default"/>
        <w:b/>
        <w:i w:val="0"/>
        <w:color w:val="004899"/>
        <w:sz w:val="20"/>
      </w:rPr>
    </w:lvl>
    <w:lvl w:ilvl="1">
      <w:start w:val="1"/>
      <w:numFmt w:val="bullet"/>
      <w:lvlText w:val=""/>
      <w:lvlJc w:val="left"/>
      <w:pPr>
        <w:tabs>
          <w:tab w:val="num" w:pos="1134"/>
        </w:tabs>
        <w:ind w:left="1134" w:hanging="567"/>
      </w:pPr>
      <w:rPr>
        <w:rFonts w:ascii="Symbol" w:hAnsi="Symbol" w:hint="default"/>
        <w:b w:val="0"/>
        <w:i w:val="0"/>
        <w:color w:val="auto"/>
        <w:sz w:val="20"/>
      </w:rPr>
    </w:lvl>
    <w:lvl w:ilvl="2">
      <w:start w:val="1"/>
      <w:numFmt w:val="bullet"/>
      <w:lvlText w:val="–"/>
      <w:lvlJc w:val="left"/>
      <w:pPr>
        <w:tabs>
          <w:tab w:val="num" w:pos="1701"/>
        </w:tabs>
        <w:ind w:left="1701" w:hanging="56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B1E1AD7"/>
    <w:multiLevelType w:val="multilevel"/>
    <w:tmpl w:val="75E6925A"/>
    <w:lvl w:ilvl="0">
      <w:start w:val="1"/>
      <w:numFmt w:val="decimal"/>
      <w:lvlText w:val="%1"/>
      <w:lvlJc w:val="left"/>
      <w:pPr>
        <w:tabs>
          <w:tab w:val="num" w:pos="397"/>
        </w:tabs>
        <w:ind w:left="397" w:hanging="397"/>
      </w:pPr>
      <w:rPr>
        <w:rFonts w:ascii="Arial Bold" w:hAnsi="Arial Bold" w:hint="default"/>
        <w:b/>
        <w:i w:val="0"/>
        <w:color w:val="auto"/>
        <w:spacing w:val="0"/>
        <w:w w:val="100"/>
        <w:position w:val="0"/>
        <w:sz w:val="20"/>
      </w:rPr>
    </w:lvl>
    <w:lvl w:ilvl="1">
      <w:start w:val="1"/>
      <w:numFmt w:val="decimal"/>
      <w:lvlText w:val="%1.%2"/>
      <w:lvlJc w:val="left"/>
      <w:pPr>
        <w:tabs>
          <w:tab w:val="num" w:pos="851"/>
        </w:tabs>
        <w:ind w:left="851" w:hanging="454"/>
      </w:pPr>
      <w:rPr>
        <w:rFonts w:ascii="Arial" w:hAnsi="Arial" w:hint="default"/>
        <w:b w:val="0"/>
        <w:i w:val="0"/>
        <w:color w:val="auto"/>
        <w:spacing w:val="0"/>
        <w:w w:val="100"/>
        <w:position w:val="0"/>
        <w:sz w:val="20"/>
      </w:rPr>
    </w:lvl>
    <w:lvl w:ilvl="2">
      <w:start w:val="1"/>
      <w:numFmt w:val="decimal"/>
      <w:lvlText w:val="%1.%2.%3"/>
      <w:lvlJc w:val="left"/>
      <w:pPr>
        <w:tabs>
          <w:tab w:val="num" w:pos="1418"/>
        </w:tabs>
        <w:ind w:left="1418" w:hanging="567"/>
      </w:pPr>
      <w:rPr>
        <w:rFonts w:ascii="ari" w:hAnsi="ari" w:hint="default"/>
        <w:b/>
        <w:i w:val="0"/>
        <w:color w:val="auto"/>
        <w:spacing w:val="-4"/>
        <w:w w:val="100"/>
        <w:position w:val="0"/>
        <w:sz w:val="20"/>
      </w:rPr>
    </w:lvl>
    <w:lvl w:ilvl="3">
      <w:start w:val="1"/>
      <w:numFmt w:val="decimal"/>
      <w:lvlText w:val="%1.%2.%3.%4"/>
      <w:lvlJc w:val="left"/>
      <w:pPr>
        <w:tabs>
          <w:tab w:val="num" w:pos="2155"/>
        </w:tabs>
        <w:ind w:left="2155" w:hanging="737"/>
      </w:pPr>
      <w:rPr>
        <w:rFonts w:ascii="Arial Bold" w:hAnsi="Arial Bold" w:hint="default"/>
        <w:b/>
        <w:i w:val="0"/>
        <w:color w:val="auto"/>
        <w:spacing w:val="-4"/>
        <w:w w:val="100"/>
        <w:position w:val="0"/>
        <w:sz w:val="20"/>
      </w:rPr>
    </w:lvl>
    <w:lvl w:ilvl="4">
      <w:start w:val="1"/>
      <w:numFmt w:val="decimal"/>
      <w:lvlText w:val="%1.%2.%3.%4.%5"/>
      <w:lvlJc w:val="left"/>
      <w:pPr>
        <w:tabs>
          <w:tab w:val="num" w:pos="3119"/>
        </w:tabs>
        <w:ind w:left="3119" w:hanging="964"/>
      </w:pPr>
      <w:rPr>
        <w:rFonts w:ascii="Arial Bold" w:hAnsi="Arial Bold" w:hint="default"/>
        <w:b/>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CD797C"/>
    <w:multiLevelType w:val="multilevel"/>
    <w:tmpl w:val="4328BE36"/>
    <w:lvl w:ilvl="0">
      <w:start w:val="1"/>
      <w:numFmt w:val="decimal"/>
      <w:pStyle w:val="Taotlused"/>
      <w:lvlText w:val="%1"/>
      <w:lvlJc w:val="left"/>
      <w:pPr>
        <w:tabs>
          <w:tab w:val="num" w:pos="397"/>
        </w:tabs>
        <w:ind w:left="397" w:hanging="397"/>
      </w:pPr>
      <w:rPr>
        <w:rFonts w:ascii="Arial Bold" w:hAnsi="Arial Bold" w:hint="default"/>
        <w:b/>
        <w:i w:val="0"/>
        <w:color w:val="auto"/>
        <w:spacing w:val="0"/>
        <w:w w:val="100"/>
        <w:position w:val="0"/>
        <w:sz w:val="20"/>
      </w:rPr>
    </w:lvl>
    <w:lvl w:ilvl="1">
      <w:start w:val="1"/>
      <w:numFmt w:val="decimal"/>
      <w:lvlText w:val="%1.%2"/>
      <w:lvlJc w:val="left"/>
      <w:pPr>
        <w:tabs>
          <w:tab w:val="num" w:pos="851"/>
        </w:tabs>
        <w:ind w:left="851" w:hanging="454"/>
      </w:pPr>
      <w:rPr>
        <w:rFonts w:ascii="Arial Bold" w:hAnsi="Arial Bold" w:hint="default"/>
        <w:b/>
        <w:i w:val="0"/>
        <w:color w:val="auto"/>
        <w:spacing w:val="0"/>
        <w:w w:val="100"/>
        <w:position w:val="0"/>
        <w:sz w:val="20"/>
      </w:rPr>
    </w:lvl>
    <w:lvl w:ilvl="2">
      <w:start w:val="1"/>
      <w:numFmt w:val="decimal"/>
      <w:lvlText w:val="%1.%2.%3"/>
      <w:lvlJc w:val="left"/>
      <w:pPr>
        <w:tabs>
          <w:tab w:val="num" w:pos="1418"/>
        </w:tabs>
        <w:ind w:left="1418" w:hanging="567"/>
      </w:pPr>
      <w:rPr>
        <w:rFonts w:ascii="Arial Bold" w:hAnsi="Arial Bold" w:hint="default"/>
        <w:b/>
        <w:i w:val="0"/>
        <w:color w:val="auto"/>
        <w:spacing w:val="-4"/>
        <w:w w:val="100"/>
        <w:position w:val="0"/>
        <w:sz w:val="20"/>
      </w:rPr>
    </w:lvl>
    <w:lvl w:ilvl="3">
      <w:start w:val="1"/>
      <w:numFmt w:val="decimal"/>
      <w:lvlText w:val="%1.%2.%3.%4"/>
      <w:lvlJc w:val="left"/>
      <w:pPr>
        <w:tabs>
          <w:tab w:val="num" w:pos="2155"/>
        </w:tabs>
        <w:ind w:left="2155" w:hanging="737"/>
      </w:pPr>
      <w:rPr>
        <w:rFonts w:ascii="Arial Bold" w:hAnsi="Arial Bold" w:hint="default"/>
        <w:b/>
        <w:i w:val="0"/>
        <w:color w:val="auto"/>
        <w:spacing w:val="-4"/>
        <w:w w:val="100"/>
        <w:position w:val="0"/>
      </w:rPr>
    </w:lvl>
    <w:lvl w:ilvl="4">
      <w:start w:val="1"/>
      <w:numFmt w:val="decimal"/>
      <w:lvlText w:val="%1.%2.%3.%4.%5"/>
      <w:lvlJc w:val="left"/>
      <w:pPr>
        <w:tabs>
          <w:tab w:val="num" w:pos="3119"/>
        </w:tabs>
        <w:ind w:left="3119" w:hanging="964"/>
      </w:pPr>
      <w:rPr>
        <w:rFonts w:ascii="Arial Bold" w:hAnsi="Arial Bold" w:hint="default"/>
        <w:b/>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E55B19"/>
    <w:multiLevelType w:val="multilevel"/>
    <w:tmpl w:val="C960EA52"/>
    <w:lvl w:ilvl="0">
      <w:start w:val="1"/>
      <w:numFmt w:val="decimal"/>
      <w:pStyle w:val="Lisad"/>
      <w:lvlText w:val="%1"/>
      <w:lvlJc w:val="left"/>
      <w:pPr>
        <w:tabs>
          <w:tab w:val="num" w:pos="397"/>
        </w:tabs>
        <w:ind w:left="397" w:hanging="397"/>
      </w:pPr>
      <w:rPr>
        <w:rFonts w:ascii="Arial" w:hAnsi="Arial" w:hint="default"/>
        <w:b w:val="0"/>
        <w:i w:val="0"/>
        <w:color w:val="auto"/>
        <w:spacing w:val="0"/>
        <w:w w:val="100"/>
        <w:position w:val="0"/>
        <w:sz w:val="20"/>
      </w:rPr>
    </w:lvl>
    <w:lvl w:ilvl="1">
      <w:start w:val="1"/>
      <w:numFmt w:val="decimal"/>
      <w:lvlText w:val="%1.%2"/>
      <w:lvlJc w:val="left"/>
      <w:pPr>
        <w:tabs>
          <w:tab w:val="num" w:pos="851"/>
        </w:tabs>
        <w:ind w:left="851" w:hanging="454"/>
      </w:pPr>
      <w:rPr>
        <w:rFonts w:ascii="Arial" w:hAnsi="Arial" w:hint="default"/>
        <w:b w:val="0"/>
        <w:i w:val="0"/>
        <w:color w:val="auto"/>
        <w:spacing w:val="0"/>
        <w:w w:val="100"/>
        <w:position w:val="0"/>
        <w:sz w:val="20"/>
      </w:rPr>
    </w:lvl>
    <w:lvl w:ilvl="2">
      <w:start w:val="1"/>
      <w:numFmt w:val="decimal"/>
      <w:lvlText w:val="%1.%2.%3"/>
      <w:lvlJc w:val="left"/>
      <w:pPr>
        <w:tabs>
          <w:tab w:val="num" w:pos="1418"/>
        </w:tabs>
        <w:ind w:left="1418" w:hanging="567"/>
      </w:pPr>
      <w:rPr>
        <w:rFonts w:ascii="Arial" w:hAnsi="Arial" w:hint="default"/>
        <w:b w:val="0"/>
        <w:i w:val="0"/>
        <w:color w:val="auto"/>
        <w:spacing w:val="-4"/>
        <w:w w:val="100"/>
        <w:position w:val="0"/>
        <w:sz w:val="20"/>
      </w:rPr>
    </w:lvl>
    <w:lvl w:ilvl="3">
      <w:start w:val="1"/>
      <w:numFmt w:val="decimal"/>
      <w:lvlText w:val="%1.%2.%3.%4"/>
      <w:lvlJc w:val="left"/>
      <w:pPr>
        <w:tabs>
          <w:tab w:val="num" w:pos="2155"/>
        </w:tabs>
        <w:ind w:left="2155" w:hanging="737"/>
      </w:pPr>
      <w:rPr>
        <w:rFonts w:ascii="Arial" w:hAnsi="Arial" w:hint="default"/>
        <w:b w:val="0"/>
        <w:i w:val="0"/>
        <w:color w:val="auto"/>
        <w:spacing w:val="-4"/>
        <w:w w:val="100"/>
        <w:position w:val="0"/>
        <w:sz w:val="20"/>
      </w:rPr>
    </w:lvl>
    <w:lvl w:ilvl="4">
      <w:start w:val="1"/>
      <w:numFmt w:val="decimal"/>
      <w:lvlText w:val="%1.%2.%3.%4.%5"/>
      <w:lvlJc w:val="left"/>
      <w:pPr>
        <w:tabs>
          <w:tab w:val="num" w:pos="3119"/>
        </w:tabs>
        <w:ind w:left="3119" w:hanging="1021"/>
      </w:pPr>
      <w:rPr>
        <w:rFonts w:ascii="Arial" w:hAnsi="Arial" w:hint="default"/>
        <w:b w:val="0"/>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14056CF"/>
    <w:multiLevelType w:val="hybridMultilevel"/>
    <w:tmpl w:val="73A8515E"/>
    <w:lvl w:ilvl="0" w:tplc="F976B78C">
      <w:start w:val="1"/>
      <w:numFmt w:val="decimal"/>
      <w:lvlText w:val="%1)"/>
      <w:lvlJc w:val="left"/>
      <w:pPr>
        <w:ind w:left="720" w:hanging="360"/>
      </w:pPr>
      <w:rPr>
        <w:rFonts w:hint="default"/>
        <w:b/>
        <w:bCs/>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4E80BA6"/>
    <w:multiLevelType w:val="multilevel"/>
    <w:tmpl w:val="1FB02E5A"/>
    <w:lvl w:ilvl="0">
      <w:start w:val="1"/>
      <w:numFmt w:val="decimal"/>
      <w:lvlText w:val="(%1)"/>
      <w:lvlJc w:val="left"/>
      <w:pPr>
        <w:ind w:left="720" w:hanging="72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849207A"/>
    <w:multiLevelType w:val="multilevel"/>
    <w:tmpl w:val="DF3215B8"/>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6"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28" w15:restartNumberingAfterBreak="0">
    <w:nsid w:val="728B15B9"/>
    <w:multiLevelType w:val="multilevel"/>
    <w:tmpl w:val="69BCAF82"/>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B4E2DA8"/>
    <w:multiLevelType w:val="multilevel"/>
    <w:tmpl w:val="8C90FCEA"/>
    <w:lvl w:ilvl="0">
      <w:start w:val="1"/>
      <w:numFmt w:val="upperLetter"/>
      <w:lvlText w:val="(%1)"/>
      <w:lvlJc w:val="left"/>
      <w:pPr>
        <w:ind w:left="720" w:hanging="72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02086491">
    <w:abstractNumId w:val="26"/>
  </w:num>
  <w:num w:numId="2" w16cid:durableId="83309510">
    <w:abstractNumId w:val="27"/>
  </w:num>
  <w:num w:numId="3" w16cid:durableId="1175536620">
    <w:abstractNumId w:val="16"/>
  </w:num>
  <w:num w:numId="4" w16cid:durableId="1749889482">
    <w:abstractNumId w:val="8"/>
  </w:num>
  <w:num w:numId="5" w16cid:durableId="1772312215">
    <w:abstractNumId w:val="21"/>
  </w:num>
  <w:num w:numId="6" w16cid:durableId="1529486642">
    <w:abstractNumId w:val="14"/>
  </w:num>
  <w:num w:numId="7" w16cid:durableId="541334227">
    <w:abstractNumId w:val="18"/>
  </w:num>
  <w:num w:numId="8" w16cid:durableId="288173166">
    <w:abstractNumId w:val="17"/>
  </w:num>
  <w:num w:numId="9" w16cid:durableId="1642072504">
    <w:abstractNumId w:val="23"/>
  </w:num>
  <w:num w:numId="10" w16cid:durableId="308174465">
    <w:abstractNumId w:val="15"/>
  </w:num>
  <w:num w:numId="11" w16cid:durableId="1266494628">
    <w:abstractNumId w:val="28"/>
  </w:num>
  <w:num w:numId="12" w16cid:durableId="59251803">
    <w:abstractNumId w:val="12"/>
  </w:num>
  <w:num w:numId="13" w16cid:durableId="996810040">
    <w:abstractNumId w:val="9"/>
  </w:num>
  <w:num w:numId="14" w16cid:durableId="1642808513">
    <w:abstractNumId w:val="19"/>
  </w:num>
  <w:num w:numId="15" w16cid:durableId="290138174">
    <w:abstractNumId w:val="5"/>
  </w:num>
  <w:num w:numId="16" w16cid:durableId="1848593527">
    <w:abstractNumId w:val="4"/>
  </w:num>
  <w:num w:numId="17" w16cid:durableId="848443082">
    <w:abstractNumId w:val="6"/>
  </w:num>
  <w:num w:numId="18" w16cid:durableId="1113600051">
    <w:abstractNumId w:val="3"/>
  </w:num>
  <w:num w:numId="19" w16cid:durableId="1807619923">
    <w:abstractNumId w:val="2"/>
  </w:num>
  <w:num w:numId="20" w16cid:durableId="776800230">
    <w:abstractNumId w:val="1"/>
  </w:num>
  <w:num w:numId="21" w16cid:durableId="1471896103">
    <w:abstractNumId w:val="0"/>
  </w:num>
  <w:num w:numId="22" w16cid:durableId="1567959396">
    <w:abstractNumId w:val="20"/>
  </w:num>
  <w:num w:numId="23" w16cid:durableId="1116295531">
    <w:abstractNumId w:val="24"/>
  </w:num>
  <w:num w:numId="24" w16cid:durableId="1037048412">
    <w:abstractNumId w:val="7"/>
  </w:num>
  <w:num w:numId="25" w16cid:durableId="1525171993">
    <w:abstractNumId w:val="29"/>
  </w:num>
  <w:num w:numId="26" w16cid:durableId="1994530564">
    <w:abstractNumId w:val="11"/>
  </w:num>
  <w:num w:numId="27" w16cid:durableId="948969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4771552">
    <w:abstractNumId w:val="13"/>
  </w:num>
  <w:num w:numId="29" w16cid:durableId="858812972">
    <w:abstractNumId w:val="8"/>
  </w:num>
  <w:num w:numId="30" w16cid:durableId="768965476">
    <w:abstractNumId w:val="8"/>
  </w:num>
  <w:num w:numId="31" w16cid:durableId="913710376">
    <w:abstractNumId w:val="8"/>
  </w:num>
  <w:num w:numId="32" w16cid:durableId="1225993121">
    <w:abstractNumId w:val="8"/>
  </w:num>
  <w:num w:numId="33" w16cid:durableId="311787210">
    <w:abstractNumId w:val="8"/>
  </w:num>
  <w:num w:numId="34" w16cid:durableId="1433087555">
    <w:abstractNumId w:val="8"/>
  </w:num>
  <w:num w:numId="35" w16cid:durableId="100691005">
    <w:abstractNumId w:val="8"/>
  </w:num>
  <w:num w:numId="36" w16cid:durableId="599604573">
    <w:abstractNumId w:val="8"/>
  </w:num>
  <w:num w:numId="37" w16cid:durableId="298876272">
    <w:abstractNumId w:val="8"/>
  </w:num>
  <w:num w:numId="38" w16cid:durableId="1631547240">
    <w:abstractNumId w:val="8"/>
  </w:num>
  <w:num w:numId="39" w16cid:durableId="35466976">
    <w:abstractNumId w:val="10"/>
  </w:num>
  <w:num w:numId="40" w16cid:durableId="2123382443">
    <w:abstractNumId w:val="8"/>
  </w:num>
  <w:num w:numId="41" w16cid:durableId="591352497">
    <w:abstractNumId w:val="8"/>
  </w:num>
  <w:num w:numId="42" w16cid:durableId="842663481">
    <w:abstractNumId w:val="8"/>
  </w:num>
  <w:num w:numId="43" w16cid:durableId="1756630678">
    <w:abstractNumId w:val="22"/>
  </w:num>
  <w:num w:numId="44" w16cid:durableId="1668289190">
    <w:abstractNumId w:val="8"/>
  </w:num>
  <w:num w:numId="45" w16cid:durableId="474568809">
    <w:abstractNumId w:val="8"/>
  </w:num>
  <w:num w:numId="46" w16cid:durableId="1915624557">
    <w:abstractNumId w:val="8"/>
  </w:num>
  <w:num w:numId="47" w16cid:durableId="38866573">
    <w:abstractNumId w:val="25"/>
  </w:num>
  <w:num w:numId="48" w16cid:durableId="1012226732">
    <w:abstractNumId w:val="8"/>
  </w:num>
  <w:num w:numId="49" w16cid:durableId="1077434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B6"/>
    <w:rsid w:val="0000385B"/>
    <w:rsid w:val="00003B11"/>
    <w:rsid w:val="00007118"/>
    <w:rsid w:val="00011997"/>
    <w:rsid w:val="0001774E"/>
    <w:rsid w:val="0002061D"/>
    <w:rsid w:val="00022A17"/>
    <w:rsid w:val="0002453F"/>
    <w:rsid w:val="0003339A"/>
    <w:rsid w:val="00034AFC"/>
    <w:rsid w:val="000409CB"/>
    <w:rsid w:val="000417F5"/>
    <w:rsid w:val="0004301F"/>
    <w:rsid w:val="000432D1"/>
    <w:rsid w:val="00056210"/>
    <w:rsid w:val="00061B8C"/>
    <w:rsid w:val="00063469"/>
    <w:rsid w:val="000637B6"/>
    <w:rsid w:val="000654A0"/>
    <w:rsid w:val="000732D3"/>
    <w:rsid w:val="00073B22"/>
    <w:rsid w:val="00076B45"/>
    <w:rsid w:val="00082706"/>
    <w:rsid w:val="00087110"/>
    <w:rsid w:val="000873E3"/>
    <w:rsid w:val="000902CC"/>
    <w:rsid w:val="000A0F22"/>
    <w:rsid w:val="000A2DCC"/>
    <w:rsid w:val="000A4580"/>
    <w:rsid w:val="000A76B8"/>
    <w:rsid w:val="000A7F77"/>
    <w:rsid w:val="000B15C4"/>
    <w:rsid w:val="000B2525"/>
    <w:rsid w:val="000C20A2"/>
    <w:rsid w:val="000C6640"/>
    <w:rsid w:val="000E7047"/>
    <w:rsid w:val="000E7FC3"/>
    <w:rsid w:val="000F1ED7"/>
    <w:rsid w:val="000F536F"/>
    <w:rsid w:val="000F54C8"/>
    <w:rsid w:val="00117110"/>
    <w:rsid w:val="00117305"/>
    <w:rsid w:val="00117B3F"/>
    <w:rsid w:val="00117F20"/>
    <w:rsid w:val="00120B23"/>
    <w:rsid w:val="00124D04"/>
    <w:rsid w:val="00133C9F"/>
    <w:rsid w:val="00133D70"/>
    <w:rsid w:val="00135073"/>
    <w:rsid w:val="001359B7"/>
    <w:rsid w:val="00144225"/>
    <w:rsid w:val="00147A51"/>
    <w:rsid w:val="001508B3"/>
    <w:rsid w:val="00153CF0"/>
    <w:rsid w:val="00172762"/>
    <w:rsid w:val="00173686"/>
    <w:rsid w:val="001749C9"/>
    <w:rsid w:val="00174DD1"/>
    <w:rsid w:val="0018089E"/>
    <w:rsid w:val="00185D64"/>
    <w:rsid w:val="00186194"/>
    <w:rsid w:val="001908AB"/>
    <w:rsid w:val="0019517B"/>
    <w:rsid w:val="00196A70"/>
    <w:rsid w:val="001A05DB"/>
    <w:rsid w:val="001A1452"/>
    <w:rsid w:val="001A7D81"/>
    <w:rsid w:val="001B1C7E"/>
    <w:rsid w:val="001B3921"/>
    <w:rsid w:val="001B4469"/>
    <w:rsid w:val="001B5291"/>
    <w:rsid w:val="001C306B"/>
    <w:rsid w:val="001C77FB"/>
    <w:rsid w:val="001D0525"/>
    <w:rsid w:val="001D14AE"/>
    <w:rsid w:val="001E1F86"/>
    <w:rsid w:val="001E26A7"/>
    <w:rsid w:val="001E41A0"/>
    <w:rsid w:val="001E61E6"/>
    <w:rsid w:val="001E6A8C"/>
    <w:rsid w:val="001E70A0"/>
    <w:rsid w:val="001E7299"/>
    <w:rsid w:val="002104E5"/>
    <w:rsid w:val="002112F2"/>
    <w:rsid w:val="002115C2"/>
    <w:rsid w:val="00211D82"/>
    <w:rsid w:val="00217D7A"/>
    <w:rsid w:val="00221585"/>
    <w:rsid w:val="002271EE"/>
    <w:rsid w:val="002277B2"/>
    <w:rsid w:val="00227DF7"/>
    <w:rsid w:val="0023205B"/>
    <w:rsid w:val="0024654C"/>
    <w:rsid w:val="00246611"/>
    <w:rsid w:val="00273A4C"/>
    <w:rsid w:val="00275A1C"/>
    <w:rsid w:val="00276FB0"/>
    <w:rsid w:val="00293871"/>
    <w:rsid w:val="0029769E"/>
    <w:rsid w:val="002A4E70"/>
    <w:rsid w:val="002A5305"/>
    <w:rsid w:val="002A5F90"/>
    <w:rsid w:val="002A5FED"/>
    <w:rsid w:val="002A6010"/>
    <w:rsid w:val="002A62C3"/>
    <w:rsid w:val="002A67B7"/>
    <w:rsid w:val="002B035C"/>
    <w:rsid w:val="002B0981"/>
    <w:rsid w:val="002B4BFA"/>
    <w:rsid w:val="002B5C70"/>
    <w:rsid w:val="002C2FD4"/>
    <w:rsid w:val="002C4CAD"/>
    <w:rsid w:val="002C4FC8"/>
    <w:rsid w:val="002C5F28"/>
    <w:rsid w:val="002C6FB6"/>
    <w:rsid w:val="002D1341"/>
    <w:rsid w:val="002D252E"/>
    <w:rsid w:val="002D2C06"/>
    <w:rsid w:val="002E0879"/>
    <w:rsid w:val="002E0FE4"/>
    <w:rsid w:val="002E469A"/>
    <w:rsid w:val="002F262A"/>
    <w:rsid w:val="003106F8"/>
    <w:rsid w:val="00311025"/>
    <w:rsid w:val="0031515E"/>
    <w:rsid w:val="00320706"/>
    <w:rsid w:val="003413F8"/>
    <w:rsid w:val="00342DC8"/>
    <w:rsid w:val="00342ED5"/>
    <w:rsid w:val="00352611"/>
    <w:rsid w:val="00353126"/>
    <w:rsid w:val="00356872"/>
    <w:rsid w:val="003608F8"/>
    <w:rsid w:val="0036457D"/>
    <w:rsid w:val="0036565D"/>
    <w:rsid w:val="00366476"/>
    <w:rsid w:val="00366D9A"/>
    <w:rsid w:val="0037186E"/>
    <w:rsid w:val="00374583"/>
    <w:rsid w:val="00377D51"/>
    <w:rsid w:val="00382AA6"/>
    <w:rsid w:val="00385EC4"/>
    <w:rsid w:val="003935EC"/>
    <w:rsid w:val="00394D79"/>
    <w:rsid w:val="00396F54"/>
    <w:rsid w:val="00397B9E"/>
    <w:rsid w:val="003A0BB3"/>
    <w:rsid w:val="003A11C3"/>
    <w:rsid w:val="003A76EC"/>
    <w:rsid w:val="003A7933"/>
    <w:rsid w:val="003B3094"/>
    <w:rsid w:val="003C1068"/>
    <w:rsid w:val="003C19F3"/>
    <w:rsid w:val="003C4A86"/>
    <w:rsid w:val="003D0950"/>
    <w:rsid w:val="003D0A2E"/>
    <w:rsid w:val="003D291D"/>
    <w:rsid w:val="003D3A8C"/>
    <w:rsid w:val="003D4DCE"/>
    <w:rsid w:val="003D5DA4"/>
    <w:rsid w:val="003E043A"/>
    <w:rsid w:val="003E66D0"/>
    <w:rsid w:val="003F17BF"/>
    <w:rsid w:val="003F25CD"/>
    <w:rsid w:val="003F5EB8"/>
    <w:rsid w:val="003F694D"/>
    <w:rsid w:val="00401155"/>
    <w:rsid w:val="00402471"/>
    <w:rsid w:val="0041199A"/>
    <w:rsid w:val="00413395"/>
    <w:rsid w:val="0042205B"/>
    <w:rsid w:val="004330C6"/>
    <w:rsid w:val="004430A6"/>
    <w:rsid w:val="00455F08"/>
    <w:rsid w:val="00466976"/>
    <w:rsid w:val="004903C0"/>
    <w:rsid w:val="00490433"/>
    <w:rsid w:val="0049065E"/>
    <w:rsid w:val="004922BB"/>
    <w:rsid w:val="00492995"/>
    <w:rsid w:val="00494D9E"/>
    <w:rsid w:val="004976F7"/>
    <w:rsid w:val="004A3542"/>
    <w:rsid w:val="004B1B44"/>
    <w:rsid w:val="004B1EA7"/>
    <w:rsid w:val="004B32C5"/>
    <w:rsid w:val="004B4540"/>
    <w:rsid w:val="004B674F"/>
    <w:rsid w:val="004B7EE0"/>
    <w:rsid w:val="004C21B1"/>
    <w:rsid w:val="004C3737"/>
    <w:rsid w:val="004C3A28"/>
    <w:rsid w:val="004C5482"/>
    <w:rsid w:val="004D123C"/>
    <w:rsid w:val="004E087E"/>
    <w:rsid w:val="004E108F"/>
    <w:rsid w:val="004E50D8"/>
    <w:rsid w:val="004F2701"/>
    <w:rsid w:val="004F3205"/>
    <w:rsid w:val="004F72E3"/>
    <w:rsid w:val="00502EE4"/>
    <w:rsid w:val="005231D6"/>
    <w:rsid w:val="00524D59"/>
    <w:rsid w:val="005262DF"/>
    <w:rsid w:val="0055385B"/>
    <w:rsid w:val="00556629"/>
    <w:rsid w:val="0056171C"/>
    <w:rsid w:val="00563A0D"/>
    <w:rsid w:val="00566F21"/>
    <w:rsid w:val="00572E17"/>
    <w:rsid w:val="00574012"/>
    <w:rsid w:val="0057527C"/>
    <w:rsid w:val="00576038"/>
    <w:rsid w:val="00581EAD"/>
    <w:rsid w:val="00583FB7"/>
    <w:rsid w:val="00585875"/>
    <w:rsid w:val="005931BE"/>
    <w:rsid w:val="00593BE7"/>
    <w:rsid w:val="00595BAA"/>
    <w:rsid w:val="005A28E3"/>
    <w:rsid w:val="005B6EC8"/>
    <w:rsid w:val="005C1547"/>
    <w:rsid w:val="005C15B3"/>
    <w:rsid w:val="005C275D"/>
    <w:rsid w:val="005C3CF2"/>
    <w:rsid w:val="005C4379"/>
    <w:rsid w:val="005C7590"/>
    <w:rsid w:val="005D066A"/>
    <w:rsid w:val="005D71EE"/>
    <w:rsid w:val="005E086D"/>
    <w:rsid w:val="005E0DDB"/>
    <w:rsid w:val="005E23BC"/>
    <w:rsid w:val="005E294E"/>
    <w:rsid w:val="005F446A"/>
    <w:rsid w:val="005F45FF"/>
    <w:rsid w:val="00600986"/>
    <w:rsid w:val="00604A3F"/>
    <w:rsid w:val="006107E4"/>
    <w:rsid w:val="0061108A"/>
    <w:rsid w:val="00611523"/>
    <w:rsid w:val="006135B4"/>
    <w:rsid w:val="006157F6"/>
    <w:rsid w:val="00643EAC"/>
    <w:rsid w:val="00644B4A"/>
    <w:rsid w:val="00650A1A"/>
    <w:rsid w:val="0065187A"/>
    <w:rsid w:val="006533D2"/>
    <w:rsid w:val="006543F1"/>
    <w:rsid w:val="00654E0A"/>
    <w:rsid w:val="0066643F"/>
    <w:rsid w:val="00677724"/>
    <w:rsid w:val="00682EAB"/>
    <w:rsid w:val="006934BB"/>
    <w:rsid w:val="006939DA"/>
    <w:rsid w:val="0069587E"/>
    <w:rsid w:val="00696DC8"/>
    <w:rsid w:val="006A3590"/>
    <w:rsid w:val="006A46E0"/>
    <w:rsid w:val="006A7D3D"/>
    <w:rsid w:val="006B0F76"/>
    <w:rsid w:val="006B30F2"/>
    <w:rsid w:val="006B6481"/>
    <w:rsid w:val="006C5D08"/>
    <w:rsid w:val="006C7305"/>
    <w:rsid w:val="006D2E0D"/>
    <w:rsid w:val="006D4AC2"/>
    <w:rsid w:val="006D5250"/>
    <w:rsid w:val="006D57A1"/>
    <w:rsid w:val="006E3803"/>
    <w:rsid w:val="006E3C9C"/>
    <w:rsid w:val="006F7860"/>
    <w:rsid w:val="006F79CE"/>
    <w:rsid w:val="00701DE1"/>
    <w:rsid w:val="0072036D"/>
    <w:rsid w:val="00722163"/>
    <w:rsid w:val="00722A6E"/>
    <w:rsid w:val="00732AD5"/>
    <w:rsid w:val="0073684E"/>
    <w:rsid w:val="00741090"/>
    <w:rsid w:val="00765312"/>
    <w:rsid w:val="00770736"/>
    <w:rsid w:val="00771558"/>
    <w:rsid w:val="00776065"/>
    <w:rsid w:val="00785A20"/>
    <w:rsid w:val="00786D3D"/>
    <w:rsid w:val="00786E3C"/>
    <w:rsid w:val="0079614E"/>
    <w:rsid w:val="007A1B3D"/>
    <w:rsid w:val="007A3785"/>
    <w:rsid w:val="007A389B"/>
    <w:rsid w:val="007A669A"/>
    <w:rsid w:val="007B729F"/>
    <w:rsid w:val="007C079D"/>
    <w:rsid w:val="007C33B6"/>
    <w:rsid w:val="007C341F"/>
    <w:rsid w:val="007C3CEB"/>
    <w:rsid w:val="007C6E7B"/>
    <w:rsid w:val="007D1A6F"/>
    <w:rsid w:val="007D23F8"/>
    <w:rsid w:val="007E2AF6"/>
    <w:rsid w:val="007E68D4"/>
    <w:rsid w:val="007F2DAD"/>
    <w:rsid w:val="007F33E2"/>
    <w:rsid w:val="007F5E6E"/>
    <w:rsid w:val="007F7CA5"/>
    <w:rsid w:val="00801C3E"/>
    <w:rsid w:val="00802389"/>
    <w:rsid w:val="00802FDD"/>
    <w:rsid w:val="00805CC1"/>
    <w:rsid w:val="00806BD6"/>
    <w:rsid w:val="00810301"/>
    <w:rsid w:val="00813D3E"/>
    <w:rsid w:val="00813E06"/>
    <w:rsid w:val="00813F2C"/>
    <w:rsid w:val="0081406B"/>
    <w:rsid w:val="00816C0C"/>
    <w:rsid w:val="008230A2"/>
    <w:rsid w:val="00827744"/>
    <w:rsid w:val="00840E9B"/>
    <w:rsid w:val="00844AC8"/>
    <w:rsid w:val="00847F58"/>
    <w:rsid w:val="00850071"/>
    <w:rsid w:val="00854912"/>
    <w:rsid w:val="008552FB"/>
    <w:rsid w:val="008574D3"/>
    <w:rsid w:val="008629B7"/>
    <w:rsid w:val="0086497A"/>
    <w:rsid w:val="00870047"/>
    <w:rsid w:val="0087392D"/>
    <w:rsid w:val="00873CA8"/>
    <w:rsid w:val="0087433A"/>
    <w:rsid w:val="00880956"/>
    <w:rsid w:val="0088178D"/>
    <w:rsid w:val="00882620"/>
    <w:rsid w:val="00887B84"/>
    <w:rsid w:val="00895366"/>
    <w:rsid w:val="008A2C5C"/>
    <w:rsid w:val="008A470B"/>
    <w:rsid w:val="008B1BAD"/>
    <w:rsid w:val="008B55FE"/>
    <w:rsid w:val="008B6C2B"/>
    <w:rsid w:val="008B7F3D"/>
    <w:rsid w:val="008C3A69"/>
    <w:rsid w:val="008C4088"/>
    <w:rsid w:val="008C4A43"/>
    <w:rsid w:val="008C5810"/>
    <w:rsid w:val="008C5B58"/>
    <w:rsid w:val="008C7CFB"/>
    <w:rsid w:val="008D0B9F"/>
    <w:rsid w:val="008D1A9C"/>
    <w:rsid w:val="008D3D21"/>
    <w:rsid w:val="008D6411"/>
    <w:rsid w:val="008E12C9"/>
    <w:rsid w:val="008E3C10"/>
    <w:rsid w:val="008F11C0"/>
    <w:rsid w:val="008F4C84"/>
    <w:rsid w:val="008F6ABF"/>
    <w:rsid w:val="0090130D"/>
    <w:rsid w:val="0090181D"/>
    <w:rsid w:val="00902A27"/>
    <w:rsid w:val="0091053C"/>
    <w:rsid w:val="009140CB"/>
    <w:rsid w:val="009148B9"/>
    <w:rsid w:val="009158AA"/>
    <w:rsid w:val="0092150B"/>
    <w:rsid w:val="00923906"/>
    <w:rsid w:val="00931A0C"/>
    <w:rsid w:val="00933363"/>
    <w:rsid w:val="00945DF1"/>
    <w:rsid w:val="00946224"/>
    <w:rsid w:val="00946F1C"/>
    <w:rsid w:val="00947AAF"/>
    <w:rsid w:val="00951CEB"/>
    <w:rsid w:val="009532EF"/>
    <w:rsid w:val="00954CB8"/>
    <w:rsid w:val="00962876"/>
    <w:rsid w:val="0096305E"/>
    <w:rsid w:val="00963412"/>
    <w:rsid w:val="00963481"/>
    <w:rsid w:val="00973AA2"/>
    <w:rsid w:val="009741DC"/>
    <w:rsid w:val="00975E26"/>
    <w:rsid w:val="00975E7E"/>
    <w:rsid w:val="00977FD3"/>
    <w:rsid w:val="009805D7"/>
    <w:rsid w:val="0098282B"/>
    <w:rsid w:val="00983532"/>
    <w:rsid w:val="0098561A"/>
    <w:rsid w:val="00993484"/>
    <w:rsid w:val="009A1669"/>
    <w:rsid w:val="009A19AE"/>
    <w:rsid w:val="009A2C32"/>
    <w:rsid w:val="009A33D3"/>
    <w:rsid w:val="009B598E"/>
    <w:rsid w:val="009C355B"/>
    <w:rsid w:val="009C64DE"/>
    <w:rsid w:val="009C69FD"/>
    <w:rsid w:val="009E01E7"/>
    <w:rsid w:val="009E04BF"/>
    <w:rsid w:val="009F30F6"/>
    <w:rsid w:val="009F3878"/>
    <w:rsid w:val="00A04942"/>
    <w:rsid w:val="00A11775"/>
    <w:rsid w:val="00A2247F"/>
    <w:rsid w:val="00A22773"/>
    <w:rsid w:val="00A27490"/>
    <w:rsid w:val="00A36448"/>
    <w:rsid w:val="00A40827"/>
    <w:rsid w:val="00A41AE3"/>
    <w:rsid w:val="00A41BB3"/>
    <w:rsid w:val="00A4442B"/>
    <w:rsid w:val="00A51C7A"/>
    <w:rsid w:val="00A524F0"/>
    <w:rsid w:val="00A55F30"/>
    <w:rsid w:val="00A569CB"/>
    <w:rsid w:val="00A62913"/>
    <w:rsid w:val="00A63950"/>
    <w:rsid w:val="00A642F7"/>
    <w:rsid w:val="00A71850"/>
    <w:rsid w:val="00A73445"/>
    <w:rsid w:val="00A73EEA"/>
    <w:rsid w:val="00A77F9E"/>
    <w:rsid w:val="00AB6811"/>
    <w:rsid w:val="00AC0A27"/>
    <w:rsid w:val="00AC140A"/>
    <w:rsid w:val="00AC63F1"/>
    <w:rsid w:val="00AD3A85"/>
    <w:rsid w:val="00AD4E5B"/>
    <w:rsid w:val="00AE3D2A"/>
    <w:rsid w:val="00AF1269"/>
    <w:rsid w:val="00B006AD"/>
    <w:rsid w:val="00B06F42"/>
    <w:rsid w:val="00B070C2"/>
    <w:rsid w:val="00B107B8"/>
    <w:rsid w:val="00B21015"/>
    <w:rsid w:val="00B23226"/>
    <w:rsid w:val="00B23FC3"/>
    <w:rsid w:val="00B256A6"/>
    <w:rsid w:val="00B2652F"/>
    <w:rsid w:val="00B327B9"/>
    <w:rsid w:val="00B35CF5"/>
    <w:rsid w:val="00B377D3"/>
    <w:rsid w:val="00B40BAF"/>
    <w:rsid w:val="00B4132C"/>
    <w:rsid w:val="00B52F8E"/>
    <w:rsid w:val="00B540F2"/>
    <w:rsid w:val="00B6646E"/>
    <w:rsid w:val="00B745DD"/>
    <w:rsid w:val="00B74883"/>
    <w:rsid w:val="00B7500B"/>
    <w:rsid w:val="00B76207"/>
    <w:rsid w:val="00B81742"/>
    <w:rsid w:val="00B86F3E"/>
    <w:rsid w:val="00B87590"/>
    <w:rsid w:val="00BA6F4E"/>
    <w:rsid w:val="00BA70F7"/>
    <w:rsid w:val="00BB06B6"/>
    <w:rsid w:val="00BC0A72"/>
    <w:rsid w:val="00BC1C62"/>
    <w:rsid w:val="00BC5BBB"/>
    <w:rsid w:val="00BC6E92"/>
    <w:rsid w:val="00BD0BB6"/>
    <w:rsid w:val="00BD4F5D"/>
    <w:rsid w:val="00BD79A1"/>
    <w:rsid w:val="00BD7ADC"/>
    <w:rsid w:val="00BE0239"/>
    <w:rsid w:val="00BE1557"/>
    <w:rsid w:val="00BE1F02"/>
    <w:rsid w:val="00BE4FC8"/>
    <w:rsid w:val="00C03313"/>
    <w:rsid w:val="00C07D9D"/>
    <w:rsid w:val="00C1355D"/>
    <w:rsid w:val="00C17C4E"/>
    <w:rsid w:val="00C22B27"/>
    <w:rsid w:val="00C2553C"/>
    <w:rsid w:val="00C350D4"/>
    <w:rsid w:val="00C35A3F"/>
    <w:rsid w:val="00C367FD"/>
    <w:rsid w:val="00C4224B"/>
    <w:rsid w:val="00C46A21"/>
    <w:rsid w:val="00C4771D"/>
    <w:rsid w:val="00C53624"/>
    <w:rsid w:val="00C61A99"/>
    <w:rsid w:val="00C6440A"/>
    <w:rsid w:val="00C66BA2"/>
    <w:rsid w:val="00C67D36"/>
    <w:rsid w:val="00C7207F"/>
    <w:rsid w:val="00C733BD"/>
    <w:rsid w:val="00C8140B"/>
    <w:rsid w:val="00C81F92"/>
    <w:rsid w:val="00C82ED4"/>
    <w:rsid w:val="00C86AAF"/>
    <w:rsid w:val="00C911BF"/>
    <w:rsid w:val="00C91DF5"/>
    <w:rsid w:val="00C93083"/>
    <w:rsid w:val="00CA3D4B"/>
    <w:rsid w:val="00CB102D"/>
    <w:rsid w:val="00CB257C"/>
    <w:rsid w:val="00CB3436"/>
    <w:rsid w:val="00CC130F"/>
    <w:rsid w:val="00CD229A"/>
    <w:rsid w:val="00CD667E"/>
    <w:rsid w:val="00CE1E91"/>
    <w:rsid w:val="00CE4271"/>
    <w:rsid w:val="00CF785E"/>
    <w:rsid w:val="00D00892"/>
    <w:rsid w:val="00D05743"/>
    <w:rsid w:val="00D05AEB"/>
    <w:rsid w:val="00D10E64"/>
    <w:rsid w:val="00D14D4F"/>
    <w:rsid w:val="00D17949"/>
    <w:rsid w:val="00D253CF"/>
    <w:rsid w:val="00D27ADC"/>
    <w:rsid w:val="00D306DD"/>
    <w:rsid w:val="00D3072E"/>
    <w:rsid w:val="00D30C9D"/>
    <w:rsid w:val="00D35040"/>
    <w:rsid w:val="00D37D52"/>
    <w:rsid w:val="00D40422"/>
    <w:rsid w:val="00D4139C"/>
    <w:rsid w:val="00D42EF1"/>
    <w:rsid w:val="00D44953"/>
    <w:rsid w:val="00D53E18"/>
    <w:rsid w:val="00D60670"/>
    <w:rsid w:val="00D642B2"/>
    <w:rsid w:val="00D647A7"/>
    <w:rsid w:val="00D66BC6"/>
    <w:rsid w:val="00D66CF8"/>
    <w:rsid w:val="00D700D8"/>
    <w:rsid w:val="00D805F8"/>
    <w:rsid w:val="00D8374F"/>
    <w:rsid w:val="00D8377F"/>
    <w:rsid w:val="00D87959"/>
    <w:rsid w:val="00D94DEA"/>
    <w:rsid w:val="00DA00F6"/>
    <w:rsid w:val="00DA292B"/>
    <w:rsid w:val="00DA3414"/>
    <w:rsid w:val="00DA52A3"/>
    <w:rsid w:val="00DA6B44"/>
    <w:rsid w:val="00DA6C46"/>
    <w:rsid w:val="00DB7D16"/>
    <w:rsid w:val="00DC1532"/>
    <w:rsid w:val="00DC6B9C"/>
    <w:rsid w:val="00DC6F82"/>
    <w:rsid w:val="00DD4B5A"/>
    <w:rsid w:val="00DD7E38"/>
    <w:rsid w:val="00DE135B"/>
    <w:rsid w:val="00DE1FFB"/>
    <w:rsid w:val="00DE53CF"/>
    <w:rsid w:val="00DF0306"/>
    <w:rsid w:val="00DF1EAF"/>
    <w:rsid w:val="00DF3FEF"/>
    <w:rsid w:val="00E0246A"/>
    <w:rsid w:val="00E11CE6"/>
    <w:rsid w:val="00E17CD6"/>
    <w:rsid w:val="00E22CE3"/>
    <w:rsid w:val="00E230E1"/>
    <w:rsid w:val="00E27BF5"/>
    <w:rsid w:val="00E4012C"/>
    <w:rsid w:val="00E41888"/>
    <w:rsid w:val="00E43E92"/>
    <w:rsid w:val="00E4548C"/>
    <w:rsid w:val="00E4577D"/>
    <w:rsid w:val="00E45D1C"/>
    <w:rsid w:val="00E471C6"/>
    <w:rsid w:val="00E47ABC"/>
    <w:rsid w:val="00E51F2C"/>
    <w:rsid w:val="00E53A40"/>
    <w:rsid w:val="00E56BA6"/>
    <w:rsid w:val="00E604D7"/>
    <w:rsid w:val="00E673C2"/>
    <w:rsid w:val="00E703E9"/>
    <w:rsid w:val="00E7279D"/>
    <w:rsid w:val="00E8333C"/>
    <w:rsid w:val="00E96A83"/>
    <w:rsid w:val="00E97A14"/>
    <w:rsid w:val="00EA71D7"/>
    <w:rsid w:val="00EA7A47"/>
    <w:rsid w:val="00EB01D8"/>
    <w:rsid w:val="00EB42C3"/>
    <w:rsid w:val="00EB616E"/>
    <w:rsid w:val="00EC6AC7"/>
    <w:rsid w:val="00ED005B"/>
    <w:rsid w:val="00ED00AF"/>
    <w:rsid w:val="00EE0BBB"/>
    <w:rsid w:val="00EF2A20"/>
    <w:rsid w:val="00EF6680"/>
    <w:rsid w:val="00F04D75"/>
    <w:rsid w:val="00F10C79"/>
    <w:rsid w:val="00F17ECC"/>
    <w:rsid w:val="00F302A3"/>
    <w:rsid w:val="00F31EA3"/>
    <w:rsid w:val="00F32F01"/>
    <w:rsid w:val="00F3738E"/>
    <w:rsid w:val="00F37919"/>
    <w:rsid w:val="00F37F61"/>
    <w:rsid w:val="00F45DAE"/>
    <w:rsid w:val="00F477A6"/>
    <w:rsid w:val="00F47F41"/>
    <w:rsid w:val="00F52988"/>
    <w:rsid w:val="00F54668"/>
    <w:rsid w:val="00F622B2"/>
    <w:rsid w:val="00F65483"/>
    <w:rsid w:val="00F7425A"/>
    <w:rsid w:val="00F743AF"/>
    <w:rsid w:val="00F811B5"/>
    <w:rsid w:val="00F8682C"/>
    <w:rsid w:val="00F86A80"/>
    <w:rsid w:val="00F907C5"/>
    <w:rsid w:val="00F90FAD"/>
    <w:rsid w:val="00F91447"/>
    <w:rsid w:val="00F93C6A"/>
    <w:rsid w:val="00FA13A7"/>
    <w:rsid w:val="00FA2592"/>
    <w:rsid w:val="00FA3DDB"/>
    <w:rsid w:val="00FB4BC5"/>
    <w:rsid w:val="00FB5065"/>
    <w:rsid w:val="00FC2542"/>
    <w:rsid w:val="00FC61DD"/>
    <w:rsid w:val="00FD3417"/>
    <w:rsid w:val="00FD461E"/>
    <w:rsid w:val="00FE1CB1"/>
    <w:rsid w:val="00FE56A7"/>
    <w:rsid w:val="00FE7F5A"/>
    <w:rsid w:val="00FF307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8E6DE6"/>
  <w14:discardImageEditingData/>
  <w15:chartTrackingRefBased/>
  <w15:docId w15:val="{6CCF0046-6CC9-4B6C-BC78-851BDE27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Bold" w:eastAsiaTheme="minorHAnsi" w:hAnsi="Arial Bold" w:cs="Times New Roman"/>
        <w:kern w:val="2"/>
        <w:lang w:val="et-EE" w:eastAsia="en-US" w:bidi="ar-SA"/>
        <w14:ligatures w14:val="standardContextual"/>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DF0306"/>
    <w:pPr>
      <w:spacing w:line="240" w:lineRule="auto"/>
    </w:pPr>
    <w:rPr>
      <w:rFonts w:ascii="Arial" w:hAnsi="Arial"/>
    </w:rPr>
  </w:style>
  <w:style w:type="paragraph" w:styleId="Heading1">
    <w:name w:val="heading 1"/>
    <w:basedOn w:val="Normal"/>
    <w:next w:val="Normal"/>
    <w:link w:val="Heading1Char"/>
    <w:uiPriority w:val="9"/>
    <w:qFormat/>
    <w:rsid w:val="00A642F7"/>
    <w:pPr>
      <w:widowControl w:val="0"/>
      <w:numPr>
        <w:numId w:val="4"/>
      </w:numPr>
      <w:spacing w:before="360" w:after="240"/>
      <w:outlineLvl w:val="0"/>
    </w:pPr>
    <w:rPr>
      <w:rFonts w:eastAsiaTheme="majorEastAsia"/>
      <w:b/>
      <w:caps/>
    </w:rPr>
  </w:style>
  <w:style w:type="paragraph" w:styleId="Heading2">
    <w:name w:val="heading 2"/>
    <w:basedOn w:val="Normal"/>
    <w:next w:val="Normal"/>
    <w:link w:val="Heading2Char"/>
    <w:unhideWhenUsed/>
    <w:qFormat/>
    <w:rsid w:val="00566F21"/>
    <w:pPr>
      <w:widowControl w:val="0"/>
      <w:numPr>
        <w:ilvl w:val="1"/>
        <w:numId w:val="4"/>
      </w:numPr>
      <w:tabs>
        <w:tab w:val="clear" w:pos="8234"/>
        <w:tab w:val="num" w:pos="720"/>
      </w:tabs>
      <w:spacing w:after="240"/>
      <w:ind w:left="720"/>
      <w:outlineLvl w:val="1"/>
    </w:pPr>
    <w:rPr>
      <w:rFonts w:eastAsiaTheme="majorEastAsia"/>
    </w:rPr>
  </w:style>
  <w:style w:type="paragraph" w:styleId="Heading3">
    <w:name w:val="heading 3"/>
    <w:basedOn w:val="Normal"/>
    <w:next w:val="Normal"/>
    <w:link w:val="Heading3Char"/>
    <w:unhideWhenUsed/>
    <w:qFormat/>
    <w:rsid w:val="00382AA6"/>
    <w:pPr>
      <w:widowControl w:val="0"/>
      <w:numPr>
        <w:ilvl w:val="2"/>
        <w:numId w:val="4"/>
      </w:numPr>
      <w:spacing w:after="240"/>
      <w:outlineLvl w:val="2"/>
    </w:pPr>
    <w:rPr>
      <w:rFonts w:eastAsiaTheme="majorEastAsia"/>
    </w:rPr>
  </w:style>
  <w:style w:type="paragraph" w:styleId="Heading4">
    <w:name w:val="heading 4"/>
    <w:basedOn w:val="Normal"/>
    <w:next w:val="Normal"/>
    <w:link w:val="Heading4Char"/>
    <w:unhideWhenUsed/>
    <w:qFormat/>
    <w:rsid w:val="001908AB"/>
    <w:pPr>
      <w:numPr>
        <w:ilvl w:val="3"/>
        <w:numId w:val="4"/>
      </w:numPr>
      <w:spacing w:after="240"/>
      <w:outlineLvl w:val="3"/>
    </w:pPr>
    <w:rPr>
      <w:rFonts w:eastAsiaTheme="majorEastAsia"/>
    </w:rPr>
  </w:style>
  <w:style w:type="paragraph" w:styleId="Heading5">
    <w:name w:val="heading 5"/>
    <w:basedOn w:val="Normal"/>
    <w:next w:val="Normal"/>
    <w:link w:val="Heading5Char"/>
    <w:unhideWhenUsed/>
    <w:qFormat/>
    <w:pPr>
      <w:numPr>
        <w:ilvl w:val="4"/>
        <w:numId w:val="4"/>
      </w:numPr>
      <w:outlineLvl w:val="4"/>
    </w:pPr>
    <w:rPr>
      <w:rFonts w:eastAsiaTheme="majorEastAsia"/>
    </w:rPr>
  </w:style>
  <w:style w:type="paragraph" w:styleId="Heading6">
    <w:name w:val="heading 6"/>
    <w:basedOn w:val="Normal"/>
    <w:next w:val="Normal"/>
    <w:link w:val="Heading6Char"/>
    <w:unhideWhenUsed/>
    <w:qFormat/>
    <w:pPr>
      <w:numPr>
        <w:ilvl w:val="5"/>
        <w:numId w:val="4"/>
      </w:numPr>
      <w:spacing w:after="120"/>
      <w:outlineLvl w:val="5"/>
    </w:pPr>
    <w:rPr>
      <w:rFonts w:eastAsiaTheme="majorEastAsia"/>
    </w:rPr>
  </w:style>
  <w:style w:type="paragraph" w:styleId="Heading7">
    <w:name w:val="heading 7"/>
    <w:basedOn w:val="Normal"/>
    <w:next w:val="Normal"/>
    <w:link w:val="Heading7Char"/>
    <w:uiPriority w:val="9"/>
    <w:semiHidden/>
    <w:unhideWhenUsed/>
    <w:qFormat/>
    <w:rsid w:val="002C6FB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6FB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6FB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pPr>
      <w:contextualSpacing/>
    </w:pPr>
    <w:rPr>
      <w:color w:val="646464"/>
    </w:rPr>
  </w:style>
  <w:style w:type="character" w:customStyle="1" w:styleId="BalloonTextChar">
    <w:name w:val="Balloon Text Char"/>
    <w:basedOn w:val="DefaultParagraphFont"/>
    <w:uiPriority w:val="99"/>
    <w:rPr>
      <w:rFonts w:ascii="Arial" w:hAnsi="Arial" w:cs="Lucida Grande"/>
      <w:sz w:val="18"/>
      <w:szCs w:val="18"/>
    </w:rPr>
  </w:style>
  <w:style w:type="character" w:styleId="PageNumber">
    <w:name w:val="page number"/>
    <w:uiPriority w:val="99"/>
    <w:rPr>
      <w:rFonts w:ascii="Arial" w:hAnsi="Arial"/>
      <w:color w:val="auto"/>
      <w:sz w:val="20"/>
    </w:rPr>
  </w:style>
  <w:style w:type="paragraph" w:customStyle="1" w:styleId="Bodytextafter12">
    <w:name w:val="Body text (after 12)"/>
    <w:basedOn w:val="Normal"/>
    <w:uiPriority w:val="99"/>
    <w:pPr>
      <w:spacing w:after="240"/>
      <w:ind w:left="720"/>
    </w:p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Head1">
    <w:name w:val="Head 1"/>
    <w:basedOn w:val="Normal"/>
    <w:pPr>
      <w:contextualSpacing/>
    </w:pPr>
    <w:rPr>
      <w:rFonts w:cs="Tahoma"/>
      <w:b/>
      <w:bCs/>
    </w:rPr>
  </w:style>
  <w:style w:type="paragraph" w:customStyle="1" w:styleId="Numberswhite">
    <w:name w:val="Numbers white"/>
    <w:basedOn w:val="Normal"/>
    <w:uiPriority w:val="99"/>
    <w:rPr>
      <w:rFonts w:cs="Arial"/>
      <w:color w:va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pPr>
      <w:tabs>
        <w:tab w:val="center" w:pos="4320"/>
        <w:tab w:val="right" w:pos="8640"/>
      </w:tabs>
    </w:pPr>
    <w:rPr>
      <w:rFonts w:ascii="Avenir" w:hAnsi="Avenir" w:cs="Avenir"/>
      <w:color w:val="666666"/>
      <w:kern w:val="0"/>
      <w:sz w:val="16"/>
      <w:szCs w:val="16"/>
      <w14:ligatures w14:val="none"/>
    </w:rPr>
  </w:style>
  <w:style w:type="character" w:customStyle="1" w:styleId="FooterChar">
    <w:name w:val="Footer Char"/>
    <w:basedOn w:val="DefaultParagraphFont"/>
    <w:link w:val="Footer"/>
    <w:uiPriority w:val="99"/>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cs="Lucida Grande"/>
      <w:sz w:val="18"/>
      <w:szCs w:val="18"/>
    </w:rPr>
  </w:style>
  <w:style w:type="character" w:customStyle="1" w:styleId="BalloonTextChar1">
    <w:name w:val="Balloon Text Char1"/>
    <w:basedOn w:val="DefaultParagraphFont"/>
    <w:link w:val="BalloonText"/>
    <w:uiPriority w:val="99"/>
    <w:rPr>
      <w:rFonts w:ascii="Arial" w:hAnsi="Arial" w:cs="Lucida Grande"/>
      <w:sz w:val="18"/>
      <w:szCs w:val="18"/>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34"/>
    <w:qFormat/>
    <w:pPr>
      <w:numPr>
        <w:numId w:val="1"/>
      </w:numPr>
      <w:spacing w:line="276" w:lineRule="auto"/>
    </w:pPr>
  </w:style>
  <w:style w:type="character" w:customStyle="1" w:styleId="Heading1Char">
    <w:name w:val="Heading 1 Char"/>
    <w:basedOn w:val="DefaultParagraphFont"/>
    <w:link w:val="Heading1"/>
    <w:rsid w:val="00A642F7"/>
    <w:rPr>
      <w:rFonts w:ascii="Arial" w:eastAsiaTheme="majorEastAsia" w:hAnsi="Arial"/>
      <w:b/>
      <w:caps/>
    </w:rPr>
  </w:style>
  <w:style w:type="character" w:customStyle="1" w:styleId="Heading2Char">
    <w:name w:val="Heading 2 Char"/>
    <w:basedOn w:val="DefaultParagraphFont"/>
    <w:link w:val="Heading2"/>
    <w:rsid w:val="00A642F7"/>
    <w:rPr>
      <w:rFonts w:ascii="Arial" w:eastAsiaTheme="majorEastAsia" w:hAnsi="Arial"/>
    </w:rPr>
  </w:style>
  <w:style w:type="character" w:customStyle="1" w:styleId="Heading3Char">
    <w:name w:val="Heading 3 Char"/>
    <w:basedOn w:val="DefaultParagraphFont"/>
    <w:link w:val="Heading3"/>
    <w:rsid w:val="00382AA6"/>
    <w:rPr>
      <w:rFonts w:ascii="Arial" w:eastAsiaTheme="majorEastAsia" w:hAnsi="Arial"/>
    </w:rPr>
  </w:style>
  <w:style w:type="character" w:customStyle="1" w:styleId="Heading4Char">
    <w:name w:val="Heading 4 Char"/>
    <w:basedOn w:val="DefaultParagraphFont"/>
    <w:link w:val="Heading4"/>
    <w:rsid w:val="001908AB"/>
    <w:rPr>
      <w:rFonts w:ascii="Arial" w:eastAsiaTheme="majorEastAsia" w:hAnsi="Arial"/>
    </w:rPr>
  </w:style>
  <w:style w:type="character" w:customStyle="1" w:styleId="Heading5Char">
    <w:name w:val="Heading 5 Char"/>
    <w:basedOn w:val="DefaultParagraphFont"/>
    <w:link w:val="Heading5"/>
    <w:rPr>
      <w:rFonts w:ascii="Arial" w:eastAsiaTheme="majorEastAsia" w:hAnsi="Arial" w:cs="Arial"/>
      <w:sz w:val="20"/>
      <w:szCs w:val="20"/>
      <w:lang w:val="en-GB" w:eastAsia="en-US"/>
    </w:rPr>
  </w:style>
  <w:style w:type="character" w:customStyle="1" w:styleId="Heading6Char">
    <w:name w:val="Heading 6 Char"/>
    <w:basedOn w:val="DefaultParagraphFont"/>
    <w:link w:val="Heading6"/>
    <w:rPr>
      <w:rFonts w:ascii="Arial" w:eastAsiaTheme="majorEastAsia" w:hAnsi="Arial" w:cs="Arial"/>
      <w:sz w:val="20"/>
      <w:szCs w:val="20"/>
      <w:lang w:val="en-GB" w:eastAsia="en-US"/>
    </w:rPr>
  </w:style>
  <w:style w:type="paragraph" w:customStyle="1" w:styleId="Level1">
    <w:name w:val="Level 1"/>
    <w:basedOn w:val="ListParagraph"/>
    <w:qFormat/>
    <w:rsid w:val="00342ED5"/>
    <w:pPr>
      <w:numPr>
        <w:numId w:val="3"/>
      </w:numPr>
      <w:spacing w:before="360" w:after="240" w:line="240" w:lineRule="auto"/>
      <w:outlineLvl w:val="0"/>
    </w:pPr>
    <w:rPr>
      <w:rFonts w:ascii="Arial Bold" w:hAnsi="Arial Bold" w:cstheme="minorBidi"/>
      <w:b/>
    </w:rPr>
  </w:style>
  <w:style w:type="paragraph" w:customStyle="1" w:styleId="Level2">
    <w:name w:val="Level 2"/>
    <w:basedOn w:val="Level1"/>
    <w:qFormat/>
    <w:rsid w:val="00342ED5"/>
    <w:pPr>
      <w:numPr>
        <w:ilvl w:val="1"/>
      </w:numPr>
      <w:spacing w:before="0" w:line="264" w:lineRule="auto"/>
      <w:outlineLvl w:val="1"/>
    </w:pPr>
    <w:rPr>
      <w:rFonts w:ascii="Arial" w:hAnsi="Arial"/>
      <w:b w:val="0"/>
    </w:rPr>
  </w:style>
  <w:style w:type="paragraph" w:customStyle="1" w:styleId="Level3">
    <w:name w:val="Level 3"/>
    <w:basedOn w:val="Level2"/>
    <w:qFormat/>
    <w:pPr>
      <w:numPr>
        <w:ilvl w:val="2"/>
      </w:numPr>
      <w:outlineLvl w:val="2"/>
    </w:pPr>
  </w:style>
  <w:style w:type="paragraph" w:customStyle="1" w:styleId="Level4">
    <w:name w:val="Level 4"/>
    <w:basedOn w:val="Level3"/>
    <w:qFormat/>
    <w:rsid w:val="001908AB"/>
    <w:pPr>
      <w:numPr>
        <w:ilvl w:val="3"/>
      </w:numPr>
      <w:outlineLvl w:val="3"/>
    </w:pPr>
  </w:style>
  <w:style w:type="paragraph" w:customStyle="1" w:styleId="Level5">
    <w:name w:val="Level 5"/>
    <w:basedOn w:val="Level4"/>
    <w:qFormat/>
    <w:rsid w:val="00FE1CB1"/>
    <w:pPr>
      <w:numPr>
        <w:ilvl w:val="4"/>
      </w:numPr>
      <w:outlineLvl w:val="4"/>
    </w:pPr>
    <w:rPr>
      <w:iCs/>
    </w:rPr>
  </w:style>
  <w:style w:type="paragraph" w:customStyle="1" w:styleId="Level6">
    <w:name w:val="Level 6"/>
    <w:basedOn w:val="Level5"/>
    <w:qFormat/>
    <w:pPr>
      <w:numPr>
        <w:ilvl w:val="5"/>
      </w:numPr>
      <w:spacing w:after="120"/>
      <w:outlineLvl w:val="5"/>
    </w:pPr>
  </w:style>
  <w:style w:type="paragraph" w:customStyle="1" w:styleId="Lisad">
    <w:name w:val="Lisad"/>
    <w:basedOn w:val="Heading1"/>
    <w:qFormat/>
    <w:rsid w:val="00342ED5"/>
    <w:pPr>
      <w:numPr>
        <w:numId w:val="5"/>
      </w:numPr>
      <w:spacing w:before="0"/>
      <w:contextualSpacing/>
    </w:pPr>
    <w:rPr>
      <w:b w:val="0"/>
      <w:caps w:val="0"/>
      <w:kern w:val="20"/>
      <w:szCs w:val="32"/>
    </w:rPr>
  </w:style>
  <w:style w:type="paragraph" w:customStyle="1" w:styleId="Preambul">
    <w:name w:val="Preambul"/>
    <w:basedOn w:val="Normal"/>
    <w:autoRedefine/>
    <w:pPr>
      <w:numPr>
        <w:numId w:val="6"/>
      </w:numPr>
      <w:tabs>
        <w:tab w:val="left" w:pos="720"/>
      </w:tabs>
    </w:pPr>
    <w:rPr>
      <w:rFonts w:eastAsia="Times New Roman"/>
    </w:rPr>
  </w:style>
  <w:style w:type="paragraph" w:customStyle="1" w:styleId="Taotlused">
    <w:name w:val="Taotlused"/>
    <w:basedOn w:val="ListParagraph"/>
    <w:qFormat/>
    <w:rsid w:val="00C03313"/>
    <w:pPr>
      <w:numPr>
        <w:numId w:val="22"/>
      </w:numPr>
      <w:spacing w:after="120"/>
    </w:pPr>
    <w:rPr>
      <w:b/>
      <w:kern w:val="20"/>
    </w:rPr>
  </w:style>
  <w:style w:type="paragraph" w:customStyle="1" w:styleId="Tabletext">
    <w:name w:val="Table text"/>
    <w:basedOn w:val="Normal"/>
    <w:qFormat/>
    <w:pPr>
      <w:spacing w:before="20" w:after="20"/>
    </w:pPr>
    <w:rPr>
      <w:kern w:val="20"/>
      <w:sz w:val="18"/>
      <w:szCs w:val="18"/>
    </w:rPr>
  </w:style>
  <w:style w:type="paragraph" w:styleId="ListBullet">
    <w:name w:val="List Bullet"/>
    <w:basedOn w:val="Normal"/>
    <w:uiPriority w:val="99"/>
    <w:unhideWhenUsed/>
    <w:pPr>
      <w:numPr>
        <w:numId w:val="14"/>
      </w:numPr>
      <w:spacing w:after="100"/>
      <w:ind w:left="1117" w:hanging="397"/>
    </w:pPr>
    <w:rPr>
      <w:kern w:val="20"/>
    </w:rPr>
  </w:style>
  <w:style w:type="paragraph" w:styleId="ListBullet2">
    <w:name w:val="List Bullet 2"/>
    <w:basedOn w:val="Normal"/>
    <w:uiPriority w:val="99"/>
    <w:unhideWhenUsed/>
    <w:pPr>
      <w:numPr>
        <w:numId w:val="9"/>
      </w:numPr>
      <w:contextualSpacing/>
    </w:pPr>
    <w:rPr>
      <w:kern w:val="20"/>
    </w:rPr>
  </w:style>
  <w:style w:type="paragraph" w:styleId="IntenseQuote">
    <w:name w:val="Intense Quote"/>
    <w:basedOn w:val="Normal"/>
    <w:next w:val="Normal"/>
    <w:link w:val="IntenseQuoteChar"/>
    <w:uiPriority w:val="19"/>
    <w:pPr>
      <w:pBdr>
        <w:top w:val="single" w:sz="4" w:space="10" w:color="004899"/>
        <w:bottom w:val="single" w:sz="4" w:space="10" w:color="004899"/>
      </w:pBdr>
      <w:spacing w:before="360" w:after="360"/>
      <w:ind w:left="864" w:right="864"/>
      <w:jc w:val="center"/>
    </w:pPr>
    <w:rPr>
      <w:b/>
      <w:i/>
      <w:iCs/>
      <w:color w:val="004899"/>
      <w:kern w:val="20"/>
      <w:sz w:val="28"/>
      <w:szCs w:val="28"/>
    </w:rPr>
  </w:style>
  <w:style w:type="character" w:customStyle="1" w:styleId="IntenseQuoteChar">
    <w:name w:val="Intense Quote Char"/>
    <w:basedOn w:val="DefaultParagraphFont"/>
    <w:link w:val="IntenseQuote"/>
    <w:uiPriority w:val="19"/>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pPr>
      <w:numPr>
        <w:ilvl w:val="1"/>
      </w:numPr>
      <w:jc w:val="center"/>
    </w:pPr>
    <w:rPr>
      <w:b/>
      <w:smallCaps/>
      <w:color w:val="004899"/>
      <w:spacing w:val="15"/>
      <w:kern w:val="20"/>
      <w:sz w:val="22"/>
    </w:rPr>
  </w:style>
  <w:style w:type="character" w:customStyle="1" w:styleId="SubtitleChar">
    <w:name w:val="Subtitle Char"/>
    <w:basedOn w:val="DefaultParagraphFont"/>
    <w:link w:val="Subtitle"/>
    <w:uiPriority w:val="3"/>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99"/>
    <w:unhideWhenUsed/>
    <w:pPr>
      <w:ind w:left="720"/>
    </w:pPr>
    <w:rPr>
      <w:rFonts w:cstheme="minorBidi"/>
    </w:rPr>
  </w:style>
  <w:style w:type="character" w:customStyle="1" w:styleId="BodyTextChar">
    <w:name w:val="Body Text Char"/>
    <w:aliases w:val="Body Text (no space) Char"/>
    <w:basedOn w:val="DefaultParagraphFont"/>
    <w:link w:val="BodyText"/>
    <w:uiPriority w:val="99"/>
    <w:rPr>
      <w:rFonts w:ascii="Arial" w:eastAsiaTheme="minorHAnsi" w:hAnsi="Arial"/>
      <w:sz w:val="20"/>
      <w:szCs w:val="20"/>
      <w:lang w:val="en-GB" w:eastAsia="en-US"/>
    </w:rPr>
  </w:style>
  <w:style w:type="character" w:styleId="HTMLCite">
    <w:name w:val="HTML Cite"/>
    <w:uiPriority w:val="99"/>
    <w:unhideWhenUsed/>
    <w:rPr>
      <w:rFonts w:ascii="Arial" w:hAnsi="Arial"/>
      <w:i w:val="0"/>
      <w:spacing w:val="0"/>
      <w:w w:val="100"/>
      <w:position w:val="0"/>
      <w:sz w:val="20"/>
    </w:rPr>
  </w:style>
  <w:style w:type="paragraph" w:customStyle="1" w:styleId="FirstpageTITLE14">
    <w:name w:val="First page TITLE 14"/>
    <w:basedOn w:val="Normal"/>
    <w:qFormat/>
    <w:rsid w:val="009C69FD"/>
    <w:pPr>
      <w:spacing w:before="120" w:after="240"/>
      <w:jc w:val="center"/>
    </w:pPr>
    <w:rPr>
      <w:rFonts w:cs="Arial"/>
      <w:b/>
      <w:caps/>
      <w:noProof/>
      <w:kern w:val="22"/>
      <w:sz w:val="28"/>
      <w:szCs w:val="28"/>
    </w:rPr>
  </w:style>
  <w:style w:type="paragraph" w:styleId="ListBullet3">
    <w:name w:val="List Bullet 3"/>
    <w:basedOn w:val="Normal"/>
    <w:uiPriority w:val="99"/>
    <w:unhideWhenUsed/>
    <w:pPr>
      <w:numPr>
        <w:numId w:val="10"/>
      </w:numPr>
    </w:pPr>
    <w:rPr>
      <w:rFonts w:cstheme="minorBidi"/>
    </w:rPr>
  </w:style>
  <w:style w:type="paragraph" w:customStyle="1" w:styleId="FirstPagetitle10">
    <w:name w:val="First Page title 10"/>
    <w:basedOn w:val="Normal"/>
    <w:qFormat/>
    <w:rsid w:val="009C69FD"/>
    <w:pPr>
      <w:spacing w:before="120" w:after="240"/>
      <w:jc w:val="center"/>
    </w:pPr>
    <w:rPr>
      <w:rFonts w:cs="Arial"/>
      <w:b/>
      <w:caps/>
      <w:noProof/>
      <w:kern w:val="20"/>
      <w:szCs w:val="22"/>
    </w:rPr>
  </w:style>
  <w:style w:type="character" w:styleId="Strong">
    <w:name w:val="Strong"/>
    <w:basedOn w:val="DefaultParagraphFont"/>
    <w:uiPriority w:val="22"/>
    <w:qFormat/>
    <w:rPr>
      <w:b/>
      <w:bCs/>
    </w:rPr>
  </w:style>
  <w:style w:type="paragraph" w:customStyle="1" w:styleId="Signatuur">
    <w:name w:val="Signatuur"/>
    <w:basedOn w:val="Normal"/>
    <w:qFormat/>
    <w:pPr>
      <w:contextualSpacing/>
    </w:pPr>
  </w:style>
  <w:style w:type="paragraph" w:customStyle="1" w:styleId="FirstpageTitle16">
    <w:name w:val="First page Title 16"/>
    <w:basedOn w:val="Normal"/>
    <w:autoRedefine/>
    <w:pPr>
      <w:autoSpaceDE w:val="0"/>
      <w:autoSpaceDN w:val="0"/>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pPr>
      <w:numPr>
        <w:numId w:val="11"/>
      </w:numPr>
      <w:spacing w:after="240"/>
    </w:pPr>
    <w:rPr>
      <w:b/>
    </w:rPr>
  </w:style>
  <w:style w:type="paragraph" w:customStyle="1" w:styleId="Normaltextafter12">
    <w:name w:val="Normal text (after 12)"/>
    <w:basedOn w:val="Normal"/>
    <w:qFormat/>
    <w:rsid w:val="00A62913"/>
    <w:pPr>
      <w:spacing w:after="240"/>
    </w:pPr>
  </w:style>
  <w:style w:type="paragraph" w:styleId="FootnoteText">
    <w:name w:val="footnote text"/>
    <w:basedOn w:val="Normal"/>
    <w:link w:val="FootnoteTextChar"/>
    <w:rsid w:val="009C69FD"/>
    <w:pPr>
      <w:ind w:left="284" w:hanging="284"/>
    </w:pPr>
    <w:rPr>
      <w:sz w:val="18"/>
    </w:rPr>
  </w:style>
  <w:style w:type="character" w:customStyle="1" w:styleId="FootnoteTextChar">
    <w:name w:val="Footnote Text Char"/>
    <w:basedOn w:val="DefaultParagraphFont"/>
    <w:link w:val="FootnoteText"/>
    <w:rsid w:val="009C69FD"/>
    <w:rPr>
      <w:rFonts w:ascii="Arial" w:hAnsi="Arial"/>
      <w:sz w:val="18"/>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1"/>
    <w:pPr>
      <w:ind w:left="284" w:hanging="284"/>
    </w:pPr>
    <w:rPr>
      <w:sz w:val="18"/>
    </w:rPr>
  </w:style>
  <w:style w:type="character" w:customStyle="1" w:styleId="EndnoteTextChar">
    <w:name w:val="Endnote Text Char"/>
    <w:basedOn w:val="DefaultParagraphFont"/>
    <w:link w:val="EndnoteText"/>
    <w:uiPriority w:val="1"/>
    <w:rPr>
      <w:rFonts w:ascii="Arial" w:hAnsi="Arial"/>
      <w:sz w:val="18"/>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pPr>
      <w:numPr>
        <w:numId w:val="0"/>
      </w:numPr>
      <w:spacing w:after="240" w:line="264" w:lineRule="auto"/>
    </w:pPr>
  </w:style>
  <w:style w:type="character" w:customStyle="1" w:styleId="Heading7Char">
    <w:name w:val="Heading 7 Char"/>
    <w:basedOn w:val="DefaultParagraphFont"/>
    <w:link w:val="Heading7"/>
    <w:uiPriority w:val="9"/>
    <w:semiHidden/>
    <w:rsid w:val="002C6FB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C6FB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C6FB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C6F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FB6"/>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2C6F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6FB6"/>
    <w:rPr>
      <w:rFonts w:ascii="Arial" w:hAnsi="Arial"/>
      <w:i/>
      <w:iCs/>
      <w:color w:val="404040" w:themeColor="text1" w:themeTint="BF"/>
    </w:rPr>
  </w:style>
  <w:style w:type="character" w:styleId="IntenseEmphasis">
    <w:name w:val="Intense Emphasis"/>
    <w:basedOn w:val="DefaultParagraphFont"/>
    <w:uiPriority w:val="21"/>
    <w:qFormat/>
    <w:rsid w:val="002C6FB6"/>
    <w:rPr>
      <w:i/>
      <w:iCs/>
      <w:color w:val="365F91" w:themeColor="accent1" w:themeShade="BF"/>
    </w:rPr>
  </w:style>
  <w:style w:type="character" w:styleId="IntenseReference">
    <w:name w:val="Intense Reference"/>
    <w:basedOn w:val="DefaultParagraphFont"/>
    <w:uiPriority w:val="32"/>
    <w:qFormat/>
    <w:rsid w:val="002C6FB6"/>
    <w:rPr>
      <w:b/>
      <w:bCs/>
      <w:smallCaps/>
      <w:color w:val="365F91" w:themeColor="accent1" w:themeShade="BF"/>
      <w:spacing w:val="5"/>
    </w:rPr>
  </w:style>
  <w:style w:type="character" w:styleId="Hyperlink">
    <w:name w:val="Hyperlink"/>
    <w:basedOn w:val="DefaultParagraphFont"/>
    <w:uiPriority w:val="99"/>
    <w:unhideWhenUsed/>
    <w:rsid w:val="00776065"/>
    <w:rPr>
      <w:color w:val="0000FF" w:themeColor="hyperlink"/>
      <w:u w:val="single"/>
    </w:rPr>
  </w:style>
  <w:style w:type="character" w:styleId="UnresolvedMention">
    <w:name w:val="Unresolved Mention"/>
    <w:basedOn w:val="DefaultParagraphFont"/>
    <w:uiPriority w:val="99"/>
    <w:semiHidden/>
    <w:unhideWhenUsed/>
    <w:rsid w:val="00776065"/>
    <w:rPr>
      <w:color w:val="605E5C"/>
      <w:shd w:val="clear" w:color="auto" w:fill="E1DFDD"/>
    </w:rPr>
  </w:style>
  <w:style w:type="character" w:styleId="CommentReference">
    <w:name w:val="annotation reference"/>
    <w:basedOn w:val="DefaultParagraphFont"/>
    <w:uiPriority w:val="99"/>
    <w:semiHidden/>
    <w:unhideWhenUsed/>
    <w:rsid w:val="00776065"/>
    <w:rPr>
      <w:sz w:val="16"/>
      <w:szCs w:val="16"/>
    </w:rPr>
  </w:style>
  <w:style w:type="paragraph" w:styleId="CommentText">
    <w:name w:val="annotation text"/>
    <w:basedOn w:val="Normal"/>
    <w:link w:val="CommentTextChar"/>
    <w:uiPriority w:val="99"/>
    <w:unhideWhenUsed/>
    <w:rsid w:val="00776065"/>
  </w:style>
  <w:style w:type="character" w:customStyle="1" w:styleId="CommentTextChar">
    <w:name w:val="Comment Text Char"/>
    <w:basedOn w:val="DefaultParagraphFont"/>
    <w:link w:val="CommentText"/>
    <w:uiPriority w:val="99"/>
    <w:rsid w:val="00776065"/>
    <w:rPr>
      <w:rFonts w:ascii="Arial" w:hAnsi="Arial"/>
    </w:rPr>
  </w:style>
  <w:style w:type="paragraph" w:styleId="CommentSubject">
    <w:name w:val="annotation subject"/>
    <w:basedOn w:val="CommentText"/>
    <w:next w:val="CommentText"/>
    <w:link w:val="CommentSubjectChar"/>
    <w:uiPriority w:val="99"/>
    <w:semiHidden/>
    <w:unhideWhenUsed/>
    <w:rsid w:val="00776065"/>
    <w:rPr>
      <w:b/>
      <w:bCs/>
    </w:rPr>
  </w:style>
  <w:style w:type="character" w:customStyle="1" w:styleId="CommentSubjectChar">
    <w:name w:val="Comment Subject Char"/>
    <w:basedOn w:val="CommentTextChar"/>
    <w:link w:val="CommentSubject"/>
    <w:uiPriority w:val="99"/>
    <w:semiHidden/>
    <w:rsid w:val="00776065"/>
    <w:rPr>
      <w:rFonts w:ascii="Arial" w:hAnsi="Arial"/>
      <w:b/>
      <w:bCs/>
    </w:rPr>
  </w:style>
  <w:style w:type="paragraph" w:styleId="Revision">
    <w:name w:val="Revision"/>
    <w:hidden/>
    <w:uiPriority w:val="99"/>
    <w:semiHidden/>
    <w:rsid w:val="00F47F41"/>
    <w:pPr>
      <w:spacing w:line="240" w:lineRule="auto"/>
      <w:jc w:val="left"/>
    </w:pPr>
    <w:rPr>
      <w:rFonts w:ascii="Arial" w:hAnsi="Arial"/>
    </w:rPr>
  </w:style>
  <w:style w:type="table" w:customStyle="1" w:styleId="TableGrid1">
    <w:name w:val="Table Grid1"/>
    <w:basedOn w:val="TableNormal"/>
    <w:next w:val="TableGrid"/>
    <w:uiPriority w:val="39"/>
    <w:rsid w:val="004E50D8"/>
    <w:pPr>
      <w:spacing w:line="240" w:lineRule="auto"/>
      <w:jc w:val="left"/>
    </w:pPr>
    <w:rPr>
      <w:rFonts w:ascii="Arial" w:hAnsi="Arial"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798">
      <w:bodyDiv w:val="1"/>
      <w:marLeft w:val="0"/>
      <w:marRight w:val="0"/>
      <w:marTop w:val="0"/>
      <w:marBottom w:val="0"/>
      <w:divBdr>
        <w:top w:val="none" w:sz="0" w:space="0" w:color="auto"/>
        <w:left w:val="none" w:sz="0" w:space="0" w:color="auto"/>
        <w:bottom w:val="none" w:sz="0" w:space="0" w:color="auto"/>
        <w:right w:val="none" w:sz="0" w:space="0" w:color="auto"/>
      </w:divBdr>
    </w:div>
    <w:div w:id="51974048">
      <w:bodyDiv w:val="1"/>
      <w:marLeft w:val="0"/>
      <w:marRight w:val="0"/>
      <w:marTop w:val="0"/>
      <w:marBottom w:val="0"/>
      <w:divBdr>
        <w:top w:val="none" w:sz="0" w:space="0" w:color="auto"/>
        <w:left w:val="none" w:sz="0" w:space="0" w:color="auto"/>
        <w:bottom w:val="none" w:sz="0" w:space="0" w:color="auto"/>
        <w:right w:val="none" w:sz="0" w:space="0" w:color="auto"/>
      </w:divBdr>
    </w:div>
    <w:div w:id="135683423">
      <w:bodyDiv w:val="1"/>
      <w:marLeft w:val="0"/>
      <w:marRight w:val="0"/>
      <w:marTop w:val="0"/>
      <w:marBottom w:val="0"/>
      <w:divBdr>
        <w:top w:val="none" w:sz="0" w:space="0" w:color="auto"/>
        <w:left w:val="none" w:sz="0" w:space="0" w:color="auto"/>
        <w:bottom w:val="none" w:sz="0" w:space="0" w:color="auto"/>
        <w:right w:val="none" w:sz="0" w:space="0" w:color="auto"/>
      </w:divBdr>
    </w:div>
    <w:div w:id="209850152">
      <w:bodyDiv w:val="1"/>
      <w:marLeft w:val="0"/>
      <w:marRight w:val="0"/>
      <w:marTop w:val="0"/>
      <w:marBottom w:val="0"/>
      <w:divBdr>
        <w:top w:val="none" w:sz="0" w:space="0" w:color="auto"/>
        <w:left w:val="none" w:sz="0" w:space="0" w:color="auto"/>
        <w:bottom w:val="none" w:sz="0" w:space="0" w:color="auto"/>
        <w:right w:val="none" w:sz="0" w:space="0" w:color="auto"/>
      </w:divBdr>
    </w:div>
    <w:div w:id="277957619">
      <w:bodyDiv w:val="1"/>
      <w:marLeft w:val="0"/>
      <w:marRight w:val="0"/>
      <w:marTop w:val="0"/>
      <w:marBottom w:val="0"/>
      <w:divBdr>
        <w:top w:val="none" w:sz="0" w:space="0" w:color="auto"/>
        <w:left w:val="none" w:sz="0" w:space="0" w:color="auto"/>
        <w:bottom w:val="none" w:sz="0" w:space="0" w:color="auto"/>
        <w:right w:val="none" w:sz="0" w:space="0" w:color="auto"/>
      </w:divBdr>
    </w:div>
    <w:div w:id="437527723">
      <w:bodyDiv w:val="1"/>
      <w:marLeft w:val="0"/>
      <w:marRight w:val="0"/>
      <w:marTop w:val="0"/>
      <w:marBottom w:val="0"/>
      <w:divBdr>
        <w:top w:val="none" w:sz="0" w:space="0" w:color="auto"/>
        <w:left w:val="none" w:sz="0" w:space="0" w:color="auto"/>
        <w:bottom w:val="none" w:sz="0" w:space="0" w:color="auto"/>
        <w:right w:val="none" w:sz="0" w:space="0" w:color="auto"/>
      </w:divBdr>
    </w:div>
    <w:div w:id="473304401">
      <w:bodyDiv w:val="1"/>
      <w:marLeft w:val="0"/>
      <w:marRight w:val="0"/>
      <w:marTop w:val="0"/>
      <w:marBottom w:val="0"/>
      <w:divBdr>
        <w:top w:val="none" w:sz="0" w:space="0" w:color="auto"/>
        <w:left w:val="none" w:sz="0" w:space="0" w:color="auto"/>
        <w:bottom w:val="none" w:sz="0" w:space="0" w:color="auto"/>
        <w:right w:val="none" w:sz="0" w:space="0" w:color="auto"/>
      </w:divBdr>
    </w:div>
    <w:div w:id="667177678">
      <w:bodyDiv w:val="1"/>
      <w:marLeft w:val="0"/>
      <w:marRight w:val="0"/>
      <w:marTop w:val="0"/>
      <w:marBottom w:val="0"/>
      <w:divBdr>
        <w:top w:val="none" w:sz="0" w:space="0" w:color="auto"/>
        <w:left w:val="none" w:sz="0" w:space="0" w:color="auto"/>
        <w:bottom w:val="none" w:sz="0" w:space="0" w:color="auto"/>
        <w:right w:val="none" w:sz="0" w:space="0" w:color="auto"/>
      </w:divBdr>
    </w:div>
    <w:div w:id="795026043">
      <w:bodyDiv w:val="1"/>
      <w:marLeft w:val="0"/>
      <w:marRight w:val="0"/>
      <w:marTop w:val="0"/>
      <w:marBottom w:val="0"/>
      <w:divBdr>
        <w:top w:val="none" w:sz="0" w:space="0" w:color="auto"/>
        <w:left w:val="none" w:sz="0" w:space="0" w:color="auto"/>
        <w:bottom w:val="none" w:sz="0" w:space="0" w:color="auto"/>
        <w:right w:val="none" w:sz="0" w:space="0" w:color="auto"/>
      </w:divBdr>
    </w:div>
    <w:div w:id="988676673">
      <w:bodyDiv w:val="1"/>
      <w:marLeft w:val="0"/>
      <w:marRight w:val="0"/>
      <w:marTop w:val="0"/>
      <w:marBottom w:val="0"/>
      <w:divBdr>
        <w:top w:val="none" w:sz="0" w:space="0" w:color="auto"/>
        <w:left w:val="none" w:sz="0" w:space="0" w:color="auto"/>
        <w:bottom w:val="none" w:sz="0" w:space="0" w:color="auto"/>
        <w:right w:val="none" w:sz="0" w:space="0" w:color="auto"/>
      </w:divBdr>
    </w:div>
    <w:div w:id="1006900005">
      <w:bodyDiv w:val="1"/>
      <w:marLeft w:val="0"/>
      <w:marRight w:val="0"/>
      <w:marTop w:val="0"/>
      <w:marBottom w:val="0"/>
      <w:divBdr>
        <w:top w:val="none" w:sz="0" w:space="0" w:color="auto"/>
        <w:left w:val="none" w:sz="0" w:space="0" w:color="auto"/>
        <w:bottom w:val="none" w:sz="0" w:space="0" w:color="auto"/>
        <w:right w:val="none" w:sz="0" w:space="0" w:color="auto"/>
      </w:divBdr>
    </w:div>
    <w:div w:id="1016813175">
      <w:bodyDiv w:val="1"/>
      <w:marLeft w:val="0"/>
      <w:marRight w:val="0"/>
      <w:marTop w:val="0"/>
      <w:marBottom w:val="0"/>
      <w:divBdr>
        <w:top w:val="none" w:sz="0" w:space="0" w:color="auto"/>
        <w:left w:val="none" w:sz="0" w:space="0" w:color="auto"/>
        <w:bottom w:val="none" w:sz="0" w:space="0" w:color="auto"/>
        <w:right w:val="none" w:sz="0" w:space="0" w:color="auto"/>
      </w:divBdr>
    </w:div>
    <w:div w:id="1226716531">
      <w:bodyDiv w:val="1"/>
      <w:marLeft w:val="0"/>
      <w:marRight w:val="0"/>
      <w:marTop w:val="0"/>
      <w:marBottom w:val="0"/>
      <w:divBdr>
        <w:top w:val="none" w:sz="0" w:space="0" w:color="auto"/>
        <w:left w:val="none" w:sz="0" w:space="0" w:color="auto"/>
        <w:bottom w:val="none" w:sz="0" w:space="0" w:color="auto"/>
        <w:right w:val="none" w:sz="0" w:space="0" w:color="auto"/>
      </w:divBdr>
    </w:div>
    <w:div w:id="1238789342">
      <w:bodyDiv w:val="1"/>
      <w:marLeft w:val="0"/>
      <w:marRight w:val="0"/>
      <w:marTop w:val="0"/>
      <w:marBottom w:val="0"/>
      <w:divBdr>
        <w:top w:val="none" w:sz="0" w:space="0" w:color="auto"/>
        <w:left w:val="none" w:sz="0" w:space="0" w:color="auto"/>
        <w:bottom w:val="none" w:sz="0" w:space="0" w:color="auto"/>
        <w:right w:val="none" w:sz="0" w:space="0" w:color="auto"/>
      </w:divBdr>
    </w:div>
    <w:div w:id="1349941371">
      <w:bodyDiv w:val="1"/>
      <w:marLeft w:val="0"/>
      <w:marRight w:val="0"/>
      <w:marTop w:val="0"/>
      <w:marBottom w:val="0"/>
      <w:divBdr>
        <w:top w:val="none" w:sz="0" w:space="0" w:color="auto"/>
        <w:left w:val="none" w:sz="0" w:space="0" w:color="auto"/>
        <w:bottom w:val="none" w:sz="0" w:space="0" w:color="auto"/>
        <w:right w:val="none" w:sz="0" w:space="0" w:color="auto"/>
      </w:divBdr>
    </w:div>
    <w:div w:id="1428191758">
      <w:bodyDiv w:val="1"/>
      <w:marLeft w:val="0"/>
      <w:marRight w:val="0"/>
      <w:marTop w:val="0"/>
      <w:marBottom w:val="0"/>
      <w:divBdr>
        <w:top w:val="none" w:sz="0" w:space="0" w:color="auto"/>
        <w:left w:val="none" w:sz="0" w:space="0" w:color="auto"/>
        <w:bottom w:val="none" w:sz="0" w:space="0" w:color="auto"/>
        <w:right w:val="none" w:sz="0" w:space="0" w:color="auto"/>
      </w:divBdr>
    </w:div>
    <w:div w:id="1519394334">
      <w:bodyDiv w:val="1"/>
      <w:marLeft w:val="0"/>
      <w:marRight w:val="0"/>
      <w:marTop w:val="0"/>
      <w:marBottom w:val="0"/>
      <w:divBdr>
        <w:top w:val="none" w:sz="0" w:space="0" w:color="auto"/>
        <w:left w:val="none" w:sz="0" w:space="0" w:color="auto"/>
        <w:bottom w:val="none" w:sz="0" w:space="0" w:color="auto"/>
        <w:right w:val="none" w:sz="0" w:space="0" w:color="auto"/>
      </w:divBdr>
    </w:div>
    <w:div w:id="1530338176">
      <w:bodyDiv w:val="1"/>
      <w:marLeft w:val="0"/>
      <w:marRight w:val="0"/>
      <w:marTop w:val="0"/>
      <w:marBottom w:val="0"/>
      <w:divBdr>
        <w:top w:val="none" w:sz="0" w:space="0" w:color="auto"/>
        <w:left w:val="none" w:sz="0" w:space="0" w:color="auto"/>
        <w:bottom w:val="none" w:sz="0" w:space="0" w:color="auto"/>
        <w:right w:val="none" w:sz="0" w:space="0" w:color="auto"/>
      </w:divBdr>
    </w:div>
    <w:div w:id="1582327275">
      <w:bodyDiv w:val="1"/>
      <w:marLeft w:val="0"/>
      <w:marRight w:val="0"/>
      <w:marTop w:val="0"/>
      <w:marBottom w:val="0"/>
      <w:divBdr>
        <w:top w:val="none" w:sz="0" w:space="0" w:color="auto"/>
        <w:left w:val="none" w:sz="0" w:space="0" w:color="auto"/>
        <w:bottom w:val="none" w:sz="0" w:space="0" w:color="auto"/>
        <w:right w:val="none" w:sz="0" w:space="0" w:color="auto"/>
      </w:divBdr>
    </w:div>
    <w:div w:id="1611546887">
      <w:bodyDiv w:val="1"/>
      <w:marLeft w:val="0"/>
      <w:marRight w:val="0"/>
      <w:marTop w:val="0"/>
      <w:marBottom w:val="0"/>
      <w:divBdr>
        <w:top w:val="none" w:sz="0" w:space="0" w:color="auto"/>
        <w:left w:val="none" w:sz="0" w:space="0" w:color="auto"/>
        <w:bottom w:val="none" w:sz="0" w:space="0" w:color="auto"/>
        <w:right w:val="none" w:sz="0" w:space="0" w:color="auto"/>
      </w:divBdr>
    </w:div>
    <w:div w:id="1687292117">
      <w:bodyDiv w:val="1"/>
      <w:marLeft w:val="0"/>
      <w:marRight w:val="0"/>
      <w:marTop w:val="0"/>
      <w:marBottom w:val="0"/>
      <w:divBdr>
        <w:top w:val="none" w:sz="0" w:space="0" w:color="auto"/>
        <w:left w:val="none" w:sz="0" w:space="0" w:color="auto"/>
        <w:bottom w:val="none" w:sz="0" w:space="0" w:color="auto"/>
        <w:right w:val="none" w:sz="0" w:space="0" w:color="auto"/>
      </w:divBdr>
    </w:div>
    <w:div w:id="1766074519">
      <w:bodyDiv w:val="1"/>
      <w:marLeft w:val="0"/>
      <w:marRight w:val="0"/>
      <w:marTop w:val="0"/>
      <w:marBottom w:val="0"/>
      <w:divBdr>
        <w:top w:val="none" w:sz="0" w:space="0" w:color="auto"/>
        <w:left w:val="none" w:sz="0" w:space="0" w:color="auto"/>
        <w:bottom w:val="none" w:sz="0" w:space="0" w:color="auto"/>
        <w:right w:val="none" w:sz="0" w:space="0" w:color="auto"/>
      </w:divBdr>
    </w:div>
    <w:div w:id="2001108847">
      <w:bodyDiv w:val="1"/>
      <w:marLeft w:val="0"/>
      <w:marRight w:val="0"/>
      <w:marTop w:val="0"/>
      <w:marBottom w:val="0"/>
      <w:divBdr>
        <w:top w:val="none" w:sz="0" w:space="0" w:color="auto"/>
        <w:left w:val="none" w:sz="0" w:space="0" w:color="auto"/>
        <w:bottom w:val="none" w:sz="0" w:space="0" w:color="auto"/>
        <w:right w:val="none" w:sz="0" w:space="0" w:color="auto"/>
      </w:divBdr>
    </w:div>
    <w:div w:id="2018773651">
      <w:bodyDiv w:val="1"/>
      <w:marLeft w:val="0"/>
      <w:marRight w:val="0"/>
      <w:marTop w:val="0"/>
      <w:marBottom w:val="0"/>
      <w:divBdr>
        <w:top w:val="none" w:sz="0" w:space="0" w:color="auto"/>
        <w:left w:val="none" w:sz="0" w:space="0" w:color="auto"/>
        <w:bottom w:val="none" w:sz="0" w:space="0" w:color="auto"/>
        <w:right w:val="none" w:sz="0" w:space="0" w:color="auto"/>
      </w:divBdr>
    </w:div>
    <w:div w:id="204474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Edit>DocumentTypeCustomFormCore</Edit>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4BCA235A0AE4327804E9EDFAD6C9D8B006AFF11313AC4FE4685F9D1F6195089FF" ma:contentTypeVersion="0" ma:contentTypeDescription="" ma:contentTypeScope="" ma:versionID="b7ad7042e22fe7ad847d9547da7f43e1">
  <xsd:schema xmlns:xsd="http://www.w3.org/2001/XMLSchema" xmlns:xs="http://www.w3.org/2001/XMLSchema" xmlns:p="http://schemas.microsoft.com/office/2006/metadata/properties" targetNamespace="http://schemas.microsoft.com/office/2006/metadata/properties" ma:root="true" ma:fieldsID="4ced86dcd9e98231d9c41a9f934b77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32A66-A896-42C8-B0F0-34119E4C344D}">
  <ds:schemaRefs>
    <ds:schemaRef ds:uri="http://schemas.microsoft.com/sharepoint/v3/contenttype/forms"/>
  </ds:schemaRefs>
</ds:datastoreItem>
</file>

<file path=customXml/itemProps2.xml><?xml version="1.0" encoding="utf-8"?>
<ds:datastoreItem xmlns:ds="http://schemas.openxmlformats.org/officeDocument/2006/customXml" ds:itemID="{7770D0D4-0562-4D27-9427-5C527396A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1CD41B-A4C2-4E4D-B30D-F0EE4F57002E}">
  <ds:schemaRefs>
    <ds:schemaRef ds:uri="http://schemas.openxmlformats.org/officeDocument/2006/bibliography"/>
  </ds:schemaRefs>
</ds:datastoreItem>
</file>

<file path=customXml/itemProps4.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3760</Words>
  <Characters>20129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15</cp:revision>
  <cp:lastPrinted>2015-09-15T08:02:00Z</cp:lastPrinted>
  <dcterms:created xsi:type="dcterms:W3CDTF">2025-04-01T12:59:00Z</dcterms:created>
  <dcterms:modified xsi:type="dcterms:W3CDTF">2025-04-02T06:45:00Z</dcterms:modified>
</cp:coreProperties>
</file>