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E2BD8B" w14:textId="77777777" w:rsidR="00463FCB" w:rsidRDefault="006D4C26">
      <w:pPr>
        <w:rPr>
          <w:rFonts w:ascii="Tahoma" w:eastAsia="Tahoma" w:hAnsi="Tahoma" w:cs="Tahoma"/>
          <w:b/>
          <w:color w:val="001A70"/>
          <w:sz w:val="44"/>
          <w:szCs w:val="44"/>
        </w:rPr>
      </w:pPr>
      <w:r>
        <w:rPr>
          <w:rFonts w:ascii="Tahoma" w:eastAsia="Tahoma" w:hAnsi="Tahoma" w:cs="Tahoma"/>
          <w:b/>
          <w:color w:val="001A70"/>
          <w:sz w:val="44"/>
          <w:szCs w:val="44"/>
        </w:rPr>
        <w:t>PRESS RELEASE</w:t>
      </w:r>
    </w:p>
    <w:p w14:paraId="6C8E60EC" w14:textId="77777777" w:rsidR="00463FCB" w:rsidRDefault="00463F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ahoma" w:eastAsia="Tahoma" w:hAnsi="Tahoma" w:cs="Tahoma"/>
          <w:b/>
        </w:rPr>
      </w:pPr>
    </w:p>
    <w:p w14:paraId="2D293F5D" w14:textId="77777777" w:rsidR="00463FCB" w:rsidRDefault="006D4C26">
      <w:pPr>
        <w:rPr>
          <w:rFonts w:ascii="Tahoma" w:eastAsia="Tahoma" w:hAnsi="Tahoma" w:cs="Tahoma"/>
          <w:b/>
          <w:sz w:val="23"/>
          <w:szCs w:val="23"/>
        </w:rPr>
      </w:pPr>
      <w:r>
        <w:rPr>
          <w:rFonts w:ascii="Tahoma" w:eastAsia="Tahoma" w:hAnsi="Tahoma" w:cs="Tahoma"/>
          <w:b/>
          <w:color w:val="001A6F"/>
          <w:sz w:val="36"/>
          <w:szCs w:val="36"/>
        </w:rPr>
        <w:t xml:space="preserve">Fluidra closes a record quarter for sales and net profit, earning 77 million euros </w:t>
      </w:r>
    </w:p>
    <w:p w14:paraId="22708F8E" w14:textId="77777777" w:rsidR="00463FCB" w:rsidRDefault="00463FCB">
      <w:pPr>
        <w:pBdr>
          <w:top w:val="nil"/>
          <w:left w:val="nil"/>
          <w:bottom w:val="nil"/>
          <w:right w:val="nil"/>
          <w:between w:val="nil"/>
        </w:pBdr>
        <w:ind w:left="360"/>
        <w:rPr>
          <w:rFonts w:ascii="Tahoma" w:eastAsia="Tahoma" w:hAnsi="Tahoma" w:cs="Tahoma"/>
          <w:b/>
          <w:color w:val="001A6F"/>
          <w:sz w:val="23"/>
          <w:szCs w:val="23"/>
        </w:rPr>
      </w:pPr>
    </w:p>
    <w:p w14:paraId="533FF9F9" w14:textId="77777777" w:rsidR="00463FCB" w:rsidRDefault="006D4C26">
      <w:pPr>
        <w:numPr>
          <w:ilvl w:val="0"/>
          <w:numId w:val="1"/>
        </w:numPr>
        <w:pBdr>
          <w:top w:val="nil"/>
          <w:left w:val="nil"/>
          <w:bottom w:val="nil"/>
          <w:right w:val="nil"/>
          <w:between w:val="nil"/>
        </w:pBdr>
        <w:ind w:left="360"/>
        <w:rPr>
          <w:rFonts w:ascii="Tahoma" w:eastAsia="Tahoma" w:hAnsi="Tahoma" w:cs="Tahoma"/>
          <w:b/>
          <w:color w:val="001A6F"/>
          <w:sz w:val="23"/>
          <w:szCs w:val="23"/>
        </w:rPr>
      </w:pPr>
      <w:r>
        <w:rPr>
          <w:rFonts w:ascii="Tahoma" w:eastAsia="Tahoma" w:hAnsi="Tahoma" w:cs="Tahoma"/>
          <w:b/>
          <w:color w:val="001A6F"/>
          <w:sz w:val="23"/>
          <w:szCs w:val="23"/>
        </w:rPr>
        <w:t>Sales registered a record third quarter, providing year to date revenues of 1,142.9 million a 7.5% increase with EBITDA also up 19.2% to 248 million euros.</w:t>
      </w:r>
    </w:p>
    <w:p w14:paraId="5865B8EC" w14:textId="77777777" w:rsidR="00463FCB" w:rsidRDefault="00463FCB">
      <w:pPr>
        <w:pBdr>
          <w:top w:val="nil"/>
          <w:left w:val="nil"/>
          <w:bottom w:val="nil"/>
          <w:right w:val="nil"/>
          <w:between w:val="nil"/>
        </w:pBdr>
        <w:ind w:left="360"/>
        <w:rPr>
          <w:rFonts w:ascii="Tahoma" w:eastAsia="Tahoma" w:hAnsi="Tahoma" w:cs="Tahoma"/>
          <w:b/>
          <w:color w:val="001A6F"/>
          <w:sz w:val="23"/>
          <w:szCs w:val="23"/>
        </w:rPr>
      </w:pPr>
    </w:p>
    <w:p w14:paraId="51740C0D" w14:textId="77777777" w:rsidR="00463FCB" w:rsidRDefault="006D4C26">
      <w:pPr>
        <w:numPr>
          <w:ilvl w:val="0"/>
          <w:numId w:val="1"/>
        </w:numPr>
        <w:pBdr>
          <w:top w:val="nil"/>
          <w:left w:val="nil"/>
          <w:bottom w:val="nil"/>
          <w:right w:val="nil"/>
          <w:between w:val="nil"/>
        </w:pBdr>
        <w:ind w:left="360"/>
        <w:rPr>
          <w:rFonts w:ascii="Tahoma" w:eastAsia="Tahoma" w:hAnsi="Tahoma" w:cs="Tahoma"/>
          <w:b/>
          <w:color w:val="001A6F"/>
          <w:sz w:val="23"/>
          <w:szCs w:val="23"/>
        </w:rPr>
      </w:pPr>
      <w:r>
        <w:rPr>
          <w:rFonts w:ascii="Tahoma" w:eastAsia="Tahoma" w:hAnsi="Tahoma" w:cs="Tahoma"/>
          <w:b/>
          <w:color w:val="001A6F"/>
          <w:sz w:val="23"/>
          <w:szCs w:val="23"/>
        </w:rPr>
        <w:t>Net profit to September climbed to 77 million euros, tripling the 24.1 million euros registered a year previously.</w:t>
      </w:r>
    </w:p>
    <w:p w14:paraId="6BFF3226" w14:textId="77777777" w:rsidR="00463FCB" w:rsidRDefault="00463FCB">
      <w:pPr>
        <w:pBdr>
          <w:top w:val="nil"/>
          <w:left w:val="nil"/>
          <w:bottom w:val="nil"/>
          <w:right w:val="nil"/>
          <w:between w:val="nil"/>
        </w:pBdr>
        <w:ind w:left="708"/>
        <w:rPr>
          <w:rFonts w:eastAsia="Arial"/>
          <w:b/>
          <w:color w:val="001A6F"/>
          <w:sz w:val="23"/>
          <w:szCs w:val="23"/>
        </w:rPr>
      </w:pPr>
    </w:p>
    <w:p w14:paraId="3833DD6E" w14:textId="77777777" w:rsidR="00463FCB" w:rsidRDefault="006D4C26">
      <w:pPr>
        <w:numPr>
          <w:ilvl w:val="0"/>
          <w:numId w:val="1"/>
        </w:numPr>
        <w:pBdr>
          <w:top w:val="nil"/>
          <w:left w:val="nil"/>
          <w:bottom w:val="nil"/>
          <w:right w:val="nil"/>
          <w:between w:val="nil"/>
        </w:pBdr>
        <w:ind w:left="360"/>
        <w:rPr>
          <w:rFonts w:ascii="Tahoma" w:eastAsia="Tahoma" w:hAnsi="Tahoma" w:cs="Tahoma"/>
          <w:b/>
          <w:color w:val="001A6F"/>
          <w:sz w:val="23"/>
          <w:szCs w:val="23"/>
        </w:rPr>
      </w:pPr>
      <w:bookmarkStart w:id="0" w:name="_heading=h.gjdgxs" w:colFirst="0" w:colLast="0"/>
      <w:bookmarkEnd w:id="0"/>
      <w:r>
        <w:rPr>
          <w:rFonts w:ascii="Tahoma" w:eastAsia="Tahoma" w:hAnsi="Tahoma" w:cs="Tahoma"/>
          <w:b/>
          <w:color w:val="001A6F"/>
          <w:sz w:val="23"/>
          <w:szCs w:val="23"/>
        </w:rPr>
        <w:t>Fluidra has exceeded its synergy target for the year and is on track to achieve the full programme in 2021.</w:t>
      </w:r>
    </w:p>
    <w:p w14:paraId="38C2A818" w14:textId="77777777" w:rsidR="00463FCB" w:rsidRDefault="00463FCB">
      <w:pPr>
        <w:pBdr>
          <w:top w:val="nil"/>
          <w:left w:val="nil"/>
          <w:bottom w:val="nil"/>
          <w:right w:val="nil"/>
          <w:between w:val="nil"/>
        </w:pBdr>
        <w:ind w:left="708"/>
        <w:rPr>
          <w:rFonts w:eastAsia="Arial"/>
          <w:b/>
          <w:color w:val="FF0000"/>
          <w:sz w:val="23"/>
          <w:szCs w:val="23"/>
        </w:rPr>
      </w:pPr>
    </w:p>
    <w:p w14:paraId="1EB7601C" w14:textId="77777777" w:rsidR="00463FCB" w:rsidRDefault="006D4C26">
      <w:pPr>
        <w:numPr>
          <w:ilvl w:val="0"/>
          <w:numId w:val="1"/>
        </w:numPr>
        <w:pBdr>
          <w:top w:val="nil"/>
          <w:left w:val="nil"/>
          <w:bottom w:val="nil"/>
          <w:right w:val="nil"/>
          <w:between w:val="nil"/>
        </w:pBdr>
        <w:ind w:left="360"/>
        <w:rPr>
          <w:rFonts w:ascii="Tahoma" w:eastAsia="Tahoma" w:hAnsi="Tahoma" w:cs="Tahoma"/>
          <w:b/>
          <w:color w:val="001A6F"/>
          <w:sz w:val="23"/>
          <w:szCs w:val="23"/>
        </w:rPr>
      </w:pPr>
      <w:r>
        <w:rPr>
          <w:rFonts w:ascii="Tahoma" w:eastAsia="Tahoma" w:hAnsi="Tahoma" w:cs="Tahoma"/>
          <w:b/>
          <w:color w:val="001A6F"/>
          <w:sz w:val="23"/>
          <w:szCs w:val="23"/>
        </w:rPr>
        <w:t xml:space="preserve">Management is confident in delivering a strong Q4. Business indicators remain solid, confirming preparedness to continue executing the 2022 Strategic Plan, despite the current uncertain macro environment. </w:t>
      </w:r>
    </w:p>
    <w:p w14:paraId="7BEEDF45" w14:textId="77777777" w:rsidR="00463FCB" w:rsidRDefault="00463FCB">
      <w:pPr>
        <w:rPr>
          <w:b/>
          <w:color w:val="001A6F"/>
          <w:sz w:val="23"/>
          <w:szCs w:val="23"/>
        </w:rPr>
      </w:pPr>
    </w:p>
    <w:p w14:paraId="15F856C0" w14:textId="77777777" w:rsidR="00463FCB" w:rsidRDefault="00463FCB">
      <w:pPr>
        <w:pBdr>
          <w:top w:val="nil"/>
          <w:left w:val="nil"/>
          <w:bottom w:val="nil"/>
          <w:right w:val="nil"/>
          <w:between w:val="nil"/>
        </w:pBdr>
        <w:jc w:val="both"/>
        <w:rPr>
          <w:rFonts w:ascii="Tahoma" w:eastAsia="Tahoma" w:hAnsi="Tahoma" w:cs="Tahoma"/>
          <w:b/>
          <w:color w:val="001A6F"/>
          <w:sz w:val="23"/>
          <w:szCs w:val="23"/>
        </w:rPr>
      </w:pPr>
    </w:p>
    <w:p w14:paraId="7324C0D0" w14:textId="77777777" w:rsidR="00463FCB" w:rsidRDefault="006D4C26">
      <w:pPr>
        <w:pBdr>
          <w:top w:val="nil"/>
          <w:left w:val="nil"/>
          <w:bottom w:val="nil"/>
          <w:right w:val="nil"/>
          <w:between w:val="nil"/>
        </w:pBdr>
        <w:jc w:val="both"/>
        <w:rPr>
          <w:rFonts w:ascii="Tahoma" w:eastAsia="Tahoma" w:hAnsi="Tahoma" w:cs="Tahoma"/>
          <w:sz w:val="23"/>
          <w:szCs w:val="23"/>
        </w:rPr>
      </w:pPr>
      <w:r>
        <w:rPr>
          <w:rFonts w:ascii="Tahoma" w:eastAsia="Tahoma" w:hAnsi="Tahoma" w:cs="Tahoma"/>
          <w:b/>
          <w:color w:val="001A6F"/>
          <w:sz w:val="23"/>
          <w:szCs w:val="23"/>
        </w:rPr>
        <w:t>28 October 2020 –</w:t>
      </w:r>
      <w:r>
        <w:rPr>
          <w:rFonts w:ascii="Tahoma" w:eastAsia="Tahoma" w:hAnsi="Tahoma" w:cs="Tahoma"/>
          <w:b/>
          <w:color w:val="000000"/>
          <w:sz w:val="23"/>
          <w:szCs w:val="23"/>
        </w:rPr>
        <w:t xml:space="preserve"> </w:t>
      </w:r>
      <w:r>
        <w:rPr>
          <w:rFonts w:ascii="Tahoma" w:eastAsia="Tahoma" w:hAnsi="Tahoma" w:cs="Tahoma"/>
          <w:sz w:val="23"/>
          <w:szCs w:val="23"/>
        </w:rPr>
        <w:t xml:space="preserve">Fluidra registered record turnover in the third quarter of 2020, experiencing an excellent end to the residential pool season in the Northern </w:t>
      </w:r>
      <w:r>
        <w:rPr>
          <w:rFonts w:ascii="Tahoma" w:eastAsia="Tahoma" w:hAnsi="Tahoma" w:cs="Tahoma"/>
          <w:sz w:val="23"/>
          <w:szCs w:val="23"/>
        </w:rPr>
        <w:br/>
        <w:t>Hemisphere, building on the positive performance of prior months.</w:t>
      </w:r>
    </w:p>
    <w:p w14:paraId="6405ED30" w14:textId="77777777" w:rsidR="00463FCB" w:rsidRDefault="00463FCB">
      <w:pPr>
        <w:pBdr>
          <w:top w:val="nil"/>
          <w:left w:val="nil"/>
          <w:bottom w:val="nil"/>
          <w:right w:val="nil"/>
          <w:between w:val="nil"/>
        </w:pBdr>
        <w:jc w:val="both"/>
        <w:rPr>
          <w:rFonts w:ascii="Tahoma" w:eastAsia="Tahoma" w:hAnsi="Tahoma" w:cs="Tahoma"/>
          <w:sz w:val="23"/>
          <w:szCs w:val="23"/>
        </w:rPr>
      </w:pPr>
    </w:p>
    <w:p w14:paraId="52692D91" w14:textId="3DC7C722" w:rsidR="00463FCB" w:rsidRDefault="006D4C26">
      <w:pPr>
        <w:pBdr>
          <w:top w:val="nil"/>
          <w:left w:val="nil"/>
          <w:bottom w:val="nil"/>
          <w:right w:val="nil"/>
          <w:between w:val="nil"/>
        </w:pBdr>
        <w:jc w:val="both"/>
        <w:rPr>
          <w:rFonts w:ascii="Tahoma" w:eastAsia="Tahoma" w:hAnsi="Tahoma" w:cs="Tahoma"/>
          <w:sz w:val="23"/>
          <w:szCs w:val="23"/>
        </w:rPr>
      </w:pPr>
      <w:bookmarkStart w:id="1" w:name="_heading=h.30j0zll" w:colFirst="0" w:colLast="0"/>
      <w:bookmarkEnd w:id="1"/>
      <w:r>
        <w:rPr>
          <w:rFonts w:ascii="Tahoma" w:eastAsia="Tahoma" w:hAnsi="Tahoma" w:cs="Tahoma"/>
          <w:sz w:val="23"/>
          <w:szCs w:val="23"/>
        </w:rPr>
        <w:t>Sales of the leading pool and wellness equipment company reached 1,142.9 million euros from January to September, which is a 7.5% increase to the same period in 2019. EBITDA was up 19.2% to 248 million euros, with net profits tripling to 77 million euros from 24.1 million euros a year previously</w:t>
      </w:r>
      <w:r w:rsidR="00257F7E">
        <w:rPr>
          <w:rFonts w:ascii="Tahoma" w:eastAsia="Tahoma" w:hAnsi="Tahoma" w:cs="Tahoma"/>
          <w:sz w:val="23"/>
          <w:szCs w:val="23"/>
        </w:rPr>
        <w:t xml:space="preserve"> due to operational improvements and less integration</w:t>
      </w:r>
      <w:r w:rsidR="00E95BFD">
        <w:rPr>
          <w:rFonts w:ascii="Tahoma" w:eastAsia="Tahoma" w:hAnsi="Tahoma" w:cs="Tahoma"/>
          <w:sz w:val="23"/>
          <w:szCs w:val="23"/>
        </w:rPr>
        <w:t xml:space="preserve"> related</w:t>
      </w:r>
      <w:r w:rsidR="00257F7E">
        <w:rPr>
          <w:rFonts w:ascii="Tahoma" w:eastAsia="Tahoma" w:hAnsi="Tahoma" w:cs="Tahoma"/>
          <w:sz w:val="23"/>
          <w:szCs w:val="23"/>
        </w:rPr>
        <w:t xml:space="preserve"> expenses.</w:t>
      </w:r>
      <w:r w:rsidR="00257F7E" w:rsidRPr="00F62E87">
        <w:rPr>
          <w:sz w:val="23"/>
          <w:szCs w:val="23"/>
          <w:lang w:val="es-ES"/>
        </w:rPr>
        <w:t xml:space="preserve"> </w:t>
      </w:r>
      <w:r>
        <w:rPr>
          <w:rFonts w:ascii="Tahoma" w:eastAsia="Tahoma" w:hAnsi="Tahoma" w:cs="Tahoma"/>
          <w:sz w:val="23"/>
          <w:szCs w:val="23"/>
        </w:rPr>
        <w:t>Cash Net Profit, a better proxy for Fluidra which excludes non-cash items and merger-related non-recurring expenses, grew 42.5% to 124 million euros.</w:t>
      </w:r>
    </w:p>
    <w:p w14:paraId="2805F96E" w14:textId="77777777" w:rsidR="00463FCB" w:rsidRDefault="00463FCB">
      <w:pPr>
        <w:pBdr>
          <w:top w:val="nil"/>
          <w:left w:val="nil"/>
          <w:bottom w:val="nil"/>
          <w:right w:val="nil"/>
          <w:between w:val="nil"/>
        </w:pBdr>
        <w:jc w:val="both"/>
        <w:rPr>
          <w:rFonts w:ascii="Tahoma" w:eastAsia="Tahoma" w:hAnsi="Tahoma" w:cs="Tahoma"/>
          <w:sz w:val="23"/>
          <w:szCs w:val="23"/>
        </w:rPr>
      </w:pPr>
    </w:p>
    <w:p w14:paraId="083EBE11" w14:textId="77777777" w:rsidR="00463FCB" w:rsidRDefault="006D4C26">
      <w:pPr>
        <w:pBdr>
          <w:top w:val="nil"/>
          <w:left w:val="nil"/>
          <w:bottom w:val="nil"/>
          <w:right w:val="nil"/>
          <w:between w:val="nil"/>
        </w:pBdr>
        <w:jc w:val="both"/>
        <w:rPr>
          <w:rFonts w:ascii="Tahoma" w:eastAsia="Tahoma" w:hAnsi="Tahoma" w:cs="Tahoma"/>
          <w:sz w:val="23"/>
          <w:szCs w:val="23"/>
        </w:rPr>
      </w:pPr>
      <w:r>
        <w:rPr>
          <w:rFonts w:ascii="Tahoma" w:eastAsia="Tahoma" w:hAnsi="Tahoma" w:cs="Tahoma"/>
          <w:sz w:val="23"/>
          <w:szCs w:val="23"/>
        </w:rPr>
        <w:t>Excellent cash generation totalling 162 million euros for the quarter allowed for a solid 40% reduction in the company’s net financial debt to 468.5 million euros, significantly reducing the net debt to EBITDA ratio to less than 2x times. Cash generation also favoured resuming the dividend payment to shareholders in October at €0.21 per share, totalling 41 million euros.</w:t>
      </w:r>
    </w:p>
    <w:p w14:paraId="6A0E4221" w14:textId="77777777" w:rsidR="00463FCB" w:rsidRDefault="00463FCB">
      <w:pPr>
        <w:pBdr>
          <w:top w:val="nil"/>
          <w:left w:val="nil"/>
          <w:bottom w:val="nil"/>
          <w:right w:val="nil"/>
          <w:between w:val="nil"/>
        </w:pBdr>
        <w:jc w:val="both"/>
        <w:rPr>
          <w:rFonts w:ascii="Tahoma" w:eastAsia="Tahoma" w:hAnsi="Tahoma" w:cs="Tahoma"/>
          <w:sz w:val="23"/>
          <w:szCs w:val="23"/>
        </w:rPr>
      </w:pPr>
    </w:p>
    <w:p w14:paraId="400BCF6B" w14:textId="77777777" w:rsidR="00463FCB" w:rsidRDefault="006D4C26">
      <w:pPr>
        <w:pBdr>
          <w:top w:val="nil"/>
          <w:left w:val="nil"/>
          <w:bottom w:val="nil"/>
          <w:right w:val="nil"/>
          <w:between w:val="nil"/>
        </w:pBdr>
        <w:jc w:val="both"/>
        <w:rPr>
          <w:rFonts w:ascii="Tahoma" w:eastAsia="Tahoma" w:hAnsi="Tahoma" w:cs="Tahoma"/>
          <w:sz w:val="23"/>
          <w:szCs w:val="23"/>
        </w:rPr>
      </w:pPr>
      <w:r>
        <w:rPr>
          <w:rFonts w:ascii="Tahoma" w:eastAsia="Tahoma" w:hAnsi="Tahoma" w:cs="Tahoma"/>
          <w:sz w:val="23"/>
          <w:szCs w:val="23"/>
        </w:rPr>
        <w:t xml:space="preserve">Fluidra exceeded its cost synergy target for the whole year in the third quarter and is on track to achieve the full programme in 2021. </w:t>
      </w:r>
    </w:p>
    <w:p w14:paraId="20211723" w14:textId="77777777" w:rsidR="00463FCB" w:rsidRDefault="00463FCB">
      <w:pPr>
        <w:pBdr>
          <w:top w:val="nil"/>
          <w:left w:val="nil"/>
          <w:bottom w:val="nil"/>
          <w:right w:val="nil"/>
          <w:between w:val="nil"/>
        </w:pBdr>
        <w:jc w:val="both"/>
        <w:rPr>
          <w:rFonts w:ascii="Tahoma" w:eastAsia="Tahoma" w:hAnsi="Tahoma" w:cs="Tahoma"/>
          <w:sz w:val="23"/>
          <w:szCs w:val="23"/>
        </w:rPr>
      </w:pPr>
    </w:p>
    <w:p w14:paraId="30815655" w14:textId="77777777" w:rsidR="00463FCB" w:rsidRDefault="006D4C26">
      <w:pPr>
        <w:pBdr>
          <w:top w:val="nil"/>
          <w:left w:val="nil"/>
          <w:bottom w:val="nil"/>
          <w:right w:val="nil"/>
          <w:between w:val="nil"/>
        </w:pBdr>
        <w:rPr>
          <w:rFonts w:ascii="Tahoma" w:eastAsia="Tahoma" w:hAnsi="Tahoma" w:cs="Tahoma"/>
          <w:b/>
          <w:sz w:val="23"/>
          <w:szCs w:val="23"/>
        </w:rPr>
      </w:pPr>
      <w:r>
        <w:rPr>
          <w:rFonts w:ascii="Tahoma" w:eastAsia="Tahoma" w:hAnsi="Tahoma" w:cs="Tahoma"/>
          <w:b/>
          <w:sz w:val="23"/>
          <w:szCs w:val="23"/>
        </w:rPr>
        <w:t>Significant growth in North America and Europe</w:t>
      </w:r>
      <w:r w:rsidR="00257F7E">
        <w:rPr>
          <w:rFonts w:ascii="Tahoma" w:eastAsia="Tahoma" w:hAnsi="Tahoma" w:cs="Tahoma"/>
          <w:b/>
          <w:sz w:val="23"/>
          <w:szCs w:val="23"/>
        </w:rPr>
        <w:t xml:space="preserve"> during the third quarter</w:t>
      </w:r>
    </w:p>
    <w:p w14:paraId="6CD9D2B1" w14:textId="77777777" w:rsidR="00463FCB" w:rsidRDefault="00463FCB">
      <w:pPr>
        <w:pBdr>
          <w:top w:val="nil"/>
          <w:left w:val="nil"/>
          <w:bottom w:val="nil"/>
          <w:right w:val="nil"/>
          <w:between w:val="nil"/>
        </w:pBdr>
        <w:jc w:val="both"/>
        <w:rPr>
          <w:rFonts w:ascii="Tahoma" w:eastAsia="Tahoma" w:hAnsi="Tahoma" w:cs="Tahoma"/>
          <w:sz w:val="23"/>
          <w:szCs w:val="23"/>
        </w:rPr>
      </w:pPr>
    </w:p>
    <w:p w14:paraId="7B74CC01" w14:textId="77777777" w:rsidR="00463FCB" w:rsidRDefault="006D4C26" w:rsidP="00257F7E">
      <w:pPr>
        <w:pBdr>
          <w:top w:val="nil"/>
          <w:left w:val="nil"/>
          <w:bottom w:val="nil"/>
          <w:right w:val="nil"/>
          <w:between w:val="nil"/>
        </w:pBdr>
        <w:rPr>
          <w:rFonts w:ascii="Tahoma" w:eastAsia="Tahoma" w:hAnsi="Tahoma" w:cs="Tahoma"/>
          <w:sz w:val="23"/>
          <w:szCs w:val="23"/>
        </w:rPr>
      </w:pPr>
      <w:r>
        <w:rPr>
          <w:rFonts w:ascii="Tahoma" w:eastAsia="Tahoma" w:hAnsi="Tahoma" w:cs="Tahoma"/>
          <w:sz w:val="23"/>
          <w:szCs w:val="23"/>
        </w:rPr>
        <w:t xml:space="preserve">In terms of geographical areas, </w:t>
      </w:r>
      <w:r w:rsidR="00257F7E">
        <w:rPr>
          <w:rFonts w:ascii="Tahoma" w:eastAsia="Tahoma" w:hAnsi="Tahoma" w:cs="Tahoma"/>
          <w:sz w:val="23"/>
          <w:szCs w:val="23"/>
        </w:rPr>
        <w:t xml:space="preserve">and looking at the third quarter stand-alone, </w:t>
      </w:r>
      <w:r>
        <w:rPr>
          <w:rFonts w:ascii="Tahoma" w:eastAsia="Tahoma" w:hAnsi="Tahoma" w:cs="Tahoma"/>
          <w:sz w:val="23"/>
          <w:szCs w:val="23"/>
        </w:rPr>
        <w:t xml:space="preserve">sales in North America grew by 38.2% on a constant FX and perimeter adjusted basis. </w:t>
      </w:r>
      <w:r>
        <w:rPr>
          <w:rFonts w:ascii="Tahoma" w:eastAsia="Tahoma" w:hAnsi="Tahoma" w:cs="Tahoma"/>
          <w:sz w:val="23"/>
          <w:szCs w:val="23"/>
        </w:rPr>
        <w:br/>
        <w:t xml:space="preserve">The Rest of Europe showed excellent progress, with 41.6% growth and an </w:t>
      </w:r>
      <w:r>
        <w:rPr>
          <w:rFonts w:ascii="Tahoma" w:eastAsia="Tahoma" w:hAnsi="Tahoma" w:cs="Tahoma"/>
          <w:sz w:val="23"/>
          <w:szCs w:val="23"/>
        </w:rPr>
        <w:lastRenderedPageBreak/>
        <w:t xml:space="preserve">outstanding performance from Germany and Eastern Europe in particular. Sales in Southern Europe also showed strong recovery after the negative impact of the pandemic’s hard lockdown, with 20.2% growth on a constant FX and perimeter adjusted basis. </w:t>
      </w:r>
    </w:p>
    <w:p w14:paraId="4AC33E5F" w14:textId="77777777" w:rsidR="00463FCB" w:rsidRDefault="00463FCB">
      <w:pPr>
        <w:pBdr>
          <w:top w:val="nil"/>
          <w:left w:val="nil"/>
          <w:bottom w:val="nil"/>
          <w:right w:val="nil"/>
          <w:between w:val="nil"/>
        </w:pBdr>
        <w:jc w:val="both"/>
        <w:rPr>
          <w:rFonts w:ascii="Tahoma" w:eastAsia="Tahoma" w:hAnsi="Tahoma" w:cs="Tahoma"/>
          <w:sz w:val="23"/>
          <w:szCs w:val="23"/>
        </w:rPr>
      </w:pPr>
    </w:p>
    <w:p w14:paraId="3F3C8DAA" w14:textId="21C6B738" w:rsidR="00463FCB" w:rsidRDefault="006D4C26">
      <w:pPr>
        <w:pBdr>
          <w:top w:val="nil"/>
          <w:left w:val="nil"/>
          <w:bottom w:val="nil"/>
          <w:right w:val="nil"/>
          <w:between w:val="nil"/>
        </w:pBdr>
        <w:jc w:val="both"/>
        <w:rPr>
          <w:rFonts w:ascii="Tahoma" w:eastAsia="Tahoma" w:hAnsi="Tahoma" w:cs="Tahoma"/>
          <w:sz w:val="23"/>
          <w:szCs w:val="23"/>
        </w:rPr>
      </w:pPr>
      <w:r>
        <w:rPr>
          <w:rFonts w:ascii="Tahoma" w:eastAsia="Tahoma" w:hAnsi="Tahoma" w:cs="Tahoma"/>
          <w:sz w:val="23"/>
          <w:szCs w:val="23"/>
        </w:rPr>
        <w:t>In terms of business units, Residential Pool was the best performing with sales up 25.6% in the quarter to 266 million euros</w:t>
      </w:r>
      <w:r w:rsidR="00257F7E">
        <w:rPr>
          <w:rFonts w:ascii="Tahoma" w:eastAsia="Tahoma" w:hAnsi="Tahoma" w:cs="Tahoma"/>
          <w:sz w:val="23"/>
          <w:szCs w:val="23"/>
        </w:rPr>
        <w:t xml:space="preserve"> in this third quarter</w:t>
      </w:r>
      <w:r>
        <w:rPr>
          <w:rFonts w:ascii="Tahoma" w:eastAsia="Tahoma" w:hAnsi="Tahoma" w:cs="Tahoma"/>
          <w:sz w:val="23"/>
          <w:szCs w:val="23"/>
        </w:rPr>
        <w:t>, aided with the catch-up of pent-up demand and continued boost from the “stay-at-home” effect produced by the pandemic</w:t>
      </w:r>
      <w:r w:rsidR="00257F7E">
        <w:rPr>
          <w:rFonts w:ascii="Tahoma" w:eastAsia="Tahoma" w:hAnsi="Tahoma" w:cs="Tahoma"/>
          <w:sz w:val="23"/>
          <w:szCs w:val="23"/>
        </w:rPr>
        <w:t xml:space="preserve">, </w:t>
      </w:r>
      <w:r>
        <w:rPr>
          <w:rFonts w:ascii="Tahoma" w:eastAsia="Tahoma" w:hAnsi="Tahoma" w:cs="Tahoma"/>
          <w:sz w:val="23"/>
          <w:szCs w:val="23"/>
        </w:rPr>
        <w:t xml:space="preserve">aided by the acceleration of New Construction. Meanwhile Fluid Handling was up 20.6% and the water treatment business grew by 11.2%. The Commercial Pool division, which kept on being negatively affected by the social distancing measures on the Hospitality sector, had a relatively better performance aided by its aftermarket component. </w:t>
      </w:r>
    </w:p>
    <w:p w14:paraId="111393B8" w14:textId="77777777" w:rsidR="00463FCB" w:rsidRDefault="00463FCB">
      <w:pPr>
        <w:pBdr>
          <w:top w:val="nil"/>
          <w:left w:val="nil"/>
          <w:bottom w:val="nil"/>
          <w:right w:val="nil"/>
          <w:between w:val="nil"/>
        </w:pBdr>
        <w:jc w:val="both"/>
        <w:rPr>
          <w:rFonts w:ascii="Tahoma" w:eastAsia="Tahoma" w:hAnsi="Tahoma" w:cs="Tahoma"/>
          <w:sz w:val="23"/>
          <w:szCs w:val="23"/>
        </w:rPr>
      </w:pPr>
    </w:p>
    <w:p w14:paraId="3716AEF8" w14:textId="77777777" w:rsidR="00463FCB" w:rsidRDefault="006D4C26">
      <w:pPr>
        <w:pBdr>
          <w:top w:val="nil"/>
          <w:left w:val="nil"/>
          <w:bottom w:val="nil"/>
          <w:right w:val="nil"/>
          <w:between w:val="nil"/>
        </w:pBdr>
        <w:jc w:val="both"/>
        <w:rPr>
          <w:rFonts w:ascii="Tahoma" w:eastAsia="Tahoma" w:hAnsi="Tahoma" w:cs="Tahoma"/>
          <w:b/>
          <w:sz w:val="23"/>
          <w:szCs w:val="23"/>
        </w:rPr>
      </w:pPr>
      <w:r>
        <w:rPr>
          <w:rFonts w:ascii="Tahoma" w:eastAsia="Tahoma" w:hAnsi="Tahoma" w:cs="Tahoma"/>
          <w:b/>
          <w:sz w:val="23"/>
          <w:szCs w:val="23"/>
        </w:rPr>
        <w:t>Strong performance despite uncertainty</w:t>
      </w:r>
    </w:p>
    <w:p w14:paraId="7C43319D" w14:textId="77777777" w:rsidR="00463FCB" w:rsidRDefault="00463FCB">
      <w:pPr>
        <w:pBdr>
          <w:top w:val="nil"/>
          <w:left w:val="nil"/>
          <w:bottom w:val="nil"/>
          <w:right w:val="nil"/>
          <w:between w:val="nil"/>
        </w:pBdr>
        <w:jc w:val="both"/>
        <w:rPr>
          <w:rFonts w:ascii="Tahoma" w:eastAsia="Tahoma" w:hAnsi="Tahoma" w:cs="Tahoma"/>
          <w:b/>
          <w:sz w:val="23"/>
          <w:szCs w:val="23"/>
        </w:rPr>
      </w:pPr>
    </w:p>
    <w:p w14:paraId="38D345DA" w14:textId="77777777" w:rsidR="00463FCB" w:rsidRDefault="006D4C26">
      <w:pPr>
        <w:pBdr>
          <w:top w:val="nil"/>
          <w:left w:val="nil"/>
          <w:bottom w:val="nil"/>
          <w:right w:val="nil"/>
          <w:between w:val="nil"/>
        </w:pBdr>
        <w:jc w:val="both"/>
        <w:rPr>
          <w:rFonts w:ascii="Tahoma" w:eastAsia="Tahoma" w:hAnsi="Tahoma" w:cs="Tahoma"/>
          <w:sz w:val="23"/>
          <w:szCs w:val="23"/>
        </w:rPr>
      </w:pPr>
      <w:r>
        <w:rPr>
          <w:rFonts w:ascii="Tahoma" w:eastAsia="Tahoma" w:hAnsi="Tahoma" w:cs="Tahoma"/>
          <w:sz w:val="23"/>
          <w:szCs w:val="23"/>
        </w:rPr>
        <w:t xml:space="preserve">Management is confident in delivering a strong Q4, that follows the same constant growth trend and EBITDA margin as in year to date. Early data for October points to double digit sales growth. Eloi Planes, Fluidra’s Executive Chairman, says: “The fundamentals of the sector remain strong, aided by the stay-at-home trend, and we expect to maintain the growth and margin shown year to date. Our strategy and investment thesis remain unchanged, </w:t>
      </w:r>
      <w:r w:rsidR="006C3962">
        <w:rPr>
          <w:rFonts w:ascii="Tahoma" w:eastAsia="Tahoma" w:hAnsi="Tahoma" w:cs="Tahoma"/>
          <w:sz w:val="23"/>
          <w:szCs w:val="23"/>
        </w:rPr>
        <w:t>we operate in</w:t>
      </w:r>
      <w:r>
        <w:rPr>
          <w:rFonts w:ascii="Tahoma" w:eastAsia="Tahoma" w:hAnsi="Tahoma" w:cs="Tahoma"/>
          <w:sz w:val="23"/>
          <w:szCs w:val="23"/>
        </w:rPr>
        <w:t xml:space="preserve"> a resilient and attractive market </w:t>
      </w:r>
      <w:r w:rsidR="006C3962">
        <w:rPr>
          <w:rFonts w:ascii="Tahoma" w:eastAsia="Tahoma" w:hAnsi="Tahoma" w:cs="Tahoma"/>
          <w:sz w:val="23"/>
          <w:szCs w:val="23"/>
        </w:rPr>
        <w:t>through</w:t>
      </w:r>
      <w:r>
        <w:rPr>
          <w:rFonts w:ascii="Tahoma" w:eastAsia="Tahoma" w:hAnsi="Tahoma" w:cs="Tahoma"/>
          <w:sz w:val="23"/>
          <w:szCs w:val="23"/>
        </w:rPr>
        <w:t xml:space="preserve"> a customer-focused leading platform with unique margin expansion initiatives providing strong cash conversion.”</w:t>
      </w:r>
    </w:p>
    <w:p w14:paraId="1C2B92BD" w14:textId="77777777" w:rsidR="00463FCB" w:rsidRDefault="00463FCB">
      <w:pPr>
        <w:pBdr>
          <w:top w:val="nil"/>
          <w:left w:val="nil"/>
          <w:bottom w:val="nil"/>
          <w:right w:val="nil"/>
          <w:between w:val="nil"/>
        </w:pBdr>
        <w:jc w:val="both"/>
        <w:rPr>
          <w:rFonts w:ascii="Tahoma" w:eastAsia="Tahoma" w:hAnsi="Tahoma" w:cs="Tahoma"/>
          <w:sz w:val="23"/>
          <w:szCs w:val="23"/>
        </w:rPr>
      </w:pPr>
    </w:p>
    <w:p w14:paraId="4EA92EA2" w14:textId="77777777" w:rsidR="00463FCB" w:rsidRDefault="00463F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ahoma" w:eastAsia="Tahoma" w:hAnsi="Tahoma" w:cs="Tahoma"/>
          <w:color w:val="001A70"/>
        </w:rPr>
      </w:pPr>
    </w:p>
    <w:p w14:paraId="4B6ECBC0" w14:textId="77777777" w:rsidR="00463FCB" w:rsidRDefault="006D4C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ahoma" w:eastAsia="Tahoma" w:hAnsi="Tahoma" w:cs="Tahoma"/>
        </w:rPr>
      </w:pPr>
      <w:r>
        <w:rPr>
          <w:rFonts w:ascii="Tahoma" w:eastAsia="Tahoma" w:hAnsi="Tahoma" w:cs="Tahoma"/>
          <w:noProof/>
          <w:lang w:val="es-ES"/>
        </w:rPr>
        <mc:AlternateContent>
          <mc:Choice Requires="wps">
            <w:drawing>
              <wp:inline distT="0" distB="0" distL="0" distR="0" wp14:anchorId="2778A186" wp14:editId="59D9563D">
                <wp:extent cx="5734050" cy="1183888"/>
                <wp:effectExtent l="0" t="0" r="0" b="0"/>
                <wp:docPr id="12" name="Rectángulo 12"/>
                <wp:cNvGraphicFramePr/>
                <a:graphic xmlns:a="http://schemas.openxmlformats.org/drawingml/2006/main">
                  <a:graphicData uri="http://schemas.microsoft.com/office/word/2010/wordprocessingShape">
                    <wps:wsp>
                      <wps:cNvSpPr/>
                      <wps:spPr>
                        <a:xfrm>
                          <a:off x="2483738" y="3192819"/>
                          <a:ext cx="5724525" cy="1174363"/>
                        </a:xfrm>
                        <a:prstGeom prst="rect">
                          <a:avLst/>
                        </a:prstGeom>
                        <a:solidFill>
                          <a:srgbClr val="C6D2EF"/>
                        </a:solidFill>
                        <a:ln>
                          <a:noFill/>
                        </a:ln>
                      </wps:spPr>
                      <wps:txbx>
                        <w:txbxContent>
                          <w:p w14:paraId="747010AE" w14:textId="77777777" w:rsidR="00463FCB" w:rsidRDefault="006D4C26">
                            <w:pPr>
                              <w:spacing w:line="275" w:lineRule="auto"/>
                              <w:jc w:val="both"/>
                              <w:textDirection w:val="btLr"/>
                            </w:pPr>
                            <w:r>
                              <w:rPr>
                                <w:rFonts w:eastAsia="Arial"/>
                                <w:b/>
                                <w:color w:val="001A70"/>
                                <w:sz w:val="20"/>
                              </w:rPr>
                              <w:t>About Fluidra</w:t>
                            </w:r>
                          </w:p>
                          <w:p w14:paraId="0A3CD93A" w14:textId="77777777" w:rsidR="00463FCB" w:rsidRDefault="006D4C26">
                            <w:pPr>
                              <w:spacing w:line="275" w:lineRule="auto"/>
                              <w:jc w:val="both"/>
                              <w:textDirection w:val="btLr"/>
                            </w:pPr>
                            <w:r>
                              <w:rPr>
                                <w:rFonts w:eastAsia="Arial"/>
                                <w:color w:val="001A70"/>
                                <w:sz w:val="20"/>
                              </w:rPr>
                              <w:t>Fluidra, a Spanish listed firm, is the global leader in the pool and wellness equipment business. It</w:t>
                            </w:r>
                          </w:p>
                          <w:p w14:paraId="5B663CD7" w14:textId="77777777" w:rsidR="00463FCB" w:rsidRDefault="006D4C26">
                            <w:pPr>
                              <w:spacing w:line="275" w:lineRule="auto"/>
                              <w:jc w:val="both"/>
                              <w:textDirection w:val="btLr"/>
                            </w:pPr>
                            <w:r>
                              <w:rPr>
                                <w:rFonts w:eastAsia="Arial"/>
                                <w:color w:val="001A70"/>
                                <w:sz w:val="20"/>
                              </w:rPr>
                              <w:t>provides innovative products, services and Internet of Things solutions. The company operates in</w:t>
                            </w:r>
                          </w:p>
                          <w:p w14:paraId="7C38FBD6" w14:textId="77777777" w:rsidR="00463FCB" w:rsidRDefault="006D4C26">
                            <w:pPr>
                              <w:spacing w:line="275" w:lineRule="auto"/>
                              <w:jc w:val="both"/>
                              <w:textDirection w:val="btLr"/>
                            </w:pPr>
                            <w:r>
                              <w:rPr>
                                <w:rFonts w:eastAsia="Arial"/>
                                <w:color w:val="001A70"/>
                                <w:sz w:val="20"/>
                              </w:rPr>
                              <w:t>over 45 countries and owns a portfolio of some of the industry’s most recognized and trusted brands,</w:t>
                            </w:r>
                          </w:p>
                          <w:p w14:paraId="31224AFC" w14:textId="77777777" w:rsidR="00463FCB" w:rsidRDefault="006D4C26">
                            <w:pPr>
                              <w:spacing w:line="275" w:lineRule="auto"/>
                              <w:jc w:val="both"/>
                              <w:textDirection w:val="btLr"/>
                            </w:pPr>
                            <w:r>
                              <w:rPr>
                                <w:rFonts w:eastAsia="Arial"/>
                                <w:color w:val="001A70"/>
                                <w:sz w:val="20"/>
                              </w:rPr>
                              <w:t xml:space="preserve">including </w:t>
                            </w:r>
                            <w:proofErr w:type="spellStart"/>
                            <w:r>
                              <w:rPr>
                                <w:rFonts w:eastAsia="Arial"/>
                                <w:color w:val="001A70"/>
                                <w:sz w:val="20"/>
                              </w:rPr>
                              <w:t>Jandy</w:t>
                            </w:r>
                            <w:proofErr w:type="spellEnd"/>
                            <w:r>
                              <w:rPr>
                                <w:rFonts w:eastAsia="Arial"/>
                                <w:color w:val="001A70"/>
                                <w:sz w:val="20"/>
                              </w:rPr>
                              <w:t xml:space="preserve">®, </w:t>
                            </w:r>
                            <w:proofErr w:type="spellStart"/>
                            <w:r>
                              <w:rPr>
                                <w:rFonts w:eastAsia="Arial"/>
                                <w:color w:val="001A70"/>
                                <w:sz w:val="20"/>
                              </w:rPr>
                              <w:t>AstralPool</w:t>
                            </w:r>
                            <w:proofErr w:type="spellEnd"/>
                            <w:r>
                              <w:rPr>
                                <w:rFonts w:eastAsia="Arial"/>
                                <w:color w:val="001A70"/>
                                <w:sz w:val="20"/>
                              </w:rPr>
                              <w:t xml:space="preserve">®, Polaris®, </w:t>
                            </w:r>
                            <w:proofErr w:type="spellStart"/>
                            <w:r>
                              <w:rPr>
                                <w:rFonts w:eastAsia="Arial"/>
                                <w:color w:val="001A70"/>
                                <w:sz w:val="20"/>
                              </w:rPr>
                              <w:t>Cepex</w:t>
                            </w:r>
                            <w:proofErr w:type="spellEnd"/>
                            <w:r>
                              <w:rPr>
                                <w:rFonts w:eastAsia="Arial"/>
                                <w:color w:val="001A70"/>
                                <w:sz w:val="20"/>
                              </w:rPr>
                              <w:t xml:space="preserve">®, Zodiac®, CTX Professional® and </w:t>
                            </w:r>
                            <w:proofErr w:type="spellStart"/>
                            <w:r>
                              <w:rPr>
                                <w:rFonts w:eastAsia="Arial"/>
                                <w:color w:val="001A70"/>
                                <w:sz w:val="20"/>
                              </w:rPr>
                              <w:t>Gre</w:t>
                            </w:r>
                            <w:proofErr w:type="spellEnd"/>
                            <w:r>
                              <w:rPr>
                                <w:rFonts w:eastAsia="Arial"/>
                                <w:color w:val="001A70"/>
                                <w:sz w:val="20"/>
                              </w:rPr>
                              <w:t>®.</w:t>
                            </w:r>
                          </w:p>
                          <w:p w14:paraId="0BA38456" w14:textId="77777777" w:rsidR="00463FCB" w:rsidRDefault="006D4C26">
                            <w:pPr>
                              <w:spacing w:line="275" w:lineRule="auto"/>
                              <w:jc w:val="both"/>
                              <w:textDirection w:val="btLr"/>
                            </w:pPr>
                            <w:r>
                              <w:rPr>
                                <w:rFonts w:eastAsia="Arial"/>
                                <w:color w:val="001A70"/>
                                <w:sz w:val="20"/>
                              </w:rPr>
                              <w:t>To learn more about Fluidra, visit www.fluidra.com</w:t>
                            </w:r>
                          </w:p>
                          <w:p w14:paraId="1B18821B" w14:textId="77777777" w:rsidR="00463FCB" w:rsidRDefault="00463FCB">
                            <w:pPr>
                              <w:spacing w:line="275" w:lineRule="auto"/>
                              <w:jc w:val="both"/>
                              <w:textDirection w:val="btLr"/>
                            </w:pPr>
                          </w:p>
                        </w:txbxContent>
                      </wps:txbx>
                      <wps:bodyPr spcFirstLastPara="1" wrap="square" lIns="91425" tIns="45700" rIns="91425" bIns="45700" anchor="t" anchorCtr="0">
                        <a:noAutofit/>
                      </wps:bodyPr>
                    </wps:wsp>
                  </a:graphicData>
                </a:graphic>
              </wp:inline>
            </w:drawing>
          </mc:Choice>
          <mc:Fallback>
            <w:pict>
              <v:rect id="Rectángulo 12" o:spid="_x0000_s1026" style="width:451.5pt;height:9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" fillcolor="#c6d2ef" stroked="f">
                <v:textbox inset="2.53958mm,1.2694mm,2.53958mm,1.2694mm">
                  <w:txbxContent>
                    <w:p w:rsidR="00463FCB" w:rsidRDefault="006D4C26">
                      <w:pPr>
                        <w:spacing w:line="275" w:lineRule="auto"/>
                        <w:jc w:val="both"/>
                        <w:textDirection w:val="btLr"/>
                      </w:pPr>
                      <w:r>
                        <w:rPr>
                          <w:rFonts w:eastAsia="Arial"/>
                          <w:b/>
                          <w:color w:val="001A70"/>
                          <w:sz w:val="20"/>
                        </w:rPr>
                        <w:t xml:space="preserve">About </w:t>
                      </w:r>
                      <w:proofErr w:type="spellStart"/>
                      <w:r>
                        <w:rPr>
                          <w:rFonts w:eastAsia="Arial"/>
                          <w:b/>
                          <w:color w:val="001A70"/>
                          <w:sz w:val="20"/>
                        </w:rPr>
                        <w:t>Fluidra</w:t>
                      </w:r>
                      <w:proofErr w:type="spellEnd"/>
                    </w:p>
                    <w:p w:rsidR="00463FCB" w:rsidRDefault="006D4C26">
                      <w:pPr>
                        <w:spacing w:line="275" w:lineRule="auto"/>
                        <w:jc w:val="both"/>
                        <w:textDirection w:val="btLr"/>
                      </w:pPr>
                      <w:proofErr w:type="spellStart"/>
                      <w:r>
                        <w:rPr>
                          <w:rFonts w:eastAsia="Arial"/>
                          <w:color w:val="001A70"/>
                          <w:sz w:val="20"/>
                        </w:rPr>
                        <w:t>Fluidra</w:t>
                      </w:r>
                      <w:proofErr w:type="spellEnd"/>
                      <w:r>
                        <w:rPr>
                          <w:rFonts w:eastAsia="Arial"/>
                          <w:color w:val="001A70"/>
                          <w:sz w:val="20"/>
                        </w:rPr>
                        <w:t>, a Spanish listed firm, is the global leader in the pool and wellness equipment business. It</w:t>
                      </w:r>
                    </w:p>
                    <w:p w:rsidR="00463FCB" w:rsidRDefault="006D4C26">
                      <w:pPr>
                        <w:spacing w:line="275" w:lineRule="auto"/>
                        <w:jc w:val="both"/>
                        <w:textDirection w:val="btLr"/>
                      </w:pPr>
                      <w:r>
                        <w:rPr>
                          <w:rFonts w:eastAsia="Arial"/>
                          <w:color w:val="001A70"/>
                          <w:sz w:val="20"/>
                        </w:rPr>
                        <w:t>provides innovative products, services and Internet of Things solutions. The company operates in</w:t>
                      </w:r>
                    </w:p>
                    <w:p w:rsidR="00463FCB" w:rsidRDefault="006D4C26">
                      <w:pPr>
                        <w:spacing w:line="275" w:lineRule="auto"/>
                        <w:jc w:val="both"/>
                        <w:textDirection w:val="btLr"/>
                      </w:pPr>
                      <w:r>
                        <w:rPr>
                          <w:rFonts w:eastAsia="Arial"/>
                          <w:color w:val="001A70"/>
                          <w:sz w:val="20"/>
                        </w:rPr>
                        <w:t>over 45 countries and owns a portfolio of some of the industry’s most recognized and trusted brands,</w:t>
                      </w:r>
                    </w:p>
                    <w:p w:rsidR="00463FCB" w:rsidRDefault="006D4C26">
                      <w:pPr>
                        <w:spacing w:line="275" w:lineRule="auto"/>
                        <w:jc w:val="both"/>
                        <w:textDirection w:val="btLr"/>
                      </w:pPr>
                      <w:r>
                        <w:rPr>
                          <w:rFonts w:eastAsia="Arial"/>
                          <w:color w:val="001A70"/>
                          <w:sz w:val="20"/>
                        </w:rPr>
                        <w:t xml:space="preserve">including </w:t>
                      </w:r>
                      <w:proofErr w:type="spellStart"/>
                      <w:r>
                        <w:rPr>
                          <w:rFonts w:eastAsia="Arial"/>
                          <w:color w:val="001A70"/>
                          <w:sz w:val="20"/>
                        </w:rPr>
                        <w:t>Jandy</w:t>
                      </w:r>
                      <w:proofErr w:type="spellEnd"/>
                      <w:r>
                        <w:rPr>
                          <w:rFonts w:eastAsia="Arial"/>
                          <w:color w:val="001A70"/>
                          <w:sz w:val="20"/>
                        </w:rPr>
                        <w:t xml:space="preserve">®, </w:t>
                      </w:r>
                      <w:proofErr w:type="spellStart"/>
                      <w:r>
                        <w:rPr>
                          <w:rFonts w:eastAsia="Arial"/>
                          <w:color w:val="001A70"/>
                          <w:sz w:val="20"/>
                        </w:rPr>
                        <w:t>AstralPool</w:t>
                      </w:r>
                      <w:proofErr w:type="spellEnd"/>
                      <w:r>
                        <w:rPr>
                          <w:rFonts w:eastAsia="Arial"/>
                          <w:color w:val="001A70"/>
                          <w:sz w:val="20"/>
                        </w:rPr>
                        <w:t xml:space="preserve">®, Polaris®, </w:t>
                      </w:r>
                      <w:proofErr w:type="spellStart"/>
                      <w:r>
                        <w:rPr>
                          <w:rFonts w:eastAsia="Arial"/>
                          <w:color w:val="001A70"/>
                          <w:sz w:val="20"/>
                        </w:rPr>
                        <w:t>Cepex</w:t>
                      </w:r>
                      <w:proofErr w:type="spellEnd"/>
                      <w:r>
                        <w:rPr>
                          <w:rFonts w:eastAsia="Arial"/>
                          <w:color w:val="001A70"/>
                          <w:sz w:val="20"/>
                        </w:rPr>
                        <w:t xml:space="preserve">®, Zodiac®, CTX Professional® and </w:t>
                      </w:r>
                      <w:proofErr w:type="spellStart"/>
                      <w:r>
                        <w:rPr>
                          <w:rFonts w:eastAsia="Arial"/>
                          <w:color w:val="001A70"/>
                          <w:sz w:val="20"/>
                        </w:rPr>
                        <w:t>Gre</w:t>
                      </w:r>
                      <w:proofErr w:type="spellEnd"/>
                      <w:r>
                        <w:rPr>
                          <w:rFonts w:eastAsia="Arial"/>
                          <w:color w:val="001A70"/>
                          <w:sz w:val="20"/>
                        </w:rPr>
                        <w:t>®.</w:t>
                      </w:r>
                    </w:p>
                    <w:p w:rsidR="00463FCB" w:rsidRDefault="006D4C26">
                      <w:pPr>
                        <w:spacing w:line="275" w:lineRule="auto"/>
                        <w:jc w:val="both"/>
                        <w:textDirection w:val="btLr"/>
                      </w:pPr>
                      <w:r>
                        <w:rPr>
                          <w:rFonts w:eastAsia="Arial"/>
                          <w:color w:val="001A70"/>
                          <w:sz w:val="20"/>
                        </w:rPr>
                        <w:t xml:space="preserve">To learn more about </w:t>
                      </w:r>
                      <w:proofErr w:type="spellStart"/>
                      <w:r>
                        <w:rPr>
                          <w:rFonts w:eastAsia="Arial"/>
                          <w:color w:val="001A70"/>
                          <w:sz w:val="20"/>
                        </w:rPr>
                        <w:t>Fluidra</w:t>
                      </w:r>
                      <w:proofErr w:type="spellEnd"/>
                      <w:r>
                        <w:rPr>
                          <w:rFonts w:eastAsia="Arial"/>
                          <w:color w:val="001A70"/>
                          <w:sz w:val="20"/>
                        </w:rPr>
                        <w:t>, visit www.fluidra.com</w:t>
                      </w:r>
                    </w:p>
                    <w:p w:rsidR="00463FCB" w:rsidRDefault="00463FCB">
                      <w:pPr>
                        <w:spacing w:line="275" w:lineRule="auto"/>
                        <w:jc w:val="both"/>
                        <w:textDirection w:val="btLr"/>
                      </w:pPr>
                    </w:p>
                  </w:txbxContent>
                </v:textbox>
                <w10:anchorlock/>
              </v:rect>
            </w:pict>
          </mc:Fallback>
        </mc:AlternateContent>
      </w:r>
    </w:p>
    <w:p w14:paraId="748B68DA" w14:textId="77777777" w:rsidR="00463FCB" w:rsidRDefault="00463FCB">
      <w:pPr>
        <w:widowControl w:val="0"/>
        <w:pBdr>
          <w:top w:val="nil"/>
          <w:left w:val="nil"/>
          <w:bottom w:val="nil"/>
          <w:right w:val="nil"/>
          <w:between w:val="nil"/>
        </w:pBdr>
        <w:spacing w:line="276" w:lineRule="auto"/>
        <w:rPr>
          <w:rFonts w:ascii="Tahoma" w:eastAsia="Tahoma" w:hAnsi="Tahoma" w:cs="Tahoma"/>
          <w:b/>
          <w:color w:val="001A70"/>
          <w:sz w:val="22"/>
          <w:szCs w:val="22"/>
        </w:rPr>
      </w:pPr>
    </w:p>
    <w:p w14:paraId="234266D0" w14:textId="77777777" w:rsidR="00463FCB" w:rsidRPr="00685E2A" w:rsidRDefault="006D4C26">
      <w:pPr>
        <w:widowControl w:val="0"/>
        <w:pBdr>
          <w:top w:val="nil"/>
          <w:left w:val="nil"/>
          <w:bottom w:val="nil"/>
          <w:right w:val="nil"/>
          <w:between w:val="nil"/>
        </w:pBdr>
        <w:spacing w:line="276" w:lineRule="auto"/>
        <w:ind w:firstLine="426"/>
        <w:rPr>
          <w:rFonts w:ascii="Tahoma" w:eastAsia="Tahoma" w:hAnsi="Tahoma" w:cs="Tahoma"/>
          <w:b/>
          <w:color w:val="001A70"/>
          <w:sz w:val="22"/>
          <w:szCs w:val="22"/>
          <w:lang w:val="es-ES"/>
        </w:rPr>
      </w:pPr>
      <w:r w:rsidRPr="00685E2A">
        <w:rPr>
          <w:rFonts w:ascii="Tahoma" w:eastAsia="Tahoma" w:hAnsi="Tahoma" w:cs="Tahoma"/>
          <w:b/>
          <w:color w:val="001A70"/>
          <w:sz w:val="22"/>
          <w:szCs w:val="22"/>
          <w:lang w:val="es-ES"/>
        </w:rPr>
        <w:t xml:space="preserve">Media </w:t>
      </w:r>
      <w:proofErr w:type="spellStart"/>
      <w:r w:rsidRPr="00685E2A">
        <w:rPr>
          <w:rFonts w:ascii="Tahoma" w:eastAsia="Tahoma" w:hAnsi="Tahoma" w:cs="Tahoma"/>
          <w:b/>
          <w:color w:val="001A70"/>
          <w:sz w:val="22"/>
          <w:szCs w:val="22"/>
          <w:lang w:val="es-ES"/>
        </w:rPr>
        <w:t>contact</w:t>
      </w:r>
      <w:proofErr w:type="spellEnd"/>
      <w:r w:rsidRPr="00685E2A">
        <w:rPr>
          <w:rFonts w:ascii="Tahoma" w:eastAsia="Tahoma" w:hAnsi="Tahoma" w:cs="Tahoma"/>
          <w:b/>
          <w:color w:val="001A70"/>
          <w:sz w:val="22"/>
          <w:szCs w:val="22"/>
          <w:lang w:val="es-ES"/>
        </w:rPr>
        <w:t>:</w:t>
      </w:r>
    </w:p>
    <w:p w14:paraId="456EF787" w14:textId="77777777" w:rsidR="00463FCB" w:rsidRPr="00685E2A" w:rsidRDefault="00463FCB">
      <w:pPr>
        <w:widowControl w:val="0"/>
        <w:pBdr>
          <w:top w:val="nil"/>
          <w:left w:val="nil"/>
          <w:bottom w:val="nil"/>
          <w:right w:val="nil"/>
          <w:between w:val="nil"/>
        </w:pBdr>
        <w:spacing w:line="276" w:lineRule="auto"/>
        <w:rPr>
          <w:rFonts w:ascii="Praktika" w:eastAsia="Praktika" w:hAnsi="Praktika" w:cs="Praktika"/>
          <w:color w:val="000000"/>
          <w:sz w:val="19"/>
          <w:szCs w:val="19"/>
          <w:lang w:val="es-ES"/>
        </w:rPr>
      </w:pPr>
    </w:p>
    <w:p w14:paraId="4D1AD833" w14:textId="77777777" w:rsidR="00463FCB" w:rsidRPr="00685E2A" w:rsidRDefault="006D4C26">
      <w:pPr>
        <w:widowControl w:val="0"/>
        <w:pBdr>
          <w:top w:val="nil"/>
          <w:left w:val="nil"/>
          <w:bottom w:val="nil"/>
          <w:right w:val="nil"/>
          <w:between w:val="nil"/>
        </w:pBdr>
        <w:spacing w:line="276" w:lineRule="auto"/>
        <w:ind w:firstLine="426"/>
        <w:rPr>
          <w:rFonts w:ascii="Tahoma" w:eastAsia="Tahoma" w:hAnsi="Tahoma" w:cs="Tahoma"/>
          <w:b/>
          <w:color w:val="001A70"/>
          <w:sz w:val="22"/>
          <w:szCs w:val="22"/>
          <w:lang w:val="es-ES"/>
        </w:rPr>
      </w:pPr>
      <w:r w:rsidRPr="00685E2A">
        <w:rPr>
          <w:rFonts w:ascii="Tahoma" w:eastAsia="Tahoma" w:hAnsi="Tahoma" w:cs="Tahoma"/>
          <w:b/>
          <w:color w:val="001A70"/>
          <w:sz w:val="22"/>
          <w:szCs w:val="22"/>
          <w:lang w:val="es-ES"/>
        </w:rPr>
        <w:t>Sarah Estébanez, sestebanez@tinkle.es</w:t>
      </w:r>
      <w:r w:rsidRPr="00685E2A">
        <w:rPr>
          <w:rFonts w:ascii="Praktika" w:eastAsia="Praktika" w:hAnsi="Praktika" w:cs="Praktika"/>
          <w:color w:val="000000"/>
          <w:sz w:val="19"/>
          <w:szCs w:val="19"/>
          <w:lang w:val="es-ES"/>
        </w:rPr>
        <w:t xml:space="preserve">, </w:t>
      </w:r>
      <w:r w:rsidRPr="00685E2A">
        <w:rPr>
          <w:rFonts w:ascii="Tahoma" w:eastAsia="Tahoma" w:hAnsi="Tahoma" w:cs="Tahoma"/>
          <w:b/>
          <w:color w:val="001A70"/>
          <w:sz w:val="22"/>
          <w:szCs w:val="22"/>
          <w:lang w:val="es-ES"/>
        </w:rPr>
        <w:t>+34 636 62 80 41</w:t>
      </w:r>
    </w:p>
    <w:p w14:paraId="19E4F46C" w14:textId="77777777" w:rsidR="00463FCB" w:rsidRPr="00685E2A" w:rsidRDefault="006D4C26">
      <w:pPr>
        <w:widowControl w:val="0"/>
        <w:pBdr>
          <w:top w:val="nil"/>
          <w:left w:val="nil"/>
          <w:bottom w:val="nil"/>
          <w:right w:val="nil"/>
          <w:between w:val="nil"/>
        </w:pBdr>
        <w:spacing w:line="276" w:lineRule="auto"/>
        <w:ind w:firstLine="426"/>
        <w:rPr>
          <w:rFonts w:ascii="Tahoma" w:eastAsia="Tahoma" w:hAnsi="Tahoma" w:cs="Tahoma"/>
          <w:b/>
          <w:color w:val="001A70"/>
          <w:sz w:val="22"/>
          <w:szCs w:val="22"/>
          <w:lang w:val="es-ES"/>
        </w:rPr>
      </w:pPr>
      <w:r w:rsidRPr="00685E2A">
        <w:rPr>
          <w:rFonts w:ascii="Tahoma" w:eastAsia="Tahoma" w:hAnsi="Tahoma" w:cs="Tahoma"/>
          <w:b/>
          <w:color w:val="001A70"/>
          <w:sz w:val="22"/>
          <w:szCs w:val="22"/>
          <w:lang w:val="es-ES"/>
        </w:rPr>
        <w:t xml:space="preserve">Xana Pena, </w:t>
      </w:r>
      <w:hyperlink r:id="rId8">
        <w:r w:rsidRPr="00685E2A">
          <w:rPr>
            <w:rFonts w:ascii="Tahoma" w:eastAsia="Tahoma" w:hAnsi="Tahoma" w:cs="Tahoma"/>
            <w:b/>
            <w:color w:val="0563C1"/>
            <w:sz w:val="22"/>
            <w:szCs w:val="22"/>
            <w:u w:val="single"/>
            <w:lang w:val="es-ES"/>
          </w:rPr>
          <w:t>xpena@tinkle.es</w:t>
        </w:r>
      </w:hyperlink>
      <w:r w:rsidRPr="00685E2A">
        <w:rPr>
          <w:rFonts w:ascii="Tahoma" w:eastAsia="Tahoma" w:hAnsi="Tahoma" w:cs="Tahoma"/>
          <w:b/>
          <w:color w:val="001A70"/>
          <w:sz w:val="22"/>
          <w:szCs w:val="22"/>
          <w:lang w:val="es-ES"/>
        </w:rPr>
        <w:t>, +34 674 73 47 82</w:t>
      </w:r>
    </w:p>
    <w:p w14:paraId="7F81892E" w14:textId="77777777" w:rsidR="00463FCB" w:rsidRPr="00685E2A" w:rsidRDefault="006D4C26">
      <w:pPr>
        <w:widowControl w:val="0"/>
        <w:pBdr>
          <w:top w:val="nil"/>
          <w:left w:val="nil"/>
          <w:bottom w:val="nil"/>
          <w:right w:val="nil"/>
          <w:between w:val="nil"/>
        </w:pBdr>
        <w:spacing w:line="276" w:lineRule="auto"/>
        <w:ind w:firstLine="426"/>
        <w:rPr>
          <w:rFonts w:ascii="Tahoma" w:eastAsia="Tahoma" w:hAnsi="Tahoma" w:cs="Tahoma"/>
          <w:b/>
          <w:color w:val="001A70"/>
          <w:sz w:val="22"/>
          <w:szCs w:val="22"/>
          <w:lang w:val="es-ES"/>
        </w:rPr>
      </w:pPr>
      <w:r w:rsidRPr="00685E2A">
        <w:rPr>
          <w:rFonts w:ascii="Tahoma" w:eastAsia="Tahoma" w:hAnsi="Tahoma" w:cs="Tahoma"/>
          <w:b/>
          <w:color w:val="001A70"/>
          <w:sz w:val="22"/>
          <w:szCs w:val="22"/>
          <w:lang w:val="es-ES"/>
        </w:rPr>
        <w:t xml:space="preserve">Laura Gil, </w:t>
      </w:r>
      <w:hyperlink r:id="rId9">
        <w:r w:rsidRPr="00685E2A">
          <w:rPr>
            <w:rFonts w:ascii="Tahoma" w:eastAsia="Tahoma" w:hAnsi="Tahoma" w:cs="Tahoma"/>
            <w:b/>
            <w:color w:val="0563C1"/>
            <w:sz w:val="22"/>
            <w:szCs w:val="22"/>
            <w:u w:val="single"/>
            <w:lang w:val="es-ES"/>
          </w:rPr>
          <w:t>lgil@tinkle.es</w:t>
        </w:r>
      </w:hyperlink>
      <w:r w:rsidRPr="00685E2A">
        <w:rPr>
          <w:rFonts w:ascii="Tahoma" w:eastAsia="Tahoma" w:hAnsi="Tahoma" w:cs="Tahoma"/>
          <w:b/>
          <w:color w:val="001A70"/>
          <w:sz w:val="22"/>
          <w:szCs w:val="22"/>
          <w:lang w:val="es-ES"/>
        </w:rPr>
        <w:t>, +34 673 631 814</w:t>
      </w:r>
    </w:p>
    <w:sectPr w:rsidR="00463FCB" w:rsidRPr="00685E2A">
      <w:headerReference w:type="default" r:id="rId10"/>
      <w:footerReference w:type="default" r:id="rId11"/>
      <w:headerReference w:type="first" r:id="rId12"/>
      <w:footerReference w:type="first" r:id="rId13"/>
      <w:pgSz w:w="11906" w:h="16838"/>
      <w:pgMar w:top="1701" w:right="1418" w:bottom="1701" w:left="175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006A00" w14:textId="77777777" w:rsidR="00035FA3" w:rsidRDefault="00035FA3">
      <w:r>
        <w:separator/>
      </w:r>
    </w:p>
  </w:endnote>
  <w:endnote w:type="continuationSeparator" w:id="0">
    <w:p w14:paraId="0F946268" w14:textId="77777777" w:rsidR="00035FA3" w:rsidRDefault="00035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raktika">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8A8AF6" w14:textId="77777777" w:rsidR="00463FCB" w:rsidRDefault="006D4C26">
    <w:pPr>
      <w:pBdr>
        <w:top w:val="nil"/>
        <w:left w:val="nil"/>
        <w:bottom w:val="nil"/>
        <w:right w:val="nil"/>
        <w:between w:val="nil"/>
      </w:pBdr>
      <w:tabs>
        <w:tab w:val="center" w:pos="4252"/>
        <w:tab w:val="right" w:pos="8504"/>
        <w:tab w:val="right" w:pos="5965"/>
      </w:tabs>
      <w:rPr>
        <w:rFonts w:eastAsia="Arial"/>
      </w:rPr>
    </w:pPr>
    <w:r>
      <w:rPr>
        <w:rFonts w:eastAsia="Arial"/>
      </w:rPr>
      <w:tab/>
    </w:r>
    <w:r>
      <w:rPr>
        <w:noProof/>
        <w:lang w:val="es-ES"/>
      </w:rPr>
      <w:drawing>
        <wp:anchor distT="0" distB="0" distL="0" distR="0" simplePos="0" relativeHeight="251660288" behindDoc="0" locked="0" layoutInCell="1" hidden="0" allowOverlap="1" wp14:anchorId="1E263A44" wp14:editId="3B95F8CD">
          <wp:simplePos x="0" y="0"/>
          <wp:positionH relativeFrom="column">
            <wp:posOffset>2041525</wp:posOffset>
          </wp:positionH>
          <wp:positionV relativeFrom="paragraph">
            <wp:posOffset>0</wp:posOffset>
          </wp:positionV>
          <wp:extent cx="4069715" cy="196215"/>
          <wp:effectExtent l="0" t="0" r="0" b="0"/>
          <wp:wrapSquare wrapText="bothSides" distT="0" distB="0" distL="0" distR="0"/>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069715" cy="196215"/>
                  </a:xfrm>
                  <a:prstGeom prst="rect">
                    <a:avLst/>
                  </a:prstGeom>
                  <a:ln/>
                </pic:spPr>
              </pic:pic>
            </a:graphicData>
          </a:graphic>
        </wp:anchor>
      </w:drawing>
    </w:r>
    <w:r>
      <w:rPr>
        <w:noProof/>
        <w:lang w:val="es-ES"/>
      </w:rPr>
      <w:drawing>
        <wp:anchor distT="0" distB="0" distL="114300" distR="114300" simplePos="0" relativeHeight="251661312" behindDoc="0" locked="0" layoutInCell="1" hidden="0" allowOverlap="1" wp14:anchorId="0376AFDC" wp14:editId="7B454729">
          <wp:simplePos x="0" y="0"/>
          <wp:positionH relativeFrom="column">
            <wp:posOffset>-1104899</wp:posOffset>
          </wp:positionH>
          <wp:positionV relativeFrom="paragraph">
            <wp:posOffset>-24129</wp:posOffset>
          </wp:positionV>
          <wp:extent cx="2746375" cy="618490"/>
          <wp:effectExtent l="0" t="0" r="0" b="0"/>
          <wp:wrapSquare wrapText="bothSides" distT="0" distB="0" distL="114300" distR="114300"/>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8108" b="46297"/>
                  <a:stretch>
                    <a:fillRect/>
                  </a:stretch>
                </pic:blipFill>
                <pic:spPr>
                  <a:xfrm>
                    <a:off x="0" y="0"/>
                    <a:ext cx="2746375" cy="618490"/>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E9AF9" w14:textId="77777777" w:rsidR="00463FCB" w:rsidRDefault="006D4C26">
    <w:pPr>
      <w:pBdr>
        <w:top w:val="nil"/>
        <w:left w:val="nil"/>
        <w:bottom w:val="nil"/>
        <w:right w:val="nil"/>
        <w:between w:val="nil"/>
      </w:pBdr>
      <w:tabs>
        <w:tab w:val="center" w:pos="4252"/>
        <w:tab w:val="right" w:pos="8504"/>
      </w:tabs>
      <w:rPr>
        <w:rFonts w:eastAsia="Arial"/>
      </w:rPr>
    </w:pPr>
    <w:r>
      <w:rPr>
        <w:rFonts w:eastAsia="Arial"/>
      </w:rPr>
      <w:t xml:space="preserve"> </w:t>
    </w:r>
    <w:r>
      <w:rPr>
        <w:noProof/>
        <w:lang w:val="es-ES"/>
      </w:rPr>
      <w:drawing>
        <wp:anchor distT="0" distB="0" distL="0" distR="0" simplePos="0" relativeHeight="251662336" behindDoc="0" locked="0" layoutInCell="1" hidden="0" allowOverlap="1" wp14:anchorId="0F3CAB31" wp14:editId="25802209">
          <wp:simplePos x="0" y="0"/>
          <wp:positionH relativeFrom="column">
            <wp:posOffset>2041314</wp:posOffset>
          </wp:positionH>
          <wp:positionV relativeFrom="paragraph">
            <wp:posOffset>8466</wp:posOffset>
          </wp:positionV>
          <wp:extent cx="4069715" cy="196215"/>
          <wp:effectExtent l="0" t="0" r="0" b="0"/>
          <wp:wrapSquare wrapText="bothSides" distT="0" distB="0" distL="0" distR="0"/>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069715" cy="196215"/>
                  </a:xfrm>
                  <a:prstGeom prst="rect">
                    <a:avLst/>
                  </a:prstGeom>
                  <a:ln/>
                </pic:spPr>
              </pic:pic>
            </a:graphicData>
          </a:graphic>
        </wp:anchor>
      </w:drawing>
    </w:r>
    <w:r>
      <w:rPr>
        <w:noProof/>
        <w:lang w:val="es-ES"/>
      </w:rPr>
      <w:drawing>
        <wp:anchor distT="0" distB="0" distL="114300" distR="114300" simplePos="0" relativeHeight="251663360" behindDoc="0" locked="0" layoutInCell="1" hidden="0" allowOverlap="1" wp14:anchorId="3FA685B1" wp14:editId="7263A9A5">
          <wp:simplePos x="0" y="0"/>
          <wp:positionH relativeFrom="column">
            <wp:posOffset>-1116329</wp:posOffset>
          </wp:positionH>
          <wp:positionV relativeFrom="paragraph">
            <wp:posOffset>-30479</wp:posOffset>
          </wp:positionV>
          <wp:extent cx="2746375" cy="618490"/>
          <wp:effectExtent l="0" t="0" r="0" b="0"/>
          <wp:wrapSquare wrapText="bothSides" distT="0" distB="0" distL="114300" distR="11430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8108" b="46297"/>
                  <a:stretch>
                    <a:fillRect/>
                  </a:stretch>
                </pic:blipFill>
                <pic:spPr>
                  <a:xfrm>
                    <a:off x="0" y="0"/>
                    <a:ext cx="2746375" cy="61849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CE43B9" w14:textId="77777777" w:rsidR="00035FA3" w:rsidRDefault="00035FA3">
      <w:r>
        <w:separator/>
      </w:r>
    </w:p>
  </w:footnote>
  <w:footnote w:type="continuationSeparator" w:id="0">
    <w:p w14:paraId="2562439E" w14:textId="77777777" w:rsidR="00035FA3" w:rsidRDefault="00035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131E2" w14:textId="77777777" w:rsidR="00463FCB" w:rsidRDefault="006D4C26">
    <w:pPr>
      <w:jc w:val="right"/>
      <w:rPr>
        <w:rFonts w:ascii="Tahoma" w:eastAsia="Tahoma" w:hAnsi="Tahoma" w:cs="Tahoma"/>
        <w:b/>
        <w:color w:val="001A70"/>
        <w:sz w:val="18"/>
        <w:szCs w:val="18"/>
      </w:rPr>
    </w:pPr>
    <w:r>
      <w:rPr>
        <w:noProof/>
        <w:lang w:val="es-ES"/>
      </w:rPr>
      <w:drawing>
        <wp:anchor distT="0" distB="0" distL="114300" distR="114300" simplePos="0" relativeHeight="251658240" behindDoc="0" locked="0" layoutInCell="1" hidden="0" allowOverlap="1" wp14:anchorId="2563358C" wp14:editId="6A0A09C8">
          <wp:simplePos x="0" y="0"/>
          <wp:positionH relativeFrom="column">
            <wp:posOffset>-541654</wp:posOffset>
          </wp:positionH>
          <wp:positionV relativeFrom="paragraph">
            <wp:posOffset>32385</wp:posOffset>
          </wp:positionV>
          <wp:extent cx="1520825" cy="151130"/>
          <wp:effectExtent l="0" t="0" r="0" b="0"/>
          <wp:wrapSquare wrapText="bothSides" distT="0" distB="0" distL="114300" distR="114300"/>
          <wp:docPr id="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520825" cy="151130"/>
                  </a:xfrm>
                  <a:prstGeom prst="rect">
                    <a:avLst/>
                  </a:prstGeom>
                  <a:ln/>
                </pic:spPr>
              </pic:pic>
            </a:graphicData>
          </a:graphic>
        </wp:anchor>
      </w:drawing>
    </w:r>
  </w:p>
  <w:p w14:paraId="1EC35510" w14:textId="77777777" w:rsidR="00463FCB" w:rsidRDefault="00463FCB">
    <w:pPr>
      <w:pBdr>
        <w:top w:val="nil"/>
        <w:left w:val="nil"/>
        <w:bottom w:val="nil"/>
        <w:right w:val="nil"/>
        <w:between w:val="nil"/>
      </w:pBdr>
      <w:tabs>
        <w:tab w:val="center" w:pos="4252"/>
        <w:tab w:val="right" w:pos="8504"/>
      </w:tabs>
      <w:rPr>
        <w:rFonts w:eastAsia="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739BE" w14:textId="77777777" w:rsidR="00463FCB" w:rsidRDefault="006D4C26">
    <w:pPr>
      <w:pBdr>
        <w:top w:val="nil"/>
        <w:left w:val="nil"/>
        <w:bottom w:val="nil"/>
        <w:right w:val="nil"/>
        <w:between w:val="nil"/>
      </w:pBdr>
      <w:tabs>
        <w:tab w:val="center" w:pos="4252"/>
        <w:tab w:val="right" w:pos="8504"/>
      </w:tabs>
      <w:jc w:val="right"/>
      <w:rPr>
        <w:rFonts w:eastAsia="Arial"/>
      </w:rPr>
    </w:pPr>
    <w:r>
      <w:rPr>
        <w:rFonts w:ascii="Tahoma" w:eastAsia="Tahoma" w:hAnsi="Tahoma" w:cs="Tahoma"/>
        <w:b/>
        <w:color w:val="001A70"/>
        <w:sz w:val="18"/>
        <w:szCs w:val="18"/>
      </w:rPr>
      <w:t>www.fluidra.com</w:t>
    </w:r>
    <w:r>
      <w:rPr>
        <w:rFonts w:eastAsia="Arial"/>
      </w:rPr>
      <w:t xml:space="preserve"> </w:t>
    </w:r>
    <w:r>
      <w:rPr>
        <w:noProof/>
        <w:lang w:val="es-ES"/>
      </w:rPr>
      <w:drawing>
        <wp:anchor distT="0" distB="0" distL="114300" distR="114300" simplePos="0" relativeHeight="251659264" behindDoc="0" locked="0" layoutInCell="1" hidden="0" allowOverlap="1" wp14:anchorId="2BC7F199" wp14:editId="308C3E3E">
          <wp:simplePos x="0" y="0"/>
          <wp:positionH relativeFrom="column">
            <wp:posOffset>-565784</wp:posOffset>
          </wp:positionH>
          <wp:positionV relativeFrom="paragraph">
            <wp:posOffset>54398</wp:posOffset>
          </wp:positionV>
          <wp:extent cx="1520825" cy="151130"/>
          <wp:effectExtent l="0" t="0" r="0" b="0"/>
          <wp:wrapSquare wrapText="bothSides" distT="0" distB="0" distL="114300" distR="114300"/>
          <wp:docPr id="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520825" cy="15113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D1E3F"/>
    <w:multiLevelType w:val="multilevel"/>
    <w:tmpl w:val="3CC4B618"/>
    <w:lvl w:ilvl="0">
      <w:start w:val="1"/>
      <w:numFmt w:val="bullet"/>
      <w:lvlText w:val="•"/>
      <w:lvlJc w:val="left"/>
      <w:pPr>
        <w:ind w:left="720" w:hanging="360"/>
      </w:pPr>
      <w:rPr>
        <w:rFonts w:ascii="Tahoma" w:eastAsia="Tahoma" w:hAnsi="Tahoma" w:cs="Tahom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FCB"/>
    <w:rsid w:val="00035FA3"/>
    <w:rsid w:val="00257F7E"/>
    <w:rsid w:val="00463FCB"/>
    <w:rsid w:val="00566DC3"/>
    <w:rsid w:val="00685E2A"/>
    <w:rsid w:val="006C3962"/>
    <w:rsid w:val="006D4C26"/>
    <w:rsid w:val="00820D36"/>
    <w:rsid w:val="00916209"/>
    <w:rsid w:val="00E95BFD"/>
    <w:rsid w:val="00F62E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CD77C"/>
  <w15:docId w15:val="{46E7FC66-BC39-401A-B2C5-9C84D4E4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31F73"/>
        <w:sz w:val="24"/>
        <w:szCs w:val="24"/>
        <w:lang w:val="en-GB"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2A6"/>
    <w:rPr>
      <w:rFonts w:eastAsia="Times New Roman"/>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0112A6"/>
    <w:pPr>
      <w:tabs>
        <w:tab w:val="center" w:pos="4252"/>
        <w:tab w:val="right" w:pos="8504"/>
      </w:tabs>
    </w:pPr>
  </w:style>
  <w:style w:type="character" w:customStyle="1" w:styleId="EncabezadoCar">
    <w:name w:val="Encabezado Car"/>
    <w:basedOn w:val="Fuentedeprrafopredeter"/>
    <w:link w:val="Encabezado"/>
    <w:uiPriority w:val="99"/>
    <w:rsid w:val="000112A6"/>
  </w:style>
  <w:style w:type="paragraph" w:styleId="Piedepgina">
    <w:name w:val="footer"/>
    <w:basedOn w:val="Normal"/>
    <w:link w:val="PiedepginaCar"/>
    <w:uiPriority w:val="99"/>
    <w:unhideWhenUsed/>
    <w:rsid w:val="000112A6"/>
    <w:pPr>
      <w:tabs>
        <w:tab w:val="center" w:pos="4252"/>
        <w:tab w:val="right" w:pos="8504"/>
      </w:tabs>
    </w:pPr>
  </w:style>
  <w:style w:type="character" w:customStyle="1" w:styleId="PiedepginaCar">
    <w:name w:val="Pie de página Car"/>
    <w:basedOn w:val="Fuentedeprrafopredeter"/>
    <w:link w:val="Piedepgina"/>
    <w:uiPriority w:val="99"/>
    <w:rsid w:val="000112A6"/>
  </w:style>
  <w:style w:type="paragraph" w:styleId="Textodeglobo">
    <w:name w:val="Balloon Text"/>
    <w:basedOn w:val="Normal"/>
    <w:link w:val="TextodegloboCar"/>
    <w:uiPriority w:val="99"/>
    <w:semiHidden/>
    <w:unhideWhenUsed/>
    <w:rsid w:val="000112A6"/>
    <w:rPr>
      <w:rFonts w:ascii="Tahoma" w:eastAsia="Calibri" w:hAnsi="Tahoma"/>
      <w:color w:val="auto"/>
      <w:sz w:val="16"/>
      <w:szCs w:val="16"/>
    </w:rPr>
  </w:style>
  <w:style w:type="character" w:customStyle="1" w:styleId="TextodegloboCar">
    <w:name w:val="Texto de globo Car"/>
    <w:link w:val="Textodeglobo"/>
    <w:uiPriority w:val="99"/>
    <w:semiHidden/>
    <w:rsid w:val="000112A6"/>
    <w:rPr>
      <w:rFonts w:ascii="Tahoma" w:hAnsi="Tahoma" w:cs="Tahoma"/>
      <w:sz w:val="16"/>
      <w:szCs w:val="16"/>
    </w:rPr>
  </w:style>
  <w:style w:type="paragraph" w:styleId="Prrafodelista">
    <w:name w:val="List Paragraph"/>
    <w:basedOn w:val="Normal"/>
    <w:qFormat/>
    <w:rsid w:val="000112A6"/>
    <w:pPr>
      <w:ind w:left="708"/>
    </w:pPr>
  </w:style>
  <w:style w:type="character" w:styleId="Hipervnculo">
    <w:name w:val="Hyperlink"/>
    <w:basedOn w:val="Fuentedeprrafopredeter"/>
    <w:uiPriority w:val="99"/>
    <w:unhideWhenUsed/>
    <w:rsid w:val="00FF0C32"/>
    <w:rPr>
      <w:color w:val="0563C1" w:themeColor="hyperlink"/>
      <w:u w:val="single"/>
    </w:rPr>
  </w:style>
  <w:style w:type="character" w:customStyle="1" w:styleId="Mencinsinresolver1">
    <w:name w:val="Mención sin resolver1"/>
    <w:basedOn w:val="Fuentedeprrafopredeter"/>
    <w:uiPriority w:val="99"/>
    <w:semiHidden/>
    <w:unhideWhenUsed/>
    <w:rsid w:val="00FF0C32"/>
    <w:rPr>
      <w:color w:val="808080"/>
      <w:shd w:val="clear" w:color="auto" w:fill="E6E6E6"/>
    </w:rPr>
  </w:style>
  <w:style w:type="character" w:styleId="Hipervnculovisitado">
    <w:name w:val="FollowedHyperlink"/>
    <w:basedOn w:val="Fuentedeprrafopredeter"/>
    <w:uiPriority w:val="99"/>
    <w:semiHidden/>
    <w:unhideWhenUsed/>
    <w:rsid w:val="00FF0C32"/>
    <w:rPr>
      <w:color w:val="954F72" w:themeColor="followedHyperlink"/>
      <w:u w:val="single"/>
    </w:rPr>
  </w:style>
  <w:style w:type="paragraph" w:styleId="Textoindependiente">
    <w:name w:val="Body Text"/>
    <w:basedOn w:val="Normal"/>
    <w:link w:val="TextoindependienteCar"/>
    <w:uiPriority w:val="1"/>
    <w:qFormat/>
    <w:rsid w:val="00A6005C"/>
    <w:pPr>
      <w:widowControl w:val="0"/>
    </w:pPr>
    <w:rPr>
      <w:rFonts w:ascii="Praktika" w:eastAsia="Praktika" w:hAnsi="Praktika" w:cs="Praktika"/>
      <w:color w:val="auto"/>
      <w:sz w:val="19"/>
      <w:szCs w:val="19"/>
      <w:lang w:bidi="es-ES"/>
    </w:rPr>
  </w:style>
  <w:style w:type="character" w:customStyle="1" w:styleId="TextoindependienteCar">
    <w:name w:val="Texto independiente Car"/>
    <w:basedOn w:val="Fuentedeprrafopredeter"/>
    <w:link w:val="Textoindependiente"/>
    <w:uiPriority w:val="1"/>
    <w:rsid w:val="00A6005C"/>
    <w:rPr>
      <w:rFonts w:ascii="Praktika" w:eastAsia="Praktika" w:hAnsi="Praktika" w:cs="Praktika"/>
      <w:sz w:val="19"/>
      <w:szCs w:val="19"/>
      <w:lang w:bidi="es-ES"/>
    </w:rPr>
  </w:style>
  <w:style w:type="character" w:styleId="Refdecomentario">
    <w:name w:val="annotation reference"/>
    <w:basedOn w:val="Fuentedeprrafopredeter"/>
    <w:uiPriority w:val="99"/>
    <w:semiHidden/>
    <w:unhideWhenUsed/>
    <w:rsid w:val="00EB5831"/>
    <w:rPr>
      <w:sz w:val="16"/>
      <w:szCs w:val="16"/>
    </w:rPr>
  </w:style>
  <w:style w:type="paragraph" w:styleId="Textocomentario">
    <w:name w:val="annotation text"/>
    <w:basedOn w:val="Normal"/>
    <w:link w:val="TextocomentarioCar"/>
    <w:uiPriority w:val="99"/>
    <w:semiHidden/>
    <w:unhideWhenUsed/>
    <w:rsid w:val="00EB5831"/>
    <w:rPr>
      <w:sz w:val="20"/>
      <w:szCs w:val="20"/>
    </w:rPr>
  </w:style>
  <w:style w:type="character" w:customStyle="1" w:styleId="TextocomentarioCar">
    <w:name w:val="Texto comentario Car"/>
    <w:basedOn w:val="Fuentedeprrafopredeter"/>
    <w:link w:val="Textocomentario"/>
    <w:uiPriority w:val="99"/>
    <w:semiHidden/>
    <w:rsid w:val="00EB5831"/>
    <w:rPr>
      <w:rFonts w:ascii="Arial" w:eastAsia="Times New Roman" w:hAnsi="Arial"/>
      <w:color w:val="031F73"/>
    </w:rPr>
  </w:style>
  <w:style w:type="paragraph" w:styleId="Asuntodelcomentario">
    <w:name w:val="annotation subject"/>
    <w:basedOn w:val="Textocomentario"/>
    <w:next w:val="Textocomentario"/>
    <w:link w:val="AsuntodelcomentarioCar"/>
    <w:uiPriority w:val="99"/>
    <w:semiHidden/>
    <w:unhideWhenUsed/>
    <w:rsid w:val="00EB5831"/>
    <w:rPr>
      <w:b/>
      <w:bCs/>
    </w:rPr>
  </w:style>
  <w:style w:type="character" w:customStyle="1" w:styleId="AsuntodelcomentarioCar">
    <w:name w:val="Asunto del comentario Car"/>
    <w:basedOn w:val="TextocomentarioCar"/>
    <w:link w:val="Asuntodelcomentario"/>
    <w:uiPriority w:val="99"/>
    <w:semiHidden/>
    <w:rsid w:val="00EB5831"/>
    <w:rPr>
      <w:rFonts w:ascii="Arial" w:eastAsia="Times New Roman" w:hAnsi="Arial"/>
      <w:b/>
      <w:bCs/>
      <w:color w:val="031F73"/>
    </w:rPr>
  </w:style>
  <w:style w:type="character" w:styleId="Textoennegrita">
    <w:name w:val="Strong"/>
    <w:basedOn w:val="Fuentedeprrafopredeter"/>
    <w:uiPriority w:val="22"/>
    <w:qFormat/>
    <w:rsid w:val="00FC1B48"/>
    <w:rPr>
      <w:b/>
      <w:bCs/>
    </w:rPr>
  </w:style>
  <w:style w:type="paragraph" w:customStyle="1" w:styleId="Cos">
    <w:name w:val="Cos"/>
    <w:rsid w:val="00DE7421"/>
    <w:pPr>
      <w:pBdr>
        <w:top w:val="nil"/>
        <w:left w:val="nil"/>
        <w:bottom w:val="nil"/>
        <w:right w:val="nil"/>
        <w:between w:val="nil"/>
        <w:bar w:val="nil"/>
      </w:pBdr>
    </w:pPr>
    <w:rPr>
      <w:rFonts w:eastAsia="Arial Unicode MS" w:cs="Arial Unicode MS"/>
      <w:u w:color="031F73"/>
      <w:bdr w:val="nil"/>
    </w:rPr>
  </w:style>
  <w:style w:type="character" w:customStyle="1" w:styleId="Mencinsinresolver2">
    <w:name w:val="Mención sin resolver2"/>
    <w:basedOn w:val="Fuentedeprrafopredeter"/>
    <w:uiPriority w:val="99"/>
    <w:semiHidden/>
    <w:unhideWhenUsed/>
    <w:rsid w:val="000C692D"/>
    <w:rPr>
      <w:color w:val="605E5C"/>
      <w:shd w:val="clear" w:color="auto" w:fill="E1DFDD"/>
    </w:rPr>
  </w:style>
  <w:style w:type="paragraph" w:customStyle="1" w:styleId="Default">
    <w:name w:val="Default"/>
    <w:rsid w:val="008276C5"/>
    <w:pPr>
      <w:autoSpaceDE w:val="0"/>
      <w:autoSpaceDN w:val="0"/>
      <w:adjustRightInd w:val="0"/>
    </w:pPr>
    <w:rPr>
      <w:rFonts w:ascii="Tahoma" w:hAnsi="Tahoma" w:cs="Tahoma"/>
      <w:color w:val="000000"/>
    </w:rPr>
  </w:style>
  <w:style w:type="paragraph" w:styleId="HTMLconformatoprevio">
    <w:name w:val="HTML Preformatted"/>
    <w:basedOn w:val="Normal"/>
    <w:link w:val="HTMLconformatoprevioCar"/>
    <w:uiPriority w:val="99"/>
    <w:semiHidden/>
    <w:unhideWhenUsed/>
    <w:rsid w:val="00522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lang w:eastAsia="en-GB"/>
    </w:rPr>
  </w:style>
  <w:style w:type="character" w:customStyle="1" w:styleId="HTMLconformatoprevioCar">
    <w:name w:val="HTML con formato previo Car"/>
    <w:basedOn w:val="Fuentedeprrafopredeter"/>
    <w:link w:val="HTMLconformatoprevio"/>
    <w:uiPriority w:val="99"/>
    <w:semiHidden/>
    <w:rsid w:val="00522D51"/>
    <w:rPr>
      <w:rFonts w:ascii="Courier New" w:eastAsia="Times New Roman" w:hAnsi="Courier New" w:cs="Courier New"/>
      <w:lang w:val="en-GB" w:eastAsia="en-GB"/>
    </w:rPr>
  </w:style>
  <w:style w:type="paragraph" w:styleId="Revisin">
    <w:name w:val="Revision"/>
    <w:hidden/>
    <w:uiPriority w:val="99"/>
    <w:semiHidden/>
    <w:rsid w:val="00AE1950"/>
    <w:rPr>
      <w:rFonts w:eastAsia="Times New Roman"/>
    </w:rPr>
  </w:style>
  <w:style w:type="paragraph" w:styleId="NormalWeb">
    <w:name w:val="Normal (Web)"/>
    <w:basedOn w:val="Normal"/>
    <w:uiPriority w:val="99"/>
    <w:semiHidden/>
    <w:unhideWhenUsed/>
    <w:rsid w:val="00232E85"/>
    <w:pPr>
      <w:spacing w:before="100" w:beforeAutospacing="1" w:after="100" w:afterAutospacing="1"/>
    </w:pPr>
    <w:rPr>
      <w:rFonts w:ascii="Times New Roman" w:hAnsi="Times New Roman"/>
      <w:color w:val="auto"/>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xpena@tinkle.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gil@tinkle.e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lgVby2EBLsG14iN/EcjXjtXTbw==">AMUW2mXDyd1b0qB+OW8/0He+8vh08GEe+uaQjU+d+LVViykHiqL3glJniUU4Cc6puJ5miXLNWc0dDcZXA8Pk+RafPivLSTupMewH+A1y0yIirVm0Hc/aoPHRuwLUj+AZoly1NLz3M/VA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617</Words>
  <Characters>3394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Ester Segarra</dc:creator>
  <cp:lastModifiedBy>Xana Pena Rivas</cp:lastModifiedBy>
  <cp:revision>3</cp:revision>
  <dcterms:created xsi:type="dcterms:W3CDTF">2020-10-27T14:32:00Z</dcterms:created>
  <dcterms:modified xsi:type="dcterms:W3CDTF">2020-10-27T15:01:00Z</dcterms:modified>
</cp:coreProperties>
</file>