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1B83" w14:textId="00F091A3" w:rsidR="00EA0B6C" w:rsidRPr="00EA0B6C" w:rsidRDefault="00EA0B6C" w:rsidP="00EA0B6C">
      <w:pPr>
        <w:ind w:left="0"/>
        <w:jc w:val="center"/>
        <w:rPr>
          <w:b/>
          <w:bCs/>
        </w:rPr>
      </w:pPr>
      <w:r w:rsidRPr="00EA0B6C">
        <w:rPr>
          <w:b/>
          <w:bCs/>
        </w:rPr>
        <w:t xml:space="preserve">CSG </w:t>
      </w:r>
      <w:r w:rsidR="00BB357E">
        <w:rPr>
          <w:b/>
          <w:bCs/>
        </w:rPr>
        <w:t>Sets the Record Straight in Response to</w:t>
      </w:r>
      <w:r w:rsidR="00BB357E" w:rsidRPr="00EA0B6C">
        <w:rPr>
          <w:b/>
          <w:bCs/>
        </w:rPr>
        <w:t xml:space="preserve"> </w:t>
      </w:r>
      <w:r w:rsidRPr="00EA0B6C">
        <w:rPr>
          <w:b/>
          <w:bCs/>
        </w:rPr>
        <w:t>Short Seller Allegations</w:t>
      </w:r>
    </w:p>
    <w:p w14:paraId="21138E05" w14:textId="77777777" w:rsidR="00EA0B6C" w:rsidRDefault="00EA0B6C" w:rsidP="001E6EC3">
      <w:pPr>
        <w:ind w:left="0"/>
      </w:pPr>
    </w:p>
    <w:p w14:paraId="2C3A2887" w14:textId="77777777" w:rsidR="00A14F97" w:rsidRDefault="00A14F97" w:rsidP="001E6EC3">
      <w:pPr>
        <w:ind w:left="0"/>
      </w:pPr>
    </w:p>
    <w:p w14:paraId="515EC397" w14:textId="06F97CEC" w:rsidR="001E6EC3" w:rsidRDefault="001E6EC3" w:rsidP="001E6EC3">
      <w:pPr>
        <w:ind w:left="0"/>
      </w:pPr>
      <w:r>
        <w:t xml:space="preserve">CSG (AMS: CSG) (the "Company") notes the </w:t>
      </w:r>
      <w:r w:rsidR="00063E05">
        <w:t xml:space="preserve">article </w:t>
      </w:r>
      <w:r>
        <w:t xml:space="preserve">published by </w:t>
      </w:r>
      <w:proofErr w:type="spellStart"/>
      <w:r>
        <w:t>Hunterbrook</w:t>
      </w:r>
      <w:proofErr w:type="spellEnd"/>
      <w:r>
        <w:t xml:space="preserve"> Media, whose affiliated investment vehicle </w:t>
      </w:r>
      <w:proofErr w:type="spellStart"/>
      <w:r>
        <w:t>Hunterbrook</w:t>
      </w:r>
      <w:proofErr w:type="spellEnd"/>
      <w:r>
        <w:t xml:space="preserve"> Capital holds a disclosed short position in CSG shares</w:t>
      </w:r>
      <w:r w:rsidR="00BB357E">
        <w:t>,</w:t>
      </w:r>
      <w:r w:rsidR="00063E05">
        <w:t xml:space="preserve"> as well as the Company’s initial response to the article published May 04, 2026</w:t>
      </w:r>
      <w:r>
        <w:t xml:space="preserve">. </w:t>
      </w:r>
    </w:p>
    <w:p w14:paraId="19D1D6EA" w14:textId="77777777" w:rsidR="001E6EC3" w:rsidRDefault="001E6EC3" w:rsidP="001E6EC3">
      <w:pPr>
        <w:ind w:left="0"/>
      </w:pPr>
    </w:p>
    <w:p w14:paraId="5410B05B" w14:textId="2ED643D8" w:rsidR="00D30491" w:rsidRDefault="001E6EC3" w:rsidP="001E6EC3">
      <w:pPr>
        <w:ind w:left="0"/>
      </w:pPr>
      <w:r>
        <w:t xml:space="preserve">The </w:t>
      </w:r>
      <w:r w:rsidR="00063E05">
        <w:t xml:space="preserve">article’s </w:t>
      </w:r>
      <w:r>
        <w:t>characterisation of the Company's business model, disclosures, and governance is inaccurate and does not reflect the facts</w:t>
      </w:r>
      <w:r w:rsidR="00063E05">
        <w:t xml:space="preserve"> in our view</w:t>
      </w:r>
      <w:r>
        <w:t xml:space="preserve">. </w:t>
      </w:r>
      <w:r w:rsidR="00A23687">
        <w:t>It</w:t>
      </w:r>
      <w:r w:rsidR="00F216B3">
        <w:t xml:space="preserve"> </w:t>
      </w:r>
      <w:r w:rsidR="00FA0407">
        <w:t>selectively quotes third-party sources</w:t>
      </w:r>
      <w:r>
        <w:t xml:space="preserve"> and </w:t>
      </w:r>
      <w:r w:rsidR="00063E05">
        <w:t xml:space="preserve">we believe </w:t>
      </w:r>
      <w:r w:rsidR="00FA0407">
        <w:t xml:space="preserve">misrepresents </w:t>
      </w:r>
      <w:r>
        <w:t>information that is either publicly available or has been communicated to investors.</w:t>
      </w:r>
      <w:r w:rsidR="00520668">
        <w:t xml:space="preserve"> </w:t>
      </w:r>
      <w:r w:rsidR="0078521B" w:rsidRPr="00520668">
        <w:t xml:space="preserve">CSG rejects </w:t>
      </w:r>
      <w:r w:rsidR="00BB357E">
        <w:t>this selective and misleading approach</w:t>
      </w:r>
      <w:r w:rsidR="007A29FC">
        <w:t xml:space="preserve"> </w:t>
      </w:r>
      <w:r w:rsidR="0078521B" w:rsidRPr="00520668">
        <w:t>and the conclusions investors are invited to draw from it.</w:t>
      </w:r>
    </w:p>
    <w:p w14:paraId="2BC133F4" w14:textId="77777777" w:rsidR="007A29FC" w:rsidRDefault="007A29FC" w:rsidP="001E6EC3">
      <w:pPr>
        <w:ind w:left="0"/>
      </w:pPr>
    </w:p>
    <w:p w14:paraId="074337CB" w14:textId="77777777" w:rsidR="007A29FC" w:rsidRDefault="007A29FC" w:rsidP="007A29FC">
      <w:pPr>
        <w:ind w:left="0"/>
      </w:pPr>
      <w:r>
        <w:t xml:space="preserve">CSG reiterates its commitment to maintaining high standards of corporate governance and internal controls, as well as transparent and timely disclosure in compliance with applicable rules and regulations. </w:t>
      </w:r>
    </w:p>
    <w:p w14:paraId="38C01CEC" w14:textId="77777777" w:rsidR="007A29FC" w:rsidRDefault="007A29FC" w:rsidP="007A29FC">
      <w:pPr>
        <w:ind w:left="0"/>
      </w:pPr>
    </w:p>
    <w:p w14:paraId="3D2249B9" w14:textId="08E62056" w:rsidR="007A29FC" w:rsidRDefault="007A29FC" w:rsidP="007A29FC">
      <w:pPr>
        <w:ind w:left="0"/>
      </w:pPr>
      <w:r>
        <w:t>CSG stands by the integrity of its IPO documentation and all formal disclosures made since listing</w:t>
      </w:r>
      <w:r w:rsidR="00BB357E">
        <w:t>, including CSG’s annual report for the year ended December 31, 2025.</w:t>
      </w:r>
      <w:r w:rsidR="00A14F97">
        <w:t xml:space="preserve"> </w:t>
      </w:r>
      <w:r w:rsidR="00BB357E">
        <w:t>CSG</w:t>
      </w:r>
      <w:r>
        <w:t xml:space="preserve"> urges investors to rely on those materials.</w:t>
      </w:r>
    </w:p>
    <w:p w14:paraId="25E378D5" w14:textId="77777777" w:rsidR="00DD1FBC" w:rsidRDefault="00DD1FBC" w:rsidP="001E6EC3">
      <w:pPr>
        <w:ind w:left="0"/>
      </w:pPr>
    </w:p>
    <w:p w14:paraId="6007AA41" w14:textId="0783BBDF" w:rsidR="00DD1FBC" w:rsidRDefault="00DD1FBC" w:rsidP="001E6EC3">
      <w:pPr>
        <w:ind w:left="0"/>
      </w:pPr>
      <w:r w:rsidRPr="00DD1FBC">
        <w:t>Notwithstanding the above, the Company has conducted a</w:t>
      </w:r>
      <w:r w:rsidR="00BB357E">
        <w:t>n initial</w:t>
      </w:r>
      <w:r w:rsidRPr="00DD1FBC">
        <w:t xml:space="preserve"> review of the report and </w:t>
      </w:r>
      <w:r w:rsidR="00BB357E">
        <w:t>urges investors and other stakeholders to take note of what we believe are misleading claims and the following CSG’s responses</w:t>
      </w:r>
      <w:r w:rsidR="008E44D5">
        <w:t>:</w:t>
      </w:r>
    </w:p>
    <w:p w14:paraId="53586697" w14:textId="3BE72B78" w:rsidR="00DD1FBC" w:rsidRDefault="00DD1FBC" w:rsidP="001E6EC3">
      <w:pPr>
        <w:ind w:left="0"/>
      </w:pPr>
    </w:p>
    <w:p w14:paraId="5CF829A4" w14:textId="50DA9411" w:rsidR="00854983" w:rsidRPr="00A14F97" w:rsidRDefault="007A29FC" w:rsidP="00A14F97">
      <w:pPr>
        <w:ind w:left="0"/>
        <w:rPr>
          <w:b/>
          <w:bCs/>
        </w:rPr>
      </w:pPr>
      <w:r w:rsidRPr="00A14F97">
        <w:rPr>
          <w:b/>
          <w:bCs/>
        </w:rPr>
        <w:t xml:space="preserve">Claim: The </w:t>
      </w:r>
      <w:r w:rsidR="00854983" w:rsidRPr="00A14F97">
        <w:rPr>
          <w:b/>
          <w:bCs/>
          <w:lang w:val="en-US"/>
        </w:rPr>
        <w:t>vast majority of CSG’s M/L ammunition revenue comes from reselling and refurbishing old stockpiles, not in-house production</w:t>
      </w:r>
      <w:r w:rsidRPr="00A14F97">
        <w:rPr>
          <w:b/>
          <w:bCs/>
          <w:lang w:val="en-US"/>
        </w:rPr>
        <w:t xml:space="preserve"> and </w:t>
      </w:r>
      <w:r w:rsidR="003647C2" w:rsidRPr="00A14F97">
        <w:rPr>
          <w:b/>
          <w:bCs/>
          <w:lang w:val="en-US"/>
        </w:rPr>
        <w:t>only one facility appears capable of final assembly of 155mm rounds</w:t>
      </w:r>
      <w:r w:rsidR="006A0611" w:rsidRPr="00A14F97">
        <w:rPr>
          <w:b/>
          <w:bCs/>
          <w:lang w:val="en-US"/>
        </w:rPr>
        <w:t xml:space="preserve"> with an</w:t>
      </w:r>
      <w:r w:rsidR="003647C2" w:rsidRPr="00A14F97">
        <w:rPr>
          <w:b/>
          <w:bCs/>
          <w:lang w:val="en-US"/>
        </w:rPr>
        <w:t xml:space="preserve"> estimated output </w:t>
      </w:r>
      <w:r w:rsidR="006A0611" w:rsidRPr="00A14F97">
        <w:rPr>
          <w:b/>
          <w:bCs/>
          <w:lang w:val="en-US"/>
        </w:rPr>
        <w:t xml:space="preserve">of </w:t>
      </w:r>
      <w:r w:rsidR="003647C2" w:rsidRPr="00A14F97">
        <w:rPr>
          <w:b/>
          <w:bCs/>
          <w:lang w:val="en-US"/>
        </w:rPr>
        <w:t>between 100,000 and 280,000 rounds</w:t>
      </w:r>
      <w:r w:rsidR="004B337C" w:rsidRPr="00A14F97">
        <w:rPr>
          <w:b/>
          <w:bCs/>
          <w:lang w:val="en-US"/>
        </w:rPr>
        <w:t>.</w:t>
      </w:r>
    </w:p>
    <w:p w14:paraId="60842ABE" w14:textId="77777777" w:rsidR="00713EC4" w:rsidRDefault="00713EC4" w:rsidP="00A134B6">
      <w:pPr>
        <w:ind w:left="0"/>
      </w:pPr>
    </w:p>
    <w:p w14:paraId="6D7A4F6F" w14:textId="12AC4EED" w:rsidR="00F81C79" w:rsidRDefault="00F81C79" w:rsidP="00A14F97">
      <w:pPr>
        <w:pStyle w:val="Odstavecseseznamem"/>
        <w:numPr>
          <w:ilvl w:val="0"/>
          <w:numId w:val="4"/>
        </w:numPr>
      </w:pPr>
      <w:r w:rsidRPr="00F81C79">
        <w:t>Attributing production capacity to a single site fundamentally misunderstands CSG's industrial model.</w:t>
      </w:r>
      <w:r>
        <w:t xml:space="preserve"> </w:t>
      </w:r>
      <w:r w:rsidR="00A24AF9" w:rsidRPr="00A24AF9">
        <w:t>CSG operates a distributed, vertically integrated manufacturing network across multiple facilities in multiple countries.</w:t>
      </w:r>
      <w:r w:rsidR="001E1BC0">
        <w:t xml:space="preserve"> </w:t>
      </w:r>
      <w:r w:rsidR="001E1BC0" w:rsidRPr="001E1BC0">
        <w:t>Components are produced across facilities and brought together at dedicated final assembly lines, which CSG operates across several countries</w:t>
      </w:r>
      <w:r w:rsidR="00BA5DB1">
        <w:t xml:space="preserve"> and facilities</w:t>
      </w:r>
      <w:r w:rsidR="001E1BC0" w:rsidRPr="001E1BC0">
        <w:t>.</w:t>
      </w:r>
    </w:p>
    <w:p w14:paraId="1EB1FACC" w14:textId="77777777" w:rsidR="005045B0" w:rsidRDefault="005045B0" w:rsidP="00A134B6">
      <w:pPr>
        <w:ind w:left="0"/>
      </w:pPr>
    </w:p>
    <w:p w14:paraId="18B2802C" w14:textId="2F8DC22C" w:rsidR="00F81C79" w:rsidRDefault="005045B0" w:rsidP="00A14F97">
      <w:pPr>
        <w:pStyle w:val="Odstavecseseznamem"/>
        <w:numPr>
          <w:ilvl w:val="0"/>
          <w:numId w:val="4"/>
        </w:numPr>
      </w:pPr>
      <w:r>
        <w:t xml:space="preserve">In 2025, CSG's own-production </w:t>
      </w:r>
      <w:r w:rsidR="00FB3763">
        <w:t>capacity</w:t>
      </w:r>
      <w:r>
        <w:t xml:space="preserve"> </w:t>
      </w:r>
      <w:r w:rsidR="001E6A7C">
        <w:t xml:space="preserve">totalled </w:t>
      </w:r>
      <w:r>
        <w:t>approximately 630,000</w:t>
      </w:r>
      <w:r w:rsidR="002965A0">
        <w:t xml:space="preserve"> rounds</w:t>
      </w:r>
      <w:r w:rsidR="009A3AF7">
        <w:t>, in addition to recommissioning and third-party partnerships</w:t>
      </w:r>
      <w:r>
        <w:t xml:space="preserve">. </w:t>
      </w:r>
      <w:r w:rsidR="00063E05">
        <w:t>As previously disclosed, CSG is committed to a</w:t>
      </w:r>
      <w:r>
        <w:t xml:space="preserve"> </w:t>
      </w:r>
      <w:r w:rsidR="0085669B">
        <w:t xml:space="preserve">substantial </w:t>
      </w:r>
      <w:r>
        <w:t xml:space="preserve">reduction of recommissioning over the medium term </w:t>
      </w:r>
      <w:r w:rsidR="00063E05">
        <w:t>a</w:t>
      </w:r>
      <w:r>
        <w:t xml:space="preserve">s a stated strategic objective, </w:t>
      </w:r>
      <w:r w:rsidR="00063E05">
        <w:t xml:space="preserve">supported </w:t>
      </w:r>
      <w:r>
        <w:t>by ongoing investment in vertical integration and new production capacity.</w:t>
      </w:r>
      <w:r w:rsidR="00250662">
        <w:t xml:space="preserve"> </w:t>
      </w:r>
      <w:r w:rsidR="0042051D">
        <w:t>CSG</w:t>
      </w:r>
      <w:r w:rsidR="00250662">
        <w:t xml:space="preserve"> confirms guidance </w:t>
      </w:r>
      <w:r w:rsidR="002011CF">
        <w:t xml:space="preserve">for 2026 </w:t>
      </w:r>
      <w:r w:rsidR="00250662">
        <w:t xml:space="preserve">that own-production will increase by roughly 20 percent including 70,000 rounds of </w:t>
      </w:r>
      <w:r w:rsidR="00123F15">
        <w:t xml:space="preserve">additional </w:t>
      </w:r>
      <w:r w:rsidR="00250662">
        <w:t>capacity with the introduction of a new production line in Slovakia</w:t>
      </w:r>
      <w:r w:rsidR="00664937">
        <w:t xml:space="preserve">, as announced in </w:t>
      </w:r>
      <w:r w:rsidR="006B1B09">
        <w:t>2025</w:t>
      </w:r>
      <w:r w:rsidR="00250662">
        <w:t>.</w:t>
      </w:r>
      <w:r w:rsidR="0042051D">
        <w:t xml:space="preserve"> </w:t>
      </w:r>
      <w:r w:rsidR="006B658A">
        <w:t xml:space="preserve">The Company also </w:t>
      </w:r>
      <w:r w:rsidR="005E2DE3">
        <w:t xml:space="preserve">reiterates previously stated </w:t>
      </w:r>
      <w:r w:rsidR="006B658A">
        <w:t>guidance to increase own production to 1.1 million rounds in the medium term</w:t>
      </w:r>
      <w:r w:rsidR="00FD3010">
        <w:t xml:space="preserve">, mainly in Slovakia, Greece, Serbia, Spain and India. </w:t>
      </w:r>
      <w:r w:rsidR="00250662">
        <w:t xml:space="preserve"> </w:t>
      </w:r>
      <w:r>
        <w:t xml:space="preserve"> </w:t>
      </w:r>
    </w:p>
    <w:p w14:paraId="0F962DE3" w14:textId="77777777" w:rsidR="001E6EC3" w:rsidRDefault="001E6EC3" w:rsidP="001E6EC3">
      <w:pPr>
        <w:ind w:left="0"/>
      </w:pPr>
    </w:p>
    <w:p w14:paraId="11B7CBA6" w14:textId="12269F2C" w:rsidR="001E6EC3" w:rsidRPr="00A14F97" w:rsidRDefault="007A29FC" w:rsidP="00A14F97">
      <w:pPr>
        <w:pStyle w:val="Odstavecseseznamem"/>
        <w:ind w:left="360"/>
        <w:rPr>
          <w:b/>
          <w:bCs/>
        </w:rPr>
      </w:pPr>
      <w:r>
        <w:rPr>
          <w:b/>
          <w:bCs/>
        </w:rPr>
        <w:t>Claim:</w:t>
      </w:r>
      <w:r w:rsidRPr="007A29FC">
        <w:rPr>
          <w:b/>
          <w:bCs/>
        </w:rPr>
        <w:t xml:space="preserve"> </w:t>
      </w:r>
      <w:r w:rsidR="00F14806" w:rsidRPr="00A14F97">
        <w:rPr>
          <w:b/>
          <w:bCs/>
        </w:rPr>
        <w:t xml:space="preserve">The </w:t>
      </w:r>
      <w:r w:rsidR="00063E05">
        <w:rPr>
          <w:b/>
          <w:bCs/>
        </w:rPr>
        <w:t>article</w:t>
      </w:r>
      <w:r w:rsidR="00063E05" w:rsidRPr="00A14F97">
        <w:rPr>
          <w:b/>
          <w:bCs/>
        </w:rPr>
        <w:t xml:space="preserve"> </w:t>
      </w:r>
      <w:r w:rsidR="009B517B">
        <w:rPr>
          <w:b/>
          <w:bCs/>
        </w:rPr>
        <w:t>alleges</w:t>
      </w:r>
      <w:r w:rsidR="00035E08" w:rsidRPr="00A14F97">
        <w:rPr>
          <w:b/>
          <w:bCs/>
        </w:rPr>
        <w:t xml:space="preserve"> the existence of hidden liabilities</w:t>
      </w:r>
      <w:r w:rsidR="002D3B44" w:rsidRPr="00A14F97">
        <w:rPr>
          <w:b/>
          <w:bCs/>
        </w:rPr>
        <w:t xml:space="preserve"> and </w:t>
      </w:r>
      <w:r w:rsidR="00F14806" w:rsidRPr="00A14F97">
        <w:rPr>
          <w:b/>
          <w:bCs/>
        </w:rPr>
        <w:t xml:space="preserve">makes </w:t>
      </w:r>
      <w:r w:rsidR="002D3B44" w:rsidRPr="00A14F97">
        <w:rPr>
          <w:b/>
          <w:bCs/>
        </w:rPr>
        <w:t xml:space="preserve">related </w:t>
      </w:r>
      <w:r w:rsidR="000C7DE0" w:rsidRPr="00A14F97">
        <w:rPr>
          <w:b/>
          <w:bCs/>
        </w:rPr>
        <w:t xml:space="preserve">representations </w:t>
      </w:r>
      <w:r w:rsidR="002D3B44" w:rsidRPr="00A14F97">
        <w:rPr>
          <w:b/>
          <w:bCs/>
        </w:rPr>
        <w:t>regarding</w:t>
      </w:r>
      <w:r w:rsidR="007176C6" w:rsidRPr="00A14F97">
        <w:rPr>
          <w:b/>
          <w:bCs/>
        </w:rPr>
        <w:t xml:space="preserve"> minority shareholdings</w:t>
      </w:r>
      <w:r w:rsidR="007C7975" w:rsidRPr="00A14F97">
        <w:rPr>
          <w:b/>
          <w:bCs/>
        </w:rPr>
        <w:t xml:space="preserve">, including that </w:t>
      </w:r>
      <w:r w:rsidR="00DA036B" w:rsidRPr="00A14F97">
        <w:rPr>
          <w:b/>
          <w:bCs/>
        </w:rPr>
        <w:t xml:space="preserve">minority shareholder </w:t>
      </w:r>
      <w:r w:rsidR="007C7975" w:rsidRPr="00A14F97">
        <w:rPr>
          <w:b/>
          <w:bCs/>
        </w:rPr>
        <w:t>Petr</w:t>
      </w:r>
      <w:r w:rsidR="00F14806" w:rsidRPr="00A14F97">
        <w:rPr>
          <w:b/>
          <w:bCs/>
        </w:rPr>
        <w:t xml:space="preserve"> Kratochvíl exercised a put option forcing CSG to buy his CSG Land Systems stake</w:t>
      </w:r>
      <w:r w:rsidR="007176C6" w:rsidRPr="00A14F97">
        <w:rPr>
          <w:b/>
          <w:bCs/>
        </w:rPr>
        <w:t xml:space="preserve"> before the IPO</w:t>
      </w:r>
      <w:r w:rsidR="00F14806" w:rsidRPr="00A14F97">
        <w:rPr>
          <w:b/>
          <w:bCs/>
        </w:rPr>
        <w:t>.</w:t>
      </w:r>
    </w:p>
    <w:p w14:paraId="7DDD30A9" w14:textId="77777777" w:rsidR="00DA036B" w:rsidRDefault="00DA036B" w:rsidP="00DA036B">
      <w:pPr>
        <w:ind w:left="0"/>
      </w:pPr>
    </w:p>
    <w:p w14:paraId="307634AD" w14:textId="1AB5E145" w:rsidR="00855CFE" w:rsidRPr="007A29FC" w:rsidRDefault="00BA2370" w:rsidP="00A14F97">
      <w:pPr>
        <w:pStyle w:val="Odstavecseseznamem"/>
        <w:numPr>
          <w:ilvl w:val="0"/>
          <w:numId w:val="5"/>
        </w:numPr>
        <w:rPr>
          <w:lang w:val="en-US"/>
        </w:rPr>
      </w:pPr>
      <w:r>
        <w:rPr>
          <w:lang w:val="en-US"/>
        </w:rPr>
        <w:lastRenderedPageBreak/>
        <w:t xml:space="preserve">As confirmed by outside legal counsel, </w:t>
      </w:r>
      <w:r w:rsidR="00855CFE" w:rsidRPr="007A29FC">
        <w:rPr>
          <w:lang w:val="en-US"/>
        </w:rPr>
        <w:t xml:space="preserve">Mr. Kratochvíl did not effectively exercise his right regarding </w:t>
      </w:r>
      <w:r w:rsidR="00A82E31">
        <w:rPr>
          <w:lang w:val="en-US"/>
        </w:rPr>
        <w:t>his</w:t>
      </w:r>
      <w:r w:rsidR="00855CFE" w:rsidRPr="007A29FC">
        <w:rPr>
          <w:lang w:val="en-US"/>
        </w:rPr>
        <w:t xml:space="preserve"> minority stake before the IPO.</w:t>
      </w:r>
      <w:r w:rsidR="004F3046" w:rsidRPr="007A29FC">
        <w:rPr>
          <w:lang w:val="en-US"/>
        </w:rPr>
        <w:t xml:space="preserve"> </w:t>
      </w:r>
      <w:r w:rsidR="004822DE">
        <w:t xml:space="preserve">Irrespective of </w:t>
      </w:r>
      <w:r w:rsidR="00034DC3">
        <w:t>any question of</w:t>
      </w:r>
      <w:r w:rsidR="00F12C00">
        <w:t xml:space="preserve"> timing</w:t>
      </w:r>
      <w:r w:rsidR="00532C0E">
        <w:t xml:space="preserve"> or valuation</w:t>
      </w:r>
      <w:r w:rsidR="00666424">
        <w:t xml:space="preserve"> of the potential minority stake sale</w:t>
      </w:r>
      <w:r w:rsidR="00A82E31">
        <w:t>,</w:t>
      </w:r>
      <w:r w:rsidR="00666424">
        <w:t xml:space="preserve"> this matter</w:t>
      </w:r>
      <w:r w:rsidR="006A7D7F">
        <w:t xml:space="preserve"> carried no liability, nor a contingent</w:t>
      </w:r>
      <w:r w:rsidR="00704F39">
        <w:t>/off balance sheet liability to be presented in</w:t>
      </w:r>
      <w:r w:rsidR="008E38AE">
        <w:t xml:space="preserve"> </w:t>
      </w:r>
      <w:r w:rsidR="00BB357E">
        <w:t>the audited financial statements included in our annual report for the year ended December 31, 2025 (nor do we anticipate recording any such actual or contingent liabilities in any future financial statements</w:t>
      </w:r>
      <w:r w:rsidR="00453D4C">
        <w:t>.</w:t>
      </w:r>
      <w:r w:rsidR="009F476B">
        <w:t>)</w:t>
      </w:r>
      <w:r w:rsidR="00814248">
        <w:t xml:space="preserve"> </w:t>
      </w:r>
    </w:p>
    <w:p w14:paraId="0F0461B9" w14:textId="77777777" w:rsidR="00855CFE" w:rsidRDefault="00855CFE" w:rsidP="00DA036B">
      <w:pPr>
        <w:ind w:left="0"/>
        <w:rPr>
          <w:lang w:val="en-US"/>
        </w:rPr>
      </w:pPr>
    </w:p>
    <w:p w14:paraId="6F95A16C" w14:textId="25094B61" w:rsidR="00DF648D" w:rsidRDefault="007A29FC" w:rsidP="00A14F97">
      <w:pPr>
        <w:ind w:left="0"/>
      </w:pPr>
      <w:r w:rsidRPr="00A14F97">
        <w:rPr>
          <w:b/>
          <w:bCs/>
        </w:rPr>
        <w:t xml:space="preserve">Claim: </w:t>
      </w:r>
      <w:r w:rsidR="006B1D5F" w:rsidRPr="00A14F97">
        <w:rPr>
          <w:b/>
          <w:bCs/>
        </w:rPr>
        <w:t xml:space="preserve">The </w:t>
      </w:r>
      <w:r w:rsidR="00063E05" w:rsidRPr="00A14F97">
        <w:rPr>
          <w:b/>
          <w:bCs/>
        </w:rPr>
        <w:t xml:space="preserve">article </w:t>
      </w:r>
      <w:r w:rsidR="006B1D5F" w:rsidRPr="00A14F97">
        <w:rPr>
          <w:b/>
          <w:bCs/>
        </w:rPr>
        <w:t xml:space="preserve">questions whether </w:t>
      </w:r>
      <w:r w:rsidR="00035E08" w:rsidRPr="00A14F97">
        <w:rPr>
          <w:b/>
          <w:bCs/>
        </w:rPr>
        <w:t>a related</w:t>
      </w:r>
      <w:r w:rsidR="00A14F97">
        <w:rPr>
          <w:b/>
          <w:bCs/>
        </w:rPr>
        <w:t>-</w:t>
      </w:r>
      <w:r w:rsidR="00035E08" w:rsidRPr="00A14F97">
        <w:rPr>
          <w:b/>
          <w:bCs/>
        </w:rPr>
        <w:t>party</w:t>
      </w:r>
      <w:r w:rsidR="006B1D5F" w:rsidRPr="00A14F97">
        <w:rPr>
          <w:b/>
          <w:bCs/>
        </w:rPr>
        <w:t xml:space="preserve"> €275 million receivable was properly disclosed and alleges a pattern of undisclosed related-party relationships around CSG's core subsidiaries and business practices.</w:t>
      </w:r>
    </w:p>
    <w:p w14:paraId="7FE88A8E" w14:textId="77777777" w:rsidR="00774DB2" w:rsidRDefault="00774DB2" w:rsidP="00D960F7">
      <w:pPr>
        <w:ind w:left="0"/>
      </w:pPr>
    </w:p>
    <w:p w14:paraId="1B40E2EE" w14:textId="0501C1BA" w:rsidR="00774DB2" w:rsidRDefault="00774DB2" w:rsidP="00A14F97">
      <w:pPr>
        <w:pStyle w:val="Odstavecseseznamem"/>
        <w:numPr>
          <w:ilvl w:val="0"/>
          <w:numId w:val="5"/>
        </w:numPr>
      </w:pPr>
      <w:r w:rsidRPr="00774DB2">
        <w:t xml:space="preserve">The Company </w:t>
      </w:r>
      <w:r w:rsidR="00BA5DB1">
        <w:t xml:space="preserve">stands by the integrity of its IPO documentation and all formal disclosures made since listing </w:t>
      </w:r>
      <w:r w:rsidRPr="00774DB2">
        <w:t>in connection with related-party transactions, all of which were conducted in compliance with applicable legal and regulatory requirements and reported in accordance with applicable accounting standards</w:t>
      </w:r>
      <w:r w:rsidR="00A05C36">
        <w:t xml:space="preserve"> with </w:t>
      </w:r>
      <w:r w:rsidR="003E5777">
        <w:t>the annual report</w:t>
      </w:r>
      <w:r w:rsidRPr="00774DB2">
        <w:t>.</w:t>
      </w:r>
    </w:p>
    <w:p w14:paraId="457DE758" w14:textId="77777777" w:rsidR="00802710" w:rsidRDefault="00802710" w:rsidP="00802710"/>
    <w:p w14:paraId="5F44EE46" w14:textId="77777777" w:rsidR="00802710" w:rsidRDefault="00802710" w:rsidP="00802710">
      <w:pPr>
        <w:pStyle w:val="Odstavecseseznamem"/>
        <w:numPr>
          <w:ilvl w:val="0"/>
          <w:numId w:val="5"/>
        </w:numPr>
      </w:pPr>
      <w:r w:rsidRPr="00DF648D">
        <w:t>The €275 million receivable was settled in full in Q1 2026, in line with the timeline communicated at IPO. The receivable arose from the pre-IPO disposal of non-core businesses</w:t>
      </w:r>
      <w:r>
        <w:t>,</w:t>
      </w:r>
      <w:r w:rsidRPr="00DF648D">
        <w:t xml:space="preserve"> specifically the CSG Mobility, Perazzi, and Healthcare divisions</w:t>
      </w:r>
      <w:r>
        <w:t xml:space="preserve">, </w:t>
      </w:r>
      <w:r w:rsidRPr="00DF648D">
        <w:t xml:space="preserve">as part of a planned carve-out of assets outside CSG's core defence perimeter. The transaction was disclosed in the </w:t>
      </w:r>
      <w:r>
        <w:t xml:space="preserve">IPO </w:t>
      </w:r>
      <w:r w:rsidRPr="00DF648D">
        <w:t xml:space="preserve">prospectus as a related-party receivable. Disposal prices were determined by independent third-party valuations, and </w:t>
      </w:r>
      <w:r>
        <w:t>the</w:t>
      </w:r>
      <w:r w:rsidRPr="00DF648D">
        <w:t xml:space="preserve"> arrangements were conducted </w:t>
      </w:r>
      <w:r>
        <w:t xml:space="preserve">strictly </w:t>
      </w:r>
      <w:r w:rsidRPr="00DF648D">
        <w:t xml:space="preserve">on an arm's-length basis. The purpose of the carve-out was to streamline the </w:t>
      </w:r>
      <w:r>
        <w:t>Company</w:t>
      </w:r>
      <w:r w:rsidRPr="00DF648D">
        <w:t xml:space="preserve"> around its core defence activities, and the receivable has now been settled in full in cash.</w:t>
      </w:r>
    </w:p>
    <w:p w14:paraId="3B7A5E11" w14:textId="77777777" w:rsidR="00DF648D" w:rsidRDefault="00DF648D" w:rsidP="00D960F7">
      <w:pPr>
        <w:ind w:left="0"/>
      </w:pPr>
    </w:p>
    <w:p w14:paraId="08D05D7D" w14:textId="58482901" w:rsidR="00F44085" w:rsidRPr="00A14F97" w:rsidRDefault="007A29FC" w:rsidP="00A14F97">
      <w:pPr>
        <w:ind w:left="0"/>
        <w:rPr>
          <w:lang w:val="en-US"/>
        </w:rPr>
      </w:pPr>
      <w:r w:rsidRPr="00A14F97">
        <w:rPr>
          <w:b/>
          <w:bCs/>
          <w:lang w:val="en-US"/>
        </w:rPr>
        <w:t xml:space="preserve">Claim: </w:t>
      </w:r>
      <w:r w:rsidR="00F44085" w:rsidRPr="00A14F97">
        <w:rPr>
          <w:b/>
          <w:bCs/>
          <w:lang w:val="en-US"/>
        </w:rPr>
        <w:t xml:space="preserve">The </w:t>
      </w:r>
      <w:r w:rsidR="00063E05" w:rsidRPr="00A14F97">
        <w:rPr>
          <w:b/>
          <w:bCs/>
          <w:lang w:val="en-US"/>
        </w:rPr>
        <w:t xml:space="preserve">article </w:t>
      </w:r>
      <w:r w:rsidR="00F44085" w:rsidRPr="00A14F97">
        <w:rPr>
          <w:b/>
          <w:bCs/>
          <w:lang w:val="en-US"/>
        </w:rPr>
        <w:t xml:space="preserve">questions the validity of the </w:t>
      </w:r>
      <w:r w:rsidR="00F44085" w:rsidRPr="00A14F97">
        <w:rPr>
          <w:b/>
          <w:bCs/>
        </w:rPr>
        <w:t>€58 billion</w:t>
      </w:r>
      <w:r w:rsidR="00F44085" w:rsidRPr="00A14F97">
        <w:rPr>
          <w:b/>
          <w:bCs/>
          <w:lang w:val="en-US"/>
        </w:rPr>
        <w:t xml:space="preserve"> Slovak ammunition framework announced by CSG in December 2025</w:t>
      </w:r>
      <w:r w:rsidR="00F44085" w:rsidRPr="00A14F97">
        <w:rPr>
          <w:lang w:val="en-US"/>
        </w:rPr>
        <w:t xml:space="preserve"> </w:t>
      </w:r>
    </w:p>
    <w:p w14:paraId="0EAA543C" w14:textId="77777777" w:rsidR="00F44085" w:rsidRDefault="00F44085" w:rsidP="00F44085">
      <w:pPr>
        <w:ind w:left="0"/>
      </w:pPr>
    </w:p>
    <w:p w14:paraId="28906954" w14:textId="126ADBA0" w:rsidR="007A29FC" w:rsidRDefault="00F44085" w:rsidP="00A14F97">
      <w:pPr>
        <w:pStyle w:val="Odstavecseseznamem"/>
        <w:numPr>
          <w:ilvl w:val="0"/>
          <w:numId w:val="6"/>
        </w:numPr>
      </w:pPr>
      <w:r>
        <w:t xml:space="preserve">The €58 billion figure represents the potential value of a seven-year framework agreement, not a committed order book. This </w:t>
      </w:r>
      <w:r w:rsidR="00BA5DB1">
        <w:t xml:space="preserve">information </w:t>
      </w:r>
      <w:r>
        <w:t xml:space="preserve">was </w:t>
      </w:r>
      <w:r w:rsidR="00BA5DB1">
        <w:t xml:space="preserve">disclosed </w:t>
      </w:r>
      <w:r>
        <w:t xml:space="preserve">at announcement </w:t>
      </w:r>
      <w:r w:rsidR="00BA5DB1">
        <w:t xml:space="preserve">of the agreement </w:t>
      </w:r>
      <w:r>
        <w:t xml:space="preserve">and is </w:t>
      </w:r>
      <w:r w:rsidR="00A61910">
        <w:t xml:space="preserve">clearly </w:t>
      </w:r>
      <w:r>
        <w:t xml:space="preserve">reflected in the </w:t>
      </w:r>
      <w:r w:rsidR="00BA5DB1">
        <w:t xml:space="preserve">IPO </w:t>
      </w:r>
      <w:r>
        <w:t xml:space="preserve">prospectus. </w:t>
      </w:r>
    </w:p>
    <w:p w14:paraId="41178358" w14:textId="77777777" w:rsidR="007A29FC" w:rsidRDefault="007A29FC" w:rsidP="00F44085">
      <w:pPr>
        <w:ind w:left="0"/>
      </w:pPr>
    </w:p>
    <w:p w14:paraId="37B23131" w14:textId="3D35DA8F" w:rsidR="007A29FC" w:rsidRDefault="00F44085" w:rsidP="007A29FC">
      <w:pPr>
        <w:pStyle w:val="Odstavecseseznamem"/>
        <w:numPr>
          <w:ilvl w:val="0"/>
          <w:numId w:val="6"/>
        </w:numPr>
      </w:pPr>
      <w:r>
        <w:t>Framework agreements of this kind are deliberately open-ended instruments: participating countries place individual orders as and when required, and the absence of formal order confirmations at launch is consistent with standard procurement practice. The framework provides a contractual foundation that did not exist before, and positions ZVS</w:t>
      </w:r>
      <w:r w:rsidR="00924494">
        <w:t>/CSG</w:t>
      </w:r>
      <w:r>
        <w:t xml:space="preserve"> as a preferred supplier for EU states seeking a transparent, European-based procurement route. </w:t>
      </w:r>
    </w:p>
    <w:p w14:paraId="4A15F546" w14:textId="77777777" w:rsidR="007A29FC" w:rsidRDefault="007A29FC" w:rsidP="00A14F97">
      <w:pPr>
        <w:pStyle w:val="Odstavecseseznamem"/>
      </w:pPr>
    </w:p>
    <w:p w14:paraId="376E2CA8" w14:textId="5811A21F" w:rsidR="00F44085" w:rsidRDefault="00D72D5C" w:rsidP="00971862">
      <w:pPr>
        <w:pStyle w:val="Odstavecseseznamem"/>
        <w:numPr>
          <w:ilvl w:val="0"/>
          <w:numId w:val="6"/>
        </w:numPr>
      </w:pPr>
      <w:r>
        <w:t>In</w:t>
      </w:r>
      <w:r w:rsidR="00A74ECE">
        <w:t xml:space="preserve"> its</w:t>
      </w:r>
      <w:r w:rsidR="0036378E">
        <w:t xml:space="preserve"> FY 2025 </w:t>
      </w:r>
      <w:r>
        <w:t>earn</w:t>
      </w:r>
      <w:r w:rsidR="009509FE">
        <w:t>ings announcement</w:t>
      </w:r>
      <w:r w:rsidR="00F44085">
        <w:t xml:space="preserve">, CSG </w:t>
      </w:r>
      <w:r w:rsidR="0036378E">
        <w:t>confirmed that it</w:t>
      </w:r>
      <w:r w:rsidR="00F44085">
        <w:t xml:space="preserve"> recognised approximately €1 billion from the Slovak framework in its pipeline</w:t>
      </w:r>
      <w:r w:rsidR="00502253">
        <w:t xml:space="preserve"> as at the date of the</w:t>
      </w:r>
      <w:r w:rsidR="009509FE">
        <w:t xml:space="preserve"> announcement</w:t>
      </w:r>
      <w:r w:rsidR="00F44085">
        <w:t>.</w:t>
      </w:r>
    </w:p>
    <w:p w14:paraId="7E45AFFC" w14:textId="77777777" w:rsidR="00D3542D" w:rsidRDefault="00D3542D" w:rsidP="00F44085">
      <w:pPr>
        <w:ind w:left="0"/>
      </w:pPr>
    </w:p>
    <w:p w14:paraId="0A4B5E36" w14:textId="3469E6B0" w:rsidR="00C029FD" w:rsidRDefault="004C474A" w:rsidP="00F44085">
      <w:pPr>
        <w:ind w:left="0"/>
      </w:pPr>
      <w:r w:rsidRPr="004C474A">
        <w:t>CSG notes that it has promptly and comprehensively addressed several of these issues previously, including having corrected inaccuracies in previous reports.</w:t>
      </w:r>
    </w:p>
    <w:p w14:paraId="12D5E62E" w14:textId="77777777" w:rsidR="00004A1C" w:rsidRDefault="00004A1C" w:rsidP="00F44085">
      <w:pPr>
        <w:ind w:left="0"/>
      </w:pPr>
    </w:p>
    <w:p w14:paraId="2709420E" w14:textId="49BF786F" w:rsidR="00004A1C" w:rsidRDefault="000904F8" w:rsidP="00F44085">
      <w:pPr>
        <w:ind w:left="0"/>
      </w:pPr>
      <w:r>
        <w:t>CSG’s</w:t>
      </w:r>
      <w:r w:rsidR="00004A1C" w:rsidRPr="00004A1C">
        <w:t xml:space="preserve"> order book remains strong and continues to be well-supported by robust underlying demand. The Company looks forward to providing a further update to shareholders at the time of its Q1 2026 results announcement on 20 May 2026.</w:t>
      </w:r>
    </w:p>
    <w:p w14:paraId="69C167DC" w14:textId="77777777" w:rsidR="00535D9C" w:rsidRDefault="00535D9C" w:rsidP="00D960F7">
      <w:pPr>
        <w:ind w:left="0"/>
      </w:pPr>
    </w:p>
    <w:p w14:paraId="00E33496" w14:textId="77777777" w:rsidR="0083622E" w:rsidRDefault="0083622E" w:rsidP="00D960F7">
      <w:pPr>
        <w:ind w:left="0"/>
      </w:pPr>
    </w:p>
    <w:p w14:paraId="7E72FE55" w14:textId="77777777" w:rsidR="005F60EA" w:rsidRPr="00166BAA" w:rsidRDefault="005F60EA" w:rsidP="005F60EA">
      <w:pPr>
        <w:ind w:left="0"/>
        <w:rPr>
          <w:sz w:val="20"/>
          <w:szCs w:val="20"/>
          <w:lang w:val="en-US"/>
        </w:rPr>
      </w:pPr>
      <w:r w:rsidRPr="00166BAA">
        <w:rPr>
          <w:sz w:val="20"/>
          <w:szCs w:val="20"/>
          <w:lang w:val="en-US"/>
        </w:rPr>
        <w:t>Enquiries</w:t>
      </w:r>
    </w:p>
    <w:p w14:paraId="1C93F9DE" w14:textId="77777777" w:rsidR="005F60EA" w:rsidRPr="00166BAA" w:rsidRDefault="005F60EA" w:rsidP="005F60EA">
      <w:pPr>
        <w:ind w:left="0"/>
        <w:rPr>
          <w:sz w:val="20"/>
          <w:szCs w:val="20"/>
          <w:lang w:val="en-US"/>
        </w:rPr>
      </w:pPr>
    </w:p>
    <w:p w14:paraId="73E57E34" w14:textId="77777777" w:rsidR="005F60EA" w:rsidRPr="00166BAA" w:rsidRDefault="005F60EA" w:rsidP="005F60EA">
      <w:pPr>
        <w:ind w:left="0"/>
        <w:rPr>
          <w:sz w:val="20"/>
          <w:szCs w:val="20"/>
          <w:lang w:val="en-US"/>
        </w:rPr>
      </w:pPr>
      <w:r w:rsidRPr="00166BAA">
        <w:rPr>
          <w:sz w:val="20"/>
          <w:szCs w:val="20"/>
          <w:lang w:val="en-US"/>
        </w:rPr>
        <w:t>Investors and analysts:</w:t>
      </w:r>
    </w:p>
    <w:p w14:paraId="462798CF" w14:textId="77777777" w:rsidR="005F60EA" w:rsidRPr="00166BAA" w:rsidRDefault="005F60EA" w:rsidP="005F60EA">
      <w:pPr>
        <w:ind w:left="0"/>
        <w:rPr>
          <w:sz w:val="20"/>
          <w:szCs w:val="20"/>
          <w:lang w:val="en-US"/>
        </w:rPr>
      </w:pPr>
      <w:r w:rsidRPr="00166BAA">
        <w:rPr>
          <w:sz w:val="20"/>
          <w:szCs w:val="20"/>
          <w:lang w:val="en-US"/>
        </w:rPr>
        <w:t>Peter Russell, Head of Investor Relations</w:t>
      </w:r>
    </w:p>
    <w:p w14:paraId="781E2A37" w14:textId="77777777" w:rsidR="005F60EA" w:rsidRPr="00166BAA" w:rsidRDefault="005F60EA" w:rsidP="005F60EA">
      <w:pPr>
        <w:ind w:left="0"/>
        <w:rPr>
          <w:sz w:val="20"/>
          <w:szCs w:val="20"/>
          <w:lang w:val="en-US"/>
        </w:rPr>
      </w:pPr>
      <w:r w:rsidRPr="00166BAA">
        <w:rPr>
          <w:sz w:val="20"/>
          <w:szCs w:val="20"/>
          <w:lang w:val="en-US"/>
        </w:rPr>
        <w:t>peter.russell@czechoslovakgroup.com</w:t>
      </w:r>
    </w:p>
    <w:p w14:paraId="38468B33" w14:textId="77777777" w:rsidR="005F60EA" w:rsidRPr="00166BAA" w:rsidRDefault="005F60EA" w:rsidP="005F60EA">
      <w:pPr>
        <w:ind w:left="0"/>
        <w:rPr>
          <w:sz w:val="20"/>
          <w:szCs w:val="20"/>
          <w:lang w:val="en-US"/>
        </w:rPr>
      </w:pPr>
    </w:p>
    <w:p w14:paraId="0556E9E4" w14:textId="77777777" w:rsidR="005F60EA" w:rsidRPr="00166BAA" w:rsidRDefault="005F60EA" w:rsidP="005F60EA">
      <w:pPr>
        <w:ind w:left="0"/>
        <w:rPr>
          <w:sz w:val="20"/>
          <w:szCs w:val="20"/>
          <w:lang w:val="en-US"/>
        </w:rPr>
      </w:pPr>
      <w:r w:rsidRPr="00166BAA">
        <w:rPr>
          <w:sz w:val="20"/>
          <w:szCs w:val="20"/>
          <w:lang w:val="en-US"/>
        </w:rPr>
        <w:t>Media:</w:t>
      </w:r>
    </w:p>
    <w:p w14:paraId="72577271" w14:textId="77777777" w:rsidR="005F60EA" w:rsidRPr="00166BAA" w:rsidRDefault="005F60EA" w:rsidP="005F60EA">
      <w:pPr>
        <w:ind w:left="0"/>
        <w:rPr>
          <w:sz w:val="20"/>
          <w:szCs w:val="20"/>
          <w:lang w:val="en-US"/>
        </w:rPr>
      </w:pPr>
      <w:r w:rsidRPr="00166BAA">
        <w:rPr>
          <w:sz w:val="20"/>
          <w:szCs w:val="20"/>
          <w:lang w:val="en-US"/>
        </w:rPr>
        <w:t>Tomáš Kotera, Director of Communications</w:t>
      </w:r>
    </w:p>
    <w:p w14:paraId="1FCE561C" w14:textId="77777777" w:rsidR="005F60EA" w:rsidRPr="00166BAA" w:rsidRDefault="005F60EA" w:rsidP="005F60EA">
      <w:pPr>
        <w:ind w:left="0"/>
        <w:rPr>
          <w:sz w:val="20"/>
          <w:szCs w:val="20"/>
          <w:lang w:val="en-US"/>
        </w:rPr>
      </w:pPr>
      <w:r w:rsidRPr="00166BAA">
        <w:rPr>
          <w:sz w:val="20"/>
          <w:szCs w:val="20"/>
          <w:lang w:val="en-US"/>
        </w:rPr>
        <w:t>tomas.kotera@czechoslovakgroup.com</w:t>
      </w:r>
    </w:p>
    <w:p w14:paraId="49CA29CB" w14:textId="77777777" w:rsidR="005F60EA" w:rsidRPr="00166BAA" w:rsidRDefault="005F60EA" w:rsidP="005F60EA">
      <w:pPr>
        <w:ind w:left="0"/>
        <w:rPr>
          <w:sz w:val="20"/>
          <w:szCs w:val="20"/>
          <w:lang w:val="en-US"/>
        </w:rPr>
      </w:pPr>
    </w:p>
    <w:p w14:paraId="6BB21E5F" w14:textId="77777777" w:rsidR="005F60EA" w:rsidRPr="00166BAA" w:rsidRDefault="005F60EA" w:rsidP="005F60EA">
      <w:pPr>
        <w:ind w:left="0"/>
        <w:rPr>
          <w:sz w:val="20"/>
          <w:szCs w:val="20"/>
          <w:lang w:val="en-US"/>
        </w:rPr>
      </w:pPr>
      <w:r w:rsidRPr="00166BAA">
        <w:rPr>
          <w:sz w:val="20"/>
          <w:szCs w:val="20"/>
          <w:lang w:val="en-US"/>
        </w:rPr>
        <w:t>Andrej Čírtek, Spokesperson</w:t>
      </w:r>
    </w:p>
    <w:p w14:paraId="2B44033F" w14:textId="77777777" w:rsidR="005F60EA" w:rsidRPr="00166BAA" w:rsidRDefault="005F60EA" w:rsidP="005F60EA">
      <w:pPr>
        <w:ind w:left="0"/>
        <w:rPr>
          <w:sz w:val="20"/>
          <w:szCs w:val="20"/>
          <w:lang w:val="en-US"/>
        </w:rPr>
      </w:pPr>
      <w:r w:rsidRPr="00166BAA">
        <w:rPr>
          <w:sz w:val="20"/>
          <w:szCs w:val="20"/>
          <w:lang w:val="en-US"/>
        </w:rPr>
        <w:t>+420 602 494 208</w:t>
      </w:r>
    </w:p>
    <w:p w14:paraId="6B3D4E8B" w14:textId="77777777" w:rsidR="005F60EA" w:rsidRPr="00166BAA" w:rsidRDefault="005F60EA" w:rsidP="005F60EA">
      <w:pPr>
        <w:ind w:left="0"/>
        <w:rPr>
          <w:sz w:val="20"/>
          <w:szCs w:val="20"/>
          <w:lang w:val="en-US"/>
        </w:rPr>
      </w:pPr>
      <w:r w:rsidRPr="00166BAA">
        <w:rPr>
          <w:sz w:val="20"/>
          <w:szCs w:val="20"/>
          <w:lang w:val="en-US"/>
        </w:rPr>
        <w:t>andrej.cirtek@czechoslovakgroup.com</w:t>
      </w:r>
    </w:p>
    <w:p w14:paraId="689229BE" w14:textId="77777777" w:rsidR="0083622E" w:rsidRPr="00057E51" w:rsidRDefault="0083622E" w:rsidP="00D960F7">
      <w:pPr>
        <w:ind w:left="0"/>
      </w:pPr>
    </w:p>
    <w:sectPr w:rsidR="0083622E" w:rsidRPr="00057E5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56B8" w14:textId="77777777" w:rsidR="00DC559A" w:rsidRDefault="00DC559A" w:rsidP="00063E05">
      <w:r>
        <w:separator/>
      </w:r>
    </w:p>
  </w:endnote>
  <w:endnote w:type="continuationSeparator" w:id="0">
    <w:p w14:paraId="32199229" w14:textId="77777777" w:rsidR="00DC559A" w:rsidRDefault="00DC559A" w:rsidP="0006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91C4" w14:textId="77777777" w:rsidR="00DC559A" w:rsidRDefault="00DC559A" w:rsidP="00063E05">
      <w:r>
        <w:separator/>
      </w:r>
    </w:p>
  </w:footnote>
  <w:footnote w:type="continuationSeparator" w:id="0">
    <w:p w14:paraId="3C6C2E22" w14:textId="77777777" w:rsidR="00DC559A" w:rsidRDefault="00DC559A" w:rsidP="0006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EF7C" w14:textId="1E00B263" w:rsidR="009E3394" w:rsidRDefault="009E3394">
    <w:pPr>
      <w:pStyle w:val="Zhlav"/>
    </w:pPr>
    <w:r>
      <w:rPr>
        <w:noProof/>
      </w:rPr>
      <w:drawing>
        <wp:anchor distT="0" distB="0" distL="114300" distR="114300" simplePos="0" relativeHeight="251658240" behindDoc="0" locked="0" layoutInCell="1" allowOverlap="1" wp14:anchorId="072544BC" wp14:editId="1854AF1E">
          <wp:simplePos x="0" y="0"/>
          <wp:positionH relativeFrom="column">
            <wp:posOffset>-74295</wp:posOffset>
          </wp:positionH>
          <wp:positionV relativeFrom="paragraph">
            <wp:posOffset>-182880</wp:posOffset>
          </wp:positionV>
          <wp:extent cx="1949450" cy="806450"/>
          <wp:effectExtent l="0" t="0" r="0" b="0"/>
          <wp:wrapNone/>
          <wp:docPr id="10416720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806450"/>
                  </a:xfrm>
                  <a:prstGeom prst="rect">
                    <a:avLst/>
                  </a:prstGeom>
                  <a:noFill/>
                  <a:ln>
                    <a:noFill/>
                  </a:ln>
                </pic:spPr>
              </pic:pic>
            </a:graphicData>
          </a:graphic>
        </wp:anchor>
      </w:drawing>
    </w:r>
  </w:p>
  <w:p w14:paraId="545AB32A" w14:textId="77777777" w:rsidR="009E3394" w:rsidRDefault="009E3394">
    <w:pPr>
      <w:pStyle w:val="Zhlav"/>
    </w:pPr>
  </w:p>
  <w:p w14:paraId="5CDBE377" w14:textId="77777777" w:rsidR="009E3394" w:rsidRDefault="009E3394" w:rsidP="009E3394">
    <w:pPr>
      <w:pStyle w:val="Zhlav"/>
      <w:ind w:left="0"/>
    </w:pPr>
  </w:p>
  <w:p w14:paraId="6DA62279" w14:textId="77777777" w:rsidR="009E3394" w:rsidRDefault="009E3394" w:rsidP="009E3394">
    <w:pPr>
      <w:pStyle w:val="Zhlav"/>
      <w:ind w:left="0"/>
    </w:pPr>
  </w:p>
  <w:p w14:paraId="21511C5B" w14:textId="7A2FFCC3" w:rsidR="009E3394" w:rsidRDefault="009E33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37D"/>
    <w:multiLevelType w:val="hybridMultilevel"/>
    <w:tmpl w:val="D4321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767153"/>
    <w:multiLevelType w:val="hybridMultilevel"/>
    <w:tmpl w:val="8DFC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812E1"/>
    <w:multiLevelType w:val="hybridMultilevel"/>
    <w:tmpl w:val="DE74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25A27"/>
    <w:multiLevelType w:val="hybridMultilevel"/>
    <w:tmpl w:val="876C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1196C"/>
    <w:multiLevelType w:val="hybridMultilevel"/>
    <w:tmpl w:val="DACA1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424223"/>
    <w:multiLevelType w:val="hybridMultilevel"/>
    <w:tmpl w:val="5C3C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172885">
    <w:abstractNumId w:val="4"/>
  </w:num>
  <w:num w:numId="2" w16cid:durableId="643005125">
    <w:abstractNumId w:val="2"/>
  </w:num>
  <w:num w:numId="3" w16cid:durableId="1110928618">
    <w:abstractNumId w:val="0"/>
  </w:num>
  <w:num w:numId="4" w16cid:durableId="948394931">
    <w:abstractNumId w:val="1"/>
  </w:num>
  <w:num w:numId="5" w16cid:durableId="673724152">
    <w:abstractNumId w:val="5"/>
  </w:num>
  <w:num w:numId="6" w16cid:durableId="600646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s>
  <w:rsids>
    <w:rsidRoot w:val="001E6EC3"/>
    <w:rsid w:val="00004A1C"/>
    <w:rsid w:val="00005964"/>
    <w:rsid w:val="000306EE"/>
    <w:rsid w:val="0003300E"/>
    <w:rsid w:val="00034DC3"/>
    <w:rsid w:val="00035E08"/>
    <w:rsid w:val="00057E51"/>
    <w:rsid w:val="000631D0"/>
    <w:rsid w:val="00063E05"/>
    <w:rsid w:val="000904F8"/>
    <w:rsid w:val="0009548B"/>
    <w:rsid w:val="000C7DE0"/>
    <w:rsid w:val="000E1F17"/>
    <w:rsid w:val="00100012"/>
    <w:rsid w:val="001022CA"/>
    <w:rsid w:val="001138AF"/>
    <w:rsid w:val="00115AF6"/>
    <w:rsid w:val="00123F15"/>
    <w:rsid w:val="001E1BC0"/>
    <w:rsid w:val="001E6A7C"/>
    <w:rsid w:val="001E6EC3"/>
    <w:rsid w:val="002011CF"/>
    <w:rsid w:val="00250662"/>
    <w:rsid w:val="00256F49"/>
    <w:rsid w:val="002740FB"/>
    <w:rsid w:val="00276E49"/>
    <w:rsid w:val="00281F06"/>
    <w:rsid w:val="002965A0"/>
    <w:rsid w:val="002C28FA"/>
    <w:rsid w:val="002D3B44"/>
    <w:rsid w:val="00315A0B"/>
    <w:rsid w:val="0033624F"/>
    <w:rsid w:val="0036378E"/>
    <w:rsid w:val="003647C2"/>
    <w:rsid w:val="00367A93"/>
    <w:rsid w:val="003B4079"/>
    <w:rsid w:val="003B4845"/>
    <w:rsid w:val="003B7B49"/>
    <w:rsid w:val="003C3442"/>
    <w:rsid w:val="003E2378"/>
    <w:rsid w:val="003E5777"/>
    <w:rsid w:val="003F22E9"/>
    <w:rsid w:val="0042051D"/>
    <w:rsid w:val="00432173"/>
    <w:rsid w:val="00436AB1"/>
    <w:rsid w:val="00453D4C"/>
    <w:rsid w:val="004822DE"/>
    <w:rsid w:val="004A0693"/>
    <w:rsid w:val="004A0B5C"/>
    <w:rsid w:val="004B0036"/>
    <w:rsid w:val="004B337C"/>
    <w:rsid w:val="004C474A"/>
    <w:rsid w:val="004F3046"/>
    <w:rsid w:val="00502253"/>
    <w:rsid w:val="00502C9F"/>
    <w:rsid w:val="005045B0"/>
    <w:rsid w:val="00520668"/>
    <w:rsid w:val="00525827"/>
    <w:rsid w:val="00532C0E"/>
    <w:rsid w:val="00535D9C"/>
    <w:rsid w:val="00540412"/>
    <w:rsid w:val="00551D4C"/>
    <w:rsid w:val="00561D78"/>
    <w:rsid w:val="00565410"/>
    <w:rsid w:val="00571BC1"/>
    <w:rsid w:val="0058637D"/>
    <w:rsid w:val="00586800"/>
    <w:rsid w:val="005A1EC1"/>
    <w:rsid w:val="005B4D33"/>
    <w:rsid w:val="005D24BE"/>
    <w:rsid w:val="005E2DE3"/>
    <w:rsid w:val="005F60EA"/>
    <w:rsid w:val="00612AD1"/>
    <w:rsid w:val="00636C1B"/>
    <w:rsid w:val="00664937"/>
    <w:rsid w:val="00666424"/>
    <w:rsid w:val="00672141"/>
    <w:rsid w:val="006A0611"/>
    <w:rsid w:val="006A7D7F"/>
    <w:rsid w:val="006B1B09"/>
    <w:rsid w:val="006B1D5F"/>
    <w:rsid w:val="006B658A"/>
    <w:rsid w:val="006B6D4C"/>
    <w:rsid w:val="006C5506"/>
    <w:rsid w:val="006D06DF"/>
    <w:rsid w:val="00704F39"/>
    <w:rsid w:val="00713C91"/>
    <w:rsid w:val="00713EC4"/>
    <w:rsid w:val="0071431B"/>
    <w:rsid w:val="007176C6"/>
    <w:rsid w:val="00774DB2"/>
    <w:rsid w:val="0078521B"/>
    <w:rsid w:val="007A29FC"/>
    <w:rsid w:val="007B7956"/>
    <w:rsid w:val="007C77DC"/>
    <w:rsid w:val="007C7975"/>
    <w:rsid w:val="007E3527"/>
    <w:rsid w:val="00802710"/>
    <w:rsid w:val="00810B7E"/>
    <w:rsid w:val="00814248"/>
    <w:rsid w:val="0083622E"/>
    <w:rsid w:val="00836FE8"/>
    <w:rsid w:val="008409EC"/>
    <w:rsid w:val="00854983"/>
    <w:rsid w:val="00855CFE"/>
    <w:rsid w:val="0085669B"/>
    <w:rsid w:val="008875DF"/>
    <w:rsid w:val="00892333"/>
    <w:rsid w:val="008A2EE6"/>
    <w:rsid w:val="008A5938"/>
    <w:rsid w:val="008E38AE"/>
    <w:rsid w:val="008E44D5"/>
    <w:rsid w:val="00924494"/>
    <w:rsid w:val="009509FE"/>
    <w:rsid w:val="00971862"/>
    <w:rsid w:val="009A3AF7"/>
    <w:rsid w:val="009B517B"/>
    <w:rsid w:val="009C0156"/>
    <w:rsid w:val="009C2AB6"/>
    <w:rsid w:val="009C6D95"/>
    <w:rsid w:val="009E3394"/>
    <w:rsid w:val="009F476B"/>
    <w:rsid w:val="00A05C36"/>
    <w:rsid w:val="00A134B6"/>
    <w:rsid w:val="00A14F97"/>
    <w:rsid w:val="00A15C79"/>
    <w:rsid w:val="00A23687"/>
    <w:rsid w:val="00A24AF9"/>
    <w:rsid w:val="00A37027"/>
    <w:rsid w:val="00A43CCC"/>
    <w:rsid w:val="00A579CD"/>
    <w:rsid w:val="00A61910"/>
    <w:rsid w:val="00A74ECE"/>
    <w:rsid w:val="00A82E31"/>
    <w:rsid w:val="00A8596E"/>
    <w:rsid w:val="00AD3908"/>
    <w:rsid w:val="00AE09C6"/>
    <w:rsid w:val="00B43FEE"/>
    <w:rsid w:val="00B678D9"/>
    <w:rsid w:val="00B86A0A"/>
    <w:rsid w:val="00B93BD0"/>
    <w:rsid w:val="00BA2370"/>
    <w:rsid w:val="00BA5DB1"/>
    <w:rsid w:val="00BB357E"/>
    <w:rsid w:val="00BC0834"/>
    <w:rsid w:val="00C029FD"/>
    <w:rsid w:val="00C0436F"/>
    <w:rsid w:val="00C04555"/>
    <w:rsid w:val="00C10A8C"/>
    <w:rsid w:val="00C20219"/>
    <w:rsid w:val="00C33E6A"/>
    <w:rsid w:val="00C34666"/>
    <w:rsid w:val="00C451EA"/>
    <w:rsid w:val="00C644D3"/>
    <w:rsid w:val="00CA051A"/>
    <w:rsid w:val="00CA226E"/>
    <w:rsid w:val="00D0602F"/>
    <w:rsid w:val="00D30491"/>
    <w:rsid w:val="00D3542D"/>
    <w:rsid w:val="00D72D5C"/>
    <w:rsid w:val="00D960F7"/>
    <w:rsid w:val="00DA036B"/>
    <w:rsid w:val="00DC559A"/>
    <w:rsid w:val="00DD1FBC"/>
    <w:rsid w:val="00DD7E40"/>
    <w:rsid w:val="00DF648D"/>
    <w:rsid w:val="00E0052C"/>
    <w:rsid w:val="00E707AA"/>
    <w:rsid w:val="00EA0B6C"/>
    <w:rsid w:val="00ED52FA"/>
    <w:rsid w:val="00EE3A9B"/>
    <w:rsid w:val="00EF2D19"/>
    <w:rsid w:val="00F12656"/>
    <w:rsid w:val="00F12C00"/>
    <w:rsid w:val="00F14806"/>
    <w:rsid w:val="00F216B3"/>
    <w:rsid w:val="00F44085"/>
    <w:rsid w:val="00F501A5"/>
    <w:rsid w:val="00F63E3B"/>
    <w:rsid w:val="00F80D72"/>
    <w:rsid w:val="00F81C79"/>
    <w:rsid w:val="00FA0407"/>
    <w:rsid w:val="00FB2179"/>
    <w:rsid w:val="00FB3763"/>
    <w:rsid w:val="00FC2B2D"/>
    <w:rsid w:val="00FD3010"/>
    <w:rsid w:val="00FD38B4"/>
    <w:rsid w:val="00FE4E99"/>
    <w:rsid w:val="00FE6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0238"/>
  <w15:chartTrackingRefBased/>
  <w15:docId w15:val="{FCC52869-B9E2-4581-B6F4-9C93C4F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ind w:lef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E51"/>
    <w:rPr>
      <w:rFonts w:ascii="Arial" w:hAnsi="Arial"/>
      <w:lang w:val="en-GB"/>
    </w:rPr>
  </w:style>
  <w:style w:type="paragraph" w:styleId="Nadpis1">
    <w:name w:val="heading 1"/>
    <w:basedOn w:val="Normln"/>
    <w:next w:val="Normln"/>
    <w:link w:val="Nadpis1Char"/>
    <w:uiPriority w:val="9"/>
    <w:qFormat/>
    <w:rsid w:val="00586800"/>
    <w:pPr>
      <w:keepNext/>
      <w:keepLines/>
      <w:spacing w:before="360" w:after="80"/>
      <w:outlineLvl w:val="0"/>
    </w:pPr>
    <w:rPr>
      <w:rFonts w:eastAsiaTheme="majorEastAsia"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6800"/>
    <w:pPr>
      <w:keepNext/>
      <w:keepLines/>
      <w:spacing w:before="160" w:after="80"/>
      <w:outlineLvl w:val="1"/>
    </w:pPr>
    <w:rPr>
      <w:rFonts w:eastAsiaTheme="majorEastAsia"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C015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C015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C015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C015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C015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C015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C015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6800"/>
    <w:rPr>
      <w:rFonts w:ascii="Arial" w:eastAsiaTheme="majorEastAsia" w:hAnsi="Arial"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6800"/>
    <w:rPr>
      <w:rFonts w:ascii="Arial" w:eastAsiaTheme="majorEastAsia" w:hAnsi="Arial"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C015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C015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C015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C015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C015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C015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C0156"/>
    <w:rPr>
      <w:rFonts w:eastAsiaTheme="majorEastAsia" w:cstheme="majorBidi"/>
      <w:color w:val="272727" w:themeColor="text1" w:themeTint="D8"/>
    </w:rPr>
  </w:style>
  <w:style w:type="paragraph" w:styleId="Nzev">
    <w:name w:val="Title"/>
    <w:basedOn w:val="Normln"/>
    <w:next w:val="Normln"/>
    <w:link w:val="NzevChar"/>
    <w:uiPriority w:val="10"/>
    <w:qFormat/>
    <w:rsid w:val="00586800"/>
    <w:pPr>
      <w:spacing w:after="8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586800"/>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C0156"/>
    <w:pPr>
      <w:numPr>
        <w:ilvl w:val="1"/>
      </w:numPr>
      <w:ind w:left="17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C01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C0156"/>
    <w:pPr>
      <w:spacing w:before="160"/>
      <w:jc w:val="center"/>
    </w:pPr>
    <w:rPr>
      <w:i/>
      <w:iCs/>
      <w:color w:val="404040" w:themeColor="text1" w:themeTint="BF"/>
    </w:rPr>
  </w:style>
  <w:style w:type="character" w:customStyle="1" w:styleId="CittChar">
    <w:name w:val="Citát Char"/>
    <w:basedOn w:val="Standardnpsmoodstavce"/>
    <w:link w:val="Citt"/>
    <w:uiPriority w:val="29"/>
    <w:rsid w:val="009C0156"/>
    <w:rPr>
      <w:i/>
      <w:iCs/>
      <w:color w:val="404040" w:themeColor="text1" w:themeTint="BF"/>
    </w:rPr>
  </w:style>
  <w:style w:type="paragraph" w:styleId="Odstavecseseznamem">
    <w:name w:val="List Paragraph"/>
    <w:basedOn w:val="Normln"/>
    <w:uiPriority w:val="34"/>
    <w:qFormat/>
    <w:rsid w:val="009C0156"/>
    <w:pPr>
      <w:ind w:left="720"/>
      <w:contextualSpacing/>
    </w:pPr>
  </w:style>
  <w:style w:type="character" w:styleId="Zdraznnintenzivn">
    <w:name w:val="Intense Emphasis"/>
    <w:basedOn w:val="Standardnpsmoodstavce"/>
    <w:uiPriority w:val="21"/>
    <w:qFormat/>
    <w:rsid w:val="009C0156"/>
    <w:rPr>
      <w:i/>
      <w:iCs/>
      <w:color w:val="0F4761" w:themeColor="accent1" w:themeShade="BF"/>
    </w:rPr>
  </w:style>
  <w:style w:type="paragraph" w:styleId="Vrazncitt">
    <w:name w:val="Intense Quote"/>
    <w:basedOn w:val="Normln"/>
    <w:next w:val="Normln"/>
    <w:link w:val="VrazncittChar"/>
    <w:uiPriority w:val="30"/>
    <w:qFormat/>
    <w:rsid w:val="009C0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C0156"/>
    <w:rPr>
      <w:i/>
      <w:iCs/>
      <w:color w:val="0F4761" w:themeColor="accent1" w:themeShade="BF"/>
    </w:rPr>
  </w:style>
  <w:style w:type="character" w:styleId="Odkazintenzivn">
    <w:name w:val="Intense Reference"/>
    <w:basedOn w:val="Standardnpsmoodstavce"/>
    <w:uiPriority w:val="32"/>
    <w:qFormat/>
    <w:rsid w:val="009C0156"/>
    <w:rPr>
      <w:b/>
      <w:bCs/>
      <w:smallCaps/>
      <w:color w:val="0F4761" w:themeColor="accent1" w:themeShade="BF"/>
      <w:spacing w:val="5"/>
    </w:rPr>
  </w:style>
  <w:style w:type="paragraph" w:styleId="Bezmezer">
    <w:name w:val="No Spacing"/>
    <w:uiPriority w:val="1"/>
    <w:qFormat/>
    <w:rsid w:val="00057E51"/>
    <w:rPr>
      <w:rFonts w:ascii="Arial" w:hAnsi="Arial"/>
    </w:rPr>
  </w:style>
  <w:style w:type="paragraph" w:styleId="Revize">
    <w:name w:val="Revision"/>
    <w:hidden/>
    <w:uiPriority w:val="99"/>
    <w:semiHidden/>
    <w:rsid w:val="00115AF6"/>
    <w:pPr>
      <w:ind w:left="0"/>
    </w:pPr>
    <w:rPr>
      <w:rFonts w:ascii="Arial" w:hAnsi="Arial"/>
      <w:lang w:val="en-GB"/>
    </w:rPr>
  </w:style>
  <w:style w:type="paragraph" w:styleId="Textmakra">
    <w:name w:val="macro"/>
    <w:link w:val="TextmakraChar"/>
    <w:uiPriority w:val="99"/>
    <w:semiHidden/>
    <w:unhideWhenUsed/>
    <w:rsid w:val="00063E0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TextmakraChar">
    <w:name w:val="Text makra Char"/>
    <w:basedOn w:val="Standardnpsmoodstavce"/>
    <w:link w:val="Textmakra"/>
    <w:uiPriority w:val="99"/>
    <w:semiHidden/>
    <w:rsid w:val="00063E05"/>
    <w:rPr>
      <w:rFonts w:ascii="Consolas" w:hAnsi="Consolas"/>
      <w:sz w:val="20"/>
      <w:szCs w:val="20"/>
      <w:lang w:val="en-GB"/>
    </w:rPr>
  </w:style>
  <w:style w:type="character" w:styleId="Odkaznakoment">
    <w:name w:val="annotation reference"/>
    <w:basedOn w:val="Standardnpsmoodstavce"/>
    <w:uiPriority w:val="99"/>
    <w:semiHidden/>
    <w:unhideWhenUsed/>
    <w:rsid w:val="00063E05"/>
    <w:rPr>
      <w:sz w:val="16"/>
      <w:szCs w:val="16"/>
    </w:rPr>
  </w:style>
  <w:style w:type="paragraph" w:styleId="Textkomente">
    <w:name w:val="annotation text"/>
    <w:basedOn w:val="Normln"/>
    <w:link w:val="TextkomenteChar"/>
    <w:uiPriority w:val="99"/>
    <w:unhideWhenUsed/>
    <w:rsid w:val="00063E05"/>
    <w:rPr>
      <w:sz w:val="20"/>
      <w:szCs w:val="20"/>
    </w:rPr>
  </w:style>
  <w:style w:type="character" w:customStyle="1" w:styleId="TextkomenteChar">
    <w:name w:val="Text komentáře Char"/>
    <w:basedOn w:val="Standardnpsmoodstavce"/>
    <w:link w:val="Textkomente"/>
    <w:uiPriority w:val="99"/>
    <w:rsid w:val="00063E05"/>
    <w:rPr>
      <w:rFonts w:ascii="Arial" w:hAnsi="Arial"/>
      <w:sz w:val="20"/>
      <w:szCs w:val="20"/>
      <w:lang w:val="en-GB"/>
    </w:rPr>
  </w:style>
  <w:style w:type="paragraph" w:styleId="Pedmtkomente">
    <w:name w:val="annotation subject"/>
    <w:basedOn w:val="Textkomente"/>
    <w:next w:val="Textkomente"/>
    <w:link w:val="PedmtkomenteChar"/>
    <w:uiPriority w:val="99"/>
    <w:semiHidden/>
    <w:unhideWhenUsed/>
    <w:rsid w:val="00063E05"/>
    <w:rPr>
      <w:b/>
      <w:bCs/>
    </w:rPr>
  </w:style>
  <w:style w:type="character" w:customStyle="1" w:styleId="PedmtkomenteChar">
    <w:name w:val="Předmět komentáře Char"/>
    <w:basedOn w:val="TextkomenteChar"/>
    <w:link w:val="Pedmtkomente"/>
    <w:uiPriority w:val="99"/>
    <w:semiHidden/>
    <w:rsid w:val="00063E05"/>
    <w:rPr>
      <w:rFonts w:ascii="Arial" w:hAnsi="Arial"/>
      <w:b/>
      <w:bCs/>
      <w:sz w:val="20"/>
      <w:szCs w:val="20"/>
      <w:lang w:val="en-GB"/>
    </w:rPr>
  </w:style>
  <w:style w:type="paragraph" w:styleId="Zhlav">
    <w:name w:val="header"/>
    <w:basedOn w:val="Normln"/>
    <w:link w:val="ZhlavChar"/>
    <w:uiPriority w:val="99"/>
    <w:unhideWhenUsed/>
    <w:rsid w:val="009E3394"/>
    <w:pPr>
      <w:tabs>
        <w:tab w:val="center" w:pos="4536"/>
        <w:tab w:val="right" w:pos="9072"/>
      </w:tabs>
    </w:pPr>
  </w:style>
  <w:style w:type="character" w:customStyle="1" w:styleId="ZhlavChar">
    <w:name w:val="Záhlaví Char"/>
    <w:basedOn w:val="Standardnpsmoodstavce"/>
    <w:link w:val="Zhlav"/>
    <w:uiPriority w:val="99"/>
    <w:rsid w:val="009E3394"/>
    <w:rPr>
      <w:rFonts w:ascii="Arial" w:hAnsi="Arial"/>
      <w:lang w:val="en-GB"/>
    </w:rPr>
  </w:style>
  <w:style w:type="paragraph" w:styleId="Zpat">
    <w:name w:val="footer"/>
    <w:basedOn w:val="Normln"/>
    <w:link w:val="ZpatChar"/>
    <w:uiPriority w:val="99"/>
    <w:unhideWhenUsed/>
    <w:rsid w:val="009E3394"/>
    <w:pPr>
      <w:tabs>
        <w:tab w:val="center" w:pos="4536"/>
        <w:tab w:val="right" w:pos="9072"/>
      </w:tabs>
    </w:pPr>
  </w:style>
  <w:style w:type="character" w:customStyle="1" w:styleId="ZpatChar">
    <w:name w:val="Zápatí Char"/>
    <w:basedOn w:val="Standardnpsmoodstavce"/>
    <w:link w:val="Zpat"/>
    <w:uiPriority w:val="99"/>
    <w:rsid w:val="009E339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95DEE4D4B3641BE3FAE4773C9B3DE" ma:contentTypeVersion="12" ma:contentTypeDescription="Create a new document." ma:contentTypeScope="" ma:versionID="58d71a43694b0c13d7609e50e6f662fb">
  <xsd:schema xmlns:xsd="http://www.w3.org/2001/XMLSchema" xmlns:xs="http://www.w3.org/2001/XMLSchema" xmlns:p="http://schemas.microsoft.com/office/2006/metadata/properties" xmlns:ns2="821e055e-f2b1-41f3-afa2-4600e5002feb" xmlns:ns3="a7532534-bc0b-4c1f-bc0a-8b9db9b72f29" targetNamespace="http://schemas.microsoft.com/office/2006/metadata/properties" ma:root="true" ma:fieldsID="e72847efa2dcb98ed014c92cf9ea323a" ns2:_="" ns3:_="">
    <xsd:import namespace="821e055e-f2b1-41f3-afa2-4600e5002feb"/>
    <xsd:import namespace="a7532534-bc0b-4c1f-bc0a-8b9db9b7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e055e-f2b1-41f3-afa2-4600e5002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3f3ec-91a1-4c3c-bba6-b8191504b7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532534-bc0b-4c1f-bc0a-8b9db9b72f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ec9c1-fadd-4323-a99e-97fc0b0c5010}" ma:internalName="TaxCatchAll" ma:showField="CatchAllData" ma:web="a7532534-bc0b-4c1f-bc0a-8b9db9b7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1e055e-f2b1-41f3-afa2-4600e5002feb">
      <Terms xmlns="http://schemas.microsoft.com/office/infopath/2007/PartnerControls"/>
    </lcf76f155ced4ddcb4097134ff3c332f>
    <TaxCatchAll xmlns="a7532534-bc0b-4c1f-bc0a-8b9db9b72f29" xsi:nil="true"/>
  </documentManagement>
</p:properties>
</file>

<file path=customXml/itemProps1.xml><?xml version="1.0" encoding="utf-8"?>
<ds:datastoreItem xmlns:ds="http://schemas.openxmlformats.org/officeDocument/2006/customXml" ds:itemID="{00F06A94-DB16-448E-9F95-35B96F2C4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e055e-f2b1-41f3-afa2-4600e5002feb"/>
    <ds:schemaRef ds:uri="a7532534-bc0b-4c1f-bc0a-8b9db9b7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3A55E-2449-4A5B-8DCE-4A2006FC901B}">
  <ds:schemaRefs>
    <ds:schemaRef ds:uri="http://schemas.microsoft.com/sharepoint/v3/contenttype/forms"/>
  </ds:schemaRefs>
</ds:datastoreItem>
</file>

<file path=customXml/itemProps3.xml><?xml version="1.0" encoding="utf-8"?>
<ds:datastoreItem xmlns:ds="http://schemas.openxmlformats.org/officeDocument/2006/customXml" ds:itemID="{9CE8B2B9-99B2-4802-A71D-2A2E15EF82D0}">
  <ds:schemaRefs>
    <ds:schemaRef ds:uri="http://schemas.microsoft.com/office/2006/metadata/properties"/>
    <ds:schemaRef ds:uri="http://schemas.microsoft.com/office/infopath/2007/PartnerControls"/>
    <ds:schemaRef ds:uri="821e055e-f2b1-41f3-afa2-4600e5002feb"/>
    <ds:schemaRef ds:uri="a7532534-bc0b-4c1f-bc0a-8b9db9b72f29"/>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946</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Czechoslovak Group, a.s.</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Peter</dc:creator>
  <cp:keywords/>
  <dc:description/>
  <cp:lastModifiedBy>Macháček Roman</cp:lastModifiedBy>
  <cp:revision>15</cp:revision>
  <dcterms:created xsi:type="dcterms:W3CDTF">2026-05-05T06:54:00Z</dcterms:created>
  <dcterms:modified xsi:type="dcterms:W3CDTF">2026-05-05T07:21:00Z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0x01010001395DEE4D4B3641BE3FAE4773C9B3DE</vt:lpwstr>
  </property>
</Properties>
</file>