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1EF4C3" w14:textId="2A6EB543" w:rsidR="00512F6D" w:rsidRPr="00810921" w:rsidRDefault="001A19BA">
      <w:pPr>
        <w:jc w:val="center"/>
        <w:rPr>
          <w:rFonts w:ascii="Arial" w:eastAsia="Arial" w:hAnsi="Arial" w:cs="Arial"/>
          <w:sz w:val="20"/>
          <w:szCs w:val="20"/>
        </w:rPr>
      </w:pPr>
      <w:r w:rsidRPr="00810921">
        <w:rPr>
          <w:noProof/>
        </w:rPr>
        <w:drawing>
          <wp:inline distT="0" distB="0" distL="0" distR="0" wp14:anchorId="36C572C8" wp14:editId="4FD12245">
            <wp:extent cx="3261540" cy="874486"/>
            <wp:effectExtent l="0" t="0" r="0" b="0"/>
            <wp:docPr id="1" name="image1.png" descr="Neinor Homes lanza una recompra acelerada de acciones por €50 millones y  consigue adquirir €20 millones (2,3% de las acciones) - Noticias | Neinor  Homes"/>
            <wp:cNvGraphicFramePr/>
            <a:graphic xmlns:a="http://schemas.openxmlformats.org/drawingml/2006/main">
              <a:graphicData uri="http://schemas.openxmlformats.org/drawingml/2006/picture">
                <pic:pic xmlns:pic="http://schemas.openxmlformats.org/drawingml/2006/picture">
                  <pic:nvPicPr>
                    <pic:cNvPr id="0" name="image1.png" descr="Neinor Homes lanza una recompra acelerada de acciones por €50 millones y  consigue adquirir €20 millones (2,3% de las acciones) - Noticias | Neinor  Homes"/>
                    <pic:cNvPicPr preferRelativeResize="0"/>
                  </pic:nvPicPr>
                  <pic:blipFill>
                    <a:blip r:embed="rId9"/>
                    <a:srcRect t="30302" b="31771"/>
                    <a:stretch>
                      <a:fillRect/>
                    </a:stretch>
                  </pic:blipFill>
                  <pic:spPr>
                    <a:xfrm>
                      <a:off x="0" y="0"/>
                      <a:ext cx="3261540" cy="874486"/>
                    </a:xfrm>
                    <a:prstGeom prst="rect">
                      <a:avLst/>
                    </a:prstGeom>
                    <a:ln/>
                  </pic:spPr>
                </pic:pic>
              </a:graphicData>
            </a:graphic>
          </wp:inline>
        </w:drawing>
      </w:r>
    </w:p>
    <w:p w14:paraId="4BA0D4E0" w14:textId="77777777" w:rsidR="00512F6D" w:rsidRPr="00073C6D" w:rsidRDefault="00512F6D">
      <w:pPr>
        <w:spacing w:after="0"/>
        <w:jc w:val="center"/>
        <w:rPr>
          <w:rFonts w:ascii="Arial" w:eastAsia="Arial" w:hAnsi="Arial" w:cs="Arial"/>
          <w:sz w:val="40"/>
          <w:szCs w:val="40"/>
          <w:u w:val="single"/>
          <w:lang w:val="en-US"/>
        </w:rPr>
      </w:pPr>
    </w:p>
    <w:p w14:paraId="3DDC2886" w14:textId="75102D84" w:rsidR="00077457" w:rsidRPr="00077457" w:rsidRDefault="00077457" w:rsidP="00077457">
      <w:pPr>
        <w:pBdr>
          <w:top w:val="nil"/>
          <w:left w:val="nil"/>
          <w:bottom w:val="nil"/>
          <w:right w:val="nil"/>
          <w:between w:val="nil"/>
        </w:pBdr>
        <w:spacing w:after="0" w:line="240" w:lineRule="auto"/>
        <w:jc w:val="center"/>
        <w:rPr>
          <w:rFonts w:ascii="Arial" w:eastAsia="Arial" w:hAnsi="Arial" w:cs="Arial"/>
          <w:b/>
          <w:bCs/>
          <w:sz w:val="40"/>
          <w:szCs w:val="40"/>
          <w:lang w:val="en-US"/>
        </w:rPr>
      </w:pPr>
      <w:r w:rsidRPr="00077457">
        <w:rPr>
          <w:rFonts w:ascii="Arial" w:eastAsia="Arial" w:hAnsi="Arial" w:cs="Arial"/>
          <w:b/>
          <w:bCs/>
          <w:sz w:val="40"/>
          <w:szCs w:val="40"/>
          <w:lang w:val="en-US"/>
        </w:rPr>
        <w:t>Neinor Homes completes a transformational year, delivering</w:t>
      </w:r>
      <w:r w:rsidR="00774F3C">
        <w:rPr>
          <w:rFonts w:ascii="Arial" w:eastAsia="Arial" w:hAnsi="Arial" w:cs="Arial"/>
          <w:b/>
          <w:bCs/>
          <w:sz w:val="40"/>
          <w:szCs w:val="40"/>
          <w:lang w:val="en-US"/>
        </w:rPr>
        <w:t xml:space="preserve"> on</w:t>
      </w:r>
      <w:r w:rsidRPr="00077457">
        <w:rPr>
          <w:rFonts w:ascii="Arial" w:eastAsia="Arial" w:hAnsi="Arial" w:cs="Arial"/>
          <w:b/>
          <w:bCs/>
          <w:sz w:val="40"/>
          <w:szCs w:val="40"/>
          <w:lang w:val="en-US"/>
        </w:rPr>
        <w:t xml:space="preserve"> its FY25 guidance and positioning for further growth</w:t>
      </w:r>
    </w:p>
    <w:p w14:paraId="6C66A28E" w14:textId="77777777" w:rsidR="00073C6D" w:rsidRPr="008C6D8C" w:rsidRDefault="00073C6D" w:rsidP="008C6D8C">
      <w:pPr>
        <w:pBdr>
          <w:top w:val="nil"/>
          <w:left w:val="nil"/>
          <w:bottom w:val="nil"/>
          <w:right w:val="nil"/>
          <w:between w:val="nil"/>
        </w:pBdr>
        <w:spacing w:after="0" w:line="240" w:lineRule="auto"/>
        <w:ind w:left="720"/>
        <w:jc w:val="center"/>
        <w:rPr>
          <w:rFonts w:ascii="Arial" w:eastAsia="Arial" w:hAnsi="Arial" w:cs="Arial"/>
          <w:b/>
          <w:bCs/>
          <w:lang w:val="en-US"/>
        </w:rPr>
      </w:pPr>
    </w:p>
    <w:p w14:paraId="5AE861F4" w14:textId="458EE021" w:rsidR="009B67BE" w:rsidRDefault="0043238C" w:rsidP="00AA2A38">
      <w:pPr>
        <w:numPr>
          <w:ilvl w:val="0"/>
          <w:numId w:val="1"/>
        </w:numPr>
        <w:pBdr>
          <w:top w:val="nil"/>
          <w:left w:val="nil"/>
          <w:bottom w:val="nil"/>
          <w:right w:val="nil"/>
          <w:between w:val="nil"/>
        </w:pBdr>
        <w:spacing w:after="120" w:line="240" w:lineRule="auto"/>
        <w:jc w:val="both"/>
        <w:rPr>
          <w:rFonts w:ascii="Arial" w:eastAsia="Arial" w:hAnsi="Arial" w:cs="Arial"/>
          <w:b/>
          <w:bCs/>
          <w:lang w:val="en-GB"/>
        </w:rPr>
      </w:pPr>
      <w:r>
        <w:rPr>
          <w:rFonts w:ascii="Arial" w:eastAsia="Arial" w:hAnsi="Arial" w:cs="Arial"/>
          <w:b/>
          <w:bCs/>
          <w:lang w:val="en-GB"/>
        </w:rPr>
        <w:t xml:space="preserve">In a </w:t>
      </w:r>
      <w:r w:rsidR="00D54F72">
        <w:rPr>
          <w:rFonts w:ascii="Arial" w:eastAsia="Arial" w:hAnsi="Arial" w:cs="Arial"/>
          <w:b/>
          <w:bCs/>
          <w:lang w:val="en-GB"/>
        </w:rPr>
        <w:t>FY25 trading</w:t>
      </w:r>
      <w:r>
        <w:rPr>
          <w:rFonts w:ascii="Arial" w:eastAsia="Arial" w:hAnsi="Arial" w:cs="Arial"/>
          <w:b/>
          <w:bCs/>
          <w:lang w:val="en-GB"/>
        </w:rPr>
        <w:t xml:space="preserve"> update, </w:t>
      </w:r>
      <w:proofErr w:type="spellStart"/>
      <w:r>
        <w:rPr>
          <w:rFonts w:ascii="Arial" w:eastAsia="Arial" w:hAnsi="Arial" w:cs="Arial"/>
          <w:b/>
          <w:bCs/>
          <w:lang w:val="en-GB"/>
        </w:rPr>
        <w:t>Nei</w:t>
      </w:r>
      <w:r w:rsidR="00B40FA4">
        <w:rPr>
          <w:rFonts w:ascii="Arial" w:eastAsia="Arial" w:hAnsi="Arial" w:cs="Arial"/>
          <w:b/>
          <w:bCs/>
          <w:lang w:val="en-GB"/>
        </w:rPr>
        <w:t>nor</w:t>
      </w:r>
      <w:proofErr w:type="spellEnd"/>
      <w:r w:rsidR="00B40FA4">
        <w:rPr>
          <w:rFonts w:ascii="Arial" w:eastAsia="Arial" w:hAnsi="Arial" w:cs="Arial"/>
          <w:b/>
          <w:bCs/>
          <w:lang w:val="en-GB"/>
        </w:rPr>
        <w:t xml:space="preserve"> confirms</w:t>
      </w:r>
      <w:r w:rsidR="00D54F72">
        <w:rPr>
          <w:rFonts w:ascii="Arial" w:eastAsia="Arial" w:hAnsi="Arial" w:cs="Arial"/>
          <w:b/>
          <w:bCs/>
          <w:lang w:val="en-GB"/>
        </w:rPr>
        <w:t xml:space="preserve"> </w:t>
      </w:r>
      <w:r w:rsidR="00E9022F">
        <w:rPr>
          <w:rFonts w:ascii="Arial" w:eastAsia="Arial" w:hAnsi="Arial" w:cs="Arial"/>
          <w:b/>
          <w:bCs/>
          <w:lang w:val="en-GB"/>
        </w:rPr>
        <w:t xml:space="preserve">it has </w:t>
      </w:r>
      <w:r w:rsidR="0056092F">
        <w:rPr>
          <w:rFonts w:ascii="Arial" w:eastAsia="Arial" w:hAnsi="Arial" w:cs="Arial"/>
          <w:b/>
          <w:bCs/>
          <w:lang w:val="en-GB"/>
        </w:rPr>
        <w:t>delivered</w:t>
      </w:r>
      <w:r w:rsidR="00E9022F">
        <w:rPr>
          <w:rFonts w:ascii="Arial" w:eastAsia="Arial" w:hAnsi="Arial" w:cs="Arial"/>
          <w:b/>
          <w:bCs/>
          <w:lang w:val="en-GB"/>
        </w:rPr>
        <w:t xml:space="preserve"> </w:t>
      </w:r>
      <w:r w:rsidR="007B6D21">
        <w:rPr>
          <w:rFonts w:ascii="Arial" w:eastAsia="Arial" w:hAnsi="Arial" w:cs="Arial"/>
          <w:b/>
          <w:bCs/>
          <w:lang w:val="en-GB"/>
        </w:rPr>
        <w:t>c.</w:t>
      </w:r>
      <w:r w:rsidR="00E62DD1" w:rsidRPr="00E62DD1">
        <w:rPr>
          <w:rFonts w:ascii="Arial" w:eastAsia="Arial" w:hAnsi="Arial" w:cs="Arial"/>
          <w:b/>
          <w:bCs/>
          <w:lang w:val="en-GB"/>
        </w:rPr>
        <w:t xml:space="preserve">2,900 </w:t>
      </w:r>
      <w:r w:rsidR="0056092F">
        <w:rPr>
          <w:rFonts w:ascii="Arial" w:eastAsia="Arial" w:hAnsi="Arial" w:cs="Arial"/>
          <w:b/>
          <w:bCs/>
          <w:lang w:val="en-GB"/>
        </w:rPr>
        <w:t xml:space="preserve">units </w:t>
      </w:r>
      <w:r w:rsidR="00DA0DE3">
        <w:rPr>
          <w:rFonts w:ascii="Arial" w:eastAsia="Arial" w:hAnsi="Arial" w:cs="Arial"/>
          <w:b/>
          <w:bCs/>
          <w:lang w:val="en-GB"/>
        </w:rPr>
        <w:t xml:space="preserve">with </w:t>
      </w:r>
      <w:r w:rsidR="000948F5">
        <w:rPr>
          <w:rFonts w:ascii="Arial" w:eastAsia="Arial" w:hAnsi="Arial" w:cs="Arial"/>
          <w:b/>
          <w:bCs/>
          <w:lang w:val="en-GB"/>
        </w:rPr>
        <w:t xml:space="preserve">Total </w:t>
      </w:r>
      <w:r w:rsidR="00DA0DE3">
        <w:rPr>
          <w:rFonts w:ascii="Arial" w:eastAsia="Arial" w:hAnsi="Arial" w:cs="Arial"/>
          <w:b/>
          <w:bCs/>
          <w:lang w:val="en-GB"/>
        </w:rPr>
        <w:t>Revenues</w:t>
      </w:r>
      <w:r w:rsidR="009B67BE">
        <w:rPr>
          <w:rFonts w:ascii="Arial" w:eastAsia="Arial" w:hAnsi="Arial" w:cs="Arial"/>
          <w:b/>
          <w:bCs/>
          <w:lang w:val="en-GB"/>
        </w:rPr>
        <w:t xml:space="preserve"> </w:t>
      </w:r>
      <w:r w:rsidR="00DA0DE3">
        <w:rPr>
          <w:rFonts w:ascii="Arial" w:eastAsia="Arial" w:hAnsi="Arial" w:cs="Arial"/>
          <w:b/>
          <w:bCs/>
          <w:lang w:val="en-GB"/>
        </w:rPr>
        <w:t>and</w:t>
      </w:r>
      <w:r w:rsidR="009B67BE">
        <w:rPr>
          <w:rFonts w:ascii="Arial" w:eastAsia="Arial" w:hAnsi="Arial" w:cs="Arial"/>
          <w:b/>
          <w:bCs/>
          <w:lang w:val="en-GB"/>
        </w:rPr>
        <w:t xml:space="preserve"> </w:t>
      </w:r>
      <w:r w:rsidR="006E416B">
        <w:rPr>
          <w:rFonts w:ascii="Arial" w:eastAsia="Arial" w:hAnsi="Arial" w:cs="Arial"/>
          <w:b/>
          <w:bCs/>
          <w:lang w:val="en-GB"/>
        </w:rPr>
        <w:t xml:space="preserve">Adj. EBITDA </w:t>
      </w:r>
      <w:r w:rsidR="00DA0DE3">
        <w:rPr>
          <w:rFonts w:ascii="Arial" w:eastAsia="Arial" w:hAnsi="Arial" w:cs="Arial"/>
          <w:b/>
          <w:bCs/>
          <w:lang w:val="en-GB"/>
        </w:rPr>
        <w:t xml:space="preserve">at the </w:t>
      </w:r>
      <w:proofErr w:type="gramStart"/>
      <w:r w:rsidR="00DA0DE3">
        <w:rPr>
          <w:rFonts w:ascii="Arial" w:eastAsia="Arial" w:hAnsi="Arial" w:cs="Arial"/>
          <w:b/>
          <w:bCs/>
          <w:lang w:val="en-GB"/>
        </w:rPr>
        <w:t>higher-end</w:t>
      </w:r>
      <w:proofErr w:type="gramEnd"/>
      <w:r w:rsidR="00DA0DE3">
        <w:rPr>
          <w:rFonts w:ascii="Arial" w:eastAsia="Arial" w:hAnsi="Arial" w:cs="Arial"/>
          <w:b/>
          <w:bCs/>
          <w:lang w:val="en-GB"/>
        </w:rPr>
        <w:t xml:space="preserve"> of </w:t>
      </w:r>
      <w:r w:rsidR="00CC0419">
        <w:rPr>
          <w:rFonts w:ascii="Arial" w:eastAsia="Arial" w:hAnsi="Arial" w:cs="Arial"/>
          <w:b/>
          <w:bCs/>
          <w:lang w:val="en-GB"/>
        </w:rPr>
        <w:t xml:space="preserve">its </w:t>
      </w:r>
      <w:r w:rsidR="006E416B">
        <w:rPr>
          <w:rFonts w:ascii="Arial" w:eastAsia="Arial" w:hAnsi="Arial" w:cs="Arial"/>
          <w:b/>
          <w:bCs/>
          <w:lang w:val="en-GB"/>
        </w:rPr>
        <w:t xml:space="preserve">guidance </w:t>
      </w:r>
    </w:p>
    <w:p w14:paraId="141F9406" w14:textId="7A0CF516" w:rsidR="00E62DD1" w:rsidRPr="00E62DD1" w:rsidRDefault="006E416B" w:rsidP="00AA2A38">
      <w:pPr>
        <w:numPr>
          <w:ilvl w:val="0"/>
          <w:numId w:val="1"/>
        </w:numPr>
        <w:pBdr>
          <w:top w:val="nil"/>
          <w:left w:val="nil"/>
          <w:bottom w:val="nil"/>
          <w:right w:val="nil"/>
          <w:between w:val="nil"/>
        </w:pBdr>
        <w:spacing w:after="120" w:line="240" w:lineRule="auto"/>
        <w:jc w:val="both"/>
        <w:rPr>
          <w:rFonts w:ascii="Arial" w:eastAsia="Arial" w:hAnsi="Arial" w:cs="Arial"/>
          <w:b/>
          <w:bCs/>
          <w:lang w:val="en-GB"/>
        </w:rPr>
      </w:pPr>
      <w:r>
        <w:rPr>
          <w:rFonts w:ascii="Arial" w:eastAsia="Arial" w:hAnsi="Arial" w:cs="Arial"/>
          <w:b/>
          <w:bCs/>
          <w:lang w:val="en-GB"/>
        </w:rPr>
        <w:t xml:space="preserve">At the </w:t>
      </w:r>
      <w:r w:rsidR="00B40299">
        <w:rPr>
          <w:rFonts w:ascii="Arial" w:eastAsia="Arial" w:hAnsi="Arial" w:cs="Arial"/>
          <w:b/>
          <w:bCs/>
          <w:lang w:val="en-GB"/>
        </w:rPr>
        <w:t>Net Income level</w:t>
      </w:r>
      <w:r w:rsidR="00352D8F">
        <w:rPr>
          <w:rFonts w:ascii="Arial" w:eastAsia="Arial" w:hAnsi="Arial" w:cs="Arial"/>
          <w:b/>
          <w:bCs/>
          <w:lang w:val="en-GB"/>
        </w:rPr>
        <w:t xml:space="preserve">, </w:t>
      </w:r>
      <w:proofErr w:type="spellStart"/>
      <w:r w:rsidR="00352D8F">
        <w:rPr>
          <w:rFonts w:ascii="Arial" w:eastAsia="Arial" w:hAnsi="Arial" w:cs="Arial"/>
          <w:b/>
          <w:bCs/>
          <w:lang w:val="en-GB"/>
        </w:rPr>
        <w:t>Neinor</w:t>
      </w:r>
      <w:proofErr w:type="spellEnd"/>
      <w:r w:rsidR="00352D8F">
        <w:rPr>
          <w:rFonts w:ascii="Arial" w:eastAsia="Arial" w:hAnsi="Arial" w:cs="Arial"/>
          <w:b/>
          <w:bCs/>
          <w:lang w:val="en-GB"/>
        </w:rPr>
        <w:t xml:space="preserve"> will</w:t>
      </w:r>
      <w:r w:rsidR="00267959">
        <w:rPr>
          <w:rFonts w:ascii="Arial" w:eastAsia="Arial" w:hAnsi="Arial" w:cs="Arial"/>
          <w:b/>
          <w:bCs/>
          <w:lang w:val="en-GB"/>
        </w:rPr>
        <w:t xml:space="preserve"> report a beat to its </w:t>
      </w:r>
      <w:r w:rsidR="00DA0DE3">
        <w:rPr>
          <w:rFonts w:ascii="Arial" w:eastAsia="Arial" w:hAnsi="Arial" w:cs="Arial"/>
          <w:b/>
          <w:bCs/>
          <w:lang w:val="en-GB"/>
        </w:rPr>
        <w:t xml:space="preserve">targets </w:t>
      </w:r>
      <w:r w:rsidR="00400FF8">
        <w:rPr>
          <w:rFonts w:ascii="Arial" w:eastAsia="Arial" w:hAnsi="Arial" w:cs="Arial"/>
          <w:b/>
          <w:bCs/>
          <w:lang w:val="en-GB"/>
        </w:rPr>
        <w:t xml:space="preserve">due to </w:t>
      </w:r>
      <w:r w:rsidR="00267959">
        <w:rPr>
          <w:rFonts w:ascii="Arial" w:eastAsia="Arial" w:hAnsi="Arial" w:cs="Arial"/>
          <w:b/>
          <w:bCs/>
          <w:lang w:val="en-GB"/>
        </w:rPr>
        <w:t>the positive impact from the acquisition of 79.2% stake in AEDAS</w:t>
      </w:r>
      <w:r w:rsidR="00B94A61">
        <w:rPr>
          <w:rFonts w:ascii="Arial" w:eastAsia="Arial" w:hAnsi="Arial" w:cs="Arial"/>
          <w:b/>
          <w:bCs/>
          <w:lang w:val="en-GB"/>
        </w:rPr>
        <w:t xml:space="preserve"> Homes</w:t>
      </w:r>
    </w:p>
    <w:p w14:paraId="19FE18F4" w14:textId="17CDDA63" w:rsidR="00D4252A" w:rsidRDefault="00BA4705" w:rsidP="00AA2A38">
      <w:pPr>
        <w:numPr>
          <w:ilvl w:val="0"/>
          <w:numId w:val="1"/>
        </w:numPr>
        <w:pBdr>
          <w:top w:val="nil"/>
          <w:left w:val="nil"/>
          <w:bottom w:val="nil"/>
          <w:right w:val="nil"/>
          <w:between w:val="nil"/>
        </w:pBdr>
        <w:spacing w:after="120" w:line="240" w:lineRule="auto"/>
        <w:jc w:val="both"/>
        <w:rPr>
          <w:rFonts w:ascii="Arial" w:eastAsia="Arial" w:hAnsi="Arial" w:cs="Arial"/>
          <w:b/>
          <w:bCs/>
          <w:lang w:val="en-GB"/>
        </w:rPr>
      </w:pPr>
      <w:r>
        <w:rPr>
          <w:rFonts w:ascii="Arial" w:eastAsia="Arial" w:hAnsi="Arial" w:cs="Arial"/>
          <w:b/>
          <w:bCs/>
          <w:lang w:val="en-GB"/>
        </w:rPr>
        <w:t>In</w:t>
      </w:r>
      <w:r w:rsidR="00F62C4A">
        <w:rPr>
          <w:rFonts w:ascii="Arial" w:eastAsia="Arial" w:hAnsi="Arial" w:cs="Arial"/>
          <w:b/>
          <w:bCs/>
          <w:lang w:val="en-GB"/>
        </w:rPr>
        <w:t xml:space="preserve"> </w:t>
      </w:r>
      <w:r>
        <w:rPr>
          <w:rFonts w:ascii="Arial" w:eastAsia="Arial" w:hAnsi="Arial" w:cs="Arial"/>
          <w:b/>
          <w:bCs/>
          <w:lang w:val="en-GB"/>
        </w:rPr>
        <w:t>2025</w:t>
      </w:r>
      <w:r w:rsidR="00267959">
        <w:rPr>
          <w:rFonts w:ascii="Arial" w:eastAsia="Arial" w:hAnsi="Arial" w:cs="Arial"/>
          <w:b/>
          <w:bCs/>
          <w:lang w:val="en-GB"/>
        </w:rPr>
        <w:t>,</w:t>
      </w:r>
      <w:r w:rsidR="00F62C4A">
        <w:rPr>
          <w:rFonts w:ascii="Arial" w:eastAsia="Arial" w:hAnsi="Arial" w:cs="Arial"/>
          <w:b/>
          <w:bCs/>
          <w:lang w:val="en-GB"/>
        </w:rPr>
        <w:t xml:space="preserve"> c</w:t>
      </w:r>
      <w:r w:rsidR="00D4252A" w:rsidRPr="00D4252A">
        <w:rPr>
          <w:rFonts w:ascii="Arial" w:eastAsia="Arial" w:hAnsi="Arial" w:cs="Arial"/>
          <w:b/>
          <w:bCs/>
          <w:lang w:val="en-GB"/>
        </w:rPr>
        <w:t>ommercialization</w:t>
      </w:r>
      <w:r w:rsidR="00037956">
        <w:rPr>
          <w:rFonts w:ascii="Arial" w:eastAsia="Arial" w:hAnsi="Arial" w:cs="Arial"/>
          <w:b/>
          <w:bCs/>
          <w:lang w:val="en-GB"/>
        </w:rPr>
        <w:t xml:space="preserve"> momentum</w:t>
      </w:r>
      <w:r w:rsidR="008972A5">
        <w:rPr>
          <w:rFonts w:ascii="Arial" w:eastAsia="Arial" w:hAnsi="Arial" w:cs="Arial"/>
          <w:b/>
          <w:bCs/>
          <w:lang w:val="en-GB"/>
        </w:rPr>
        <w:t xml:space="preserve"> rema</w:t>
      </w:r>
      <w:r w:rsidR="008F6E0A">
        <w:rPr>
          <w:rFonts w:ascii="Arial" w:eastAsia="Arial" w:hAnsi="Arial" w:cs="Arial"/>
          <w:b/>
          <w:bCs/>
          <w:lang w:val="en-GB"/>
        </w:rPr>
        <w:t>ined strong</w:t>
      </w:r>
      <w:r w:rsidR="00D4252A" w:rsidRPr="00D4252A">
        <w:rPr>
          <w:rFonts w:ascii="Arial" w:eastAsia="Arial" w:hAnsi="Arial" w:cs="Arial"/>
          <w:b/>
          <w:bCs/>
          <w:lang w:val="en-GB"/>
        </w:rPr>
        <w:t xml:space="preserve">, with over </w:t>
      </w:r>
      <w:r w:rsidR="00935518">
        <w:rPr>
          <w:rFonts w:ascii="Arial" w:eastAsia="Arial" w:hAnsi="Arial" w:cs="Arial"/>
          <w:b/>
          <w:bCs/>
          <w:lang w:val="en-GB"/>
        </w:rPr>
        <w:t>+</w:t>
      </w:r>
      <w:r w:rsidR="00D4252A" w:rsidRPr="00D4252A">
        <w:rPr>
          <w:rFonts w:ascii="Arial" w:eastAsia="Arial" w:hAnsi="Arial" w:cs="Arial"/>
          <w:b/>
          <w:bCs/>
          <w:lang w:val="en-GB"/>
        </w:rPr>
        <w:t>2,</w:t>
      </w:r>
      <w:r w:rsidR="00935518">
        <w:rPr>
          <w:rFonts w:ascii="Arial" w:eastAsia="Arial" w:hAnsi="Arial" w:cs="Arial"/>
          <w:b/>
          <w:bCs/>
          <w:lang w:val="en-GB"/>
        </w:rPr>
        <w:t>8</w:t>
      </w:r>
      <w:r w:rsidR="00D4252A" w:rsidRPr="00D4252A">
        <w:rPr>
          <w:rFonts w:ascii="Arial" w:eastAsia="Arial" w:hAnsi="Arial" w:cs="Arial"/>
          <w:b/>
          <w:bCs/>
          <w:lang w:val="en-GB"/>
        </w:rPr>
        <w:t xml:space="preserve">00 units pre-sold </w:t>
      </w:r>
      <w:r w:rsidR="00AB6F09">
        <w:rPr>
          <w:rFonts w:ascii="Arial" w:eastAsia="Arial" w:hAnsi="Arial" w:cs="Arial"/>
          <w:b/>
          <w:bCs/>
          <w:lang w:val="en-GB"/>
        </w:rPr>
        <w:t>(</w:t>
      </w:r>
      <w:r w:rsidR="00E04523">
        <w:rPr>
          <w:rFonts w:ascii="Arial" w:eastAsia="Arial" w:hAnsi="Arial" w:cs="Arial"/>
          <w:b/>
          <w:bCs/>
          <w:lang w:val="en-GB"/>
        </w:rPr>
        <w:t>+</w:t>
      </w:r>
      <w:r w:rsidR="00460BF3">
        <w:rPr>
          <w:rFonts w:ascii="Arial" w:eastAsia="Arial" w:hAnsi="Arial" w:cs="Arial"/>
          <w:b/>
          <w:bCs/>
          <w:lang w:val="en-GB"/>
        </w:rPr>
        <w:t>6</w:t>
      </w:r>
      <w:r w:rsidR="00E04523">
        <w:rPr>
          <w:rFonts w:ascii="Arial" w:eastAsia="Arial" w:hAnsi="Arial" w:cs="Arial"/>
          <w:b/>
          <w:bCs/>
          <w:lang w:val="en-GB"/>
        </w:rPr>
        <w:t>%</w:t>
      </w:r>
      <w:r w:rsidR="00F153B2">
        <w:rPr>
          <w:rFonts w:ascii="Arial" w:eastAsia="Arial" w:hAnsi="Arial" w:cs="Arial"/>
          <w:b/>
          <w:bCs/>
          <w:lang w:val="en-GB"/>
        </w:rPr>
        <w:t xml:space="preserve"> YoY</w:t>
      </w:r>
      <w:r w:rsidR="00E04523">
        <w:rPr>
          <w:rFonts w:ascii="Arial" w:eastAsia="Arial" w:hAnsi="Arial" w:cs="Arial"/>
          <w:b/>
          <w:bCs/>
          <w:lang w:val="en-GB"/>
        </w:rPr>
        <w:t xml:space="preserve">) </w:t>
      </w:r>
    </w:p>
    <w:p w14:paraId="2F5D2400" w14:textId="34F5EE1C" w:rsidR="00F21B42" w:rsidRPr="00F21B42" w:rsidRDefault="00400FF8" w:rsidP="00B33936">
      <w:pPr>
        <w:numPr>
          <w:ilvl w:val="0"/>
          <w:numId w:val="1"/>
        </w:numPr>
        <w:pBdr>
          <w:top w:val="nil"/>
          <w:left w:val="nil"/>
          <w:bottom w:val="nil"/>
          <w:right w:val="nil"/>
          <w:between w:val="nil"/>
        </w:pBdr>
        <w:spacing w:after="120" w:line="240" w:lineRule="auto"/>
        <w:jc w:val="both"/>
        <w:rPr>
          <w:rFonts w:ascii="Arial" w:eastAsia="Arial" w:hAnsi="Arial" w:cs="Arial"/>
          <w:b/>
          <w:bCs/>
          <w:lang w:val="en-GB"/>
        </w:rPr>
      </w:pPr>
      <w:r>
        <w:rPr>
          <w:rFonts w:ascii="Arial" w:eastAsia="Arial" w:hAnsi="Arial" w:cs="Arial"/>
          <w:b/>
          <w:bCs/>
          <w:lang w:val="en-US"/>
        </w:rPr>
        <w:t>The t</w:t>
      </w:r>
      <w:r w:rsidR="00F21B42">
        <w:rPr>
          <w:rFonts w:ascii="Arial" w:eastAsia="Arial" w:hAnsi="Arial" w:cs="Arial"/>
          <w:b/>
          <w:bCs/>
          <w:lang w:val="en-US"/>
        </w:rPr>
        <w:t>ransformational</w:t>
      </w:r>
      <w:r w:rsidR="00F21B42" w:rsidRPr="00F21B42">
        <w:rPr>
          <w:rFonts w:ascii="Arial" w:eastAsia="Arial" w:hAnsi="Arial" w:cs="Arial"/>
          <w:b/>
          <w:bCs/>
          <w:lang w:val="en-US"/>
        </w:rPr>
        <w:t xml:space="preserve"> </w:t>
      </w:r>
      <w:r w:rsidR="008E7D35">
        <w:rPr>
          <w:rFonts w:ascii="Arial" w:eastAsia="Arial" w:hAnsi="Arial" w:cs="Arial"/>
          <w:b/>
          <w:bCs/>
          <w:lang w:val="en-US"/>
        </w:rPr>
        <w:t>+</w:t>
      </w:r>
      <w:r w:rsidR="00F21B42" w:rsidRPr="00F21B42">
        <w:rPr>
          <w:rFonts w:ascii="Arial" w:eastAsia="Arial" w:hAnsi="Arial" w:cs="Arial"/>
          <w:b/>
          <w:bCs/>
          <w:lang w:val="en-US"/>
        </w:rPr>
        <w:t>€</w:t>
      </w:r>
      <w:r w:rsidR="00F21B42" w:rsidRPr="008E7D35">
        <w:rPr>
          <w:rFonts w:ascii="Arial" w:eastAsia="Arial" w:hAnsi="Arial" w:cs="Arial"/>
          <w:b/>
          <w:bCs/>
          <w:lang w:val="en-US"/>
        </w:rPr>
        <w:t>1.8bn</w:t>
      </w:r>
      <w:r w:rsidR="00F21B42" w:rsidRPr="00F21B42">
        <w:rPr>
          <w:rFonts w:ascii="Arial" w:eastAsia="Arial" w:hAnsi="Arial" w:cs="Arial"/>
          <w:b/>
          <w:bCs/>
          <w:lang w:val="en-US"/>
        </w:rPr>
        <w:t xml:space="preserve"> acquisition of AEDAS</w:t>
      </w:r>
      <w:r w:rsidR="00B94A61">
        <w:rPr>
          <w:rFonts w:ascii="Arial" w:eastAsia="Arial" w:hAnsi="Arial" w:cs="Arial"/>
          <w:b/>
          <w:bCs/>
          <w:lang w:val="en-US"/>
        </w:rPr>
        <w:t xml:space="preserve"> </w:t>
      </w:r>
      <w:r w:rsidR="00B94A61" w:rsidRPr="008F4720">
        <w:rPr>
          <w:rFonts w:ascii="Arial" w:eastAsia="Arial" w:hAnsi="Arial" w:cs="Arial"/>
          <w:b/>
          <w:bCs/>
          <w:lang w:val="en-US"/>
        </w:rPr>
        <w:t>Homes</w:t>
      </w:r>
      <w:r w:rsidR="00F21B42" w:rsidRPr="00F21B42">
        <w:rPr>
          <w:rFonts w:ascii="Arial" w:eastAsia="Arial" w:hAnsi="Arial" w:cs="Arial"/>
          <w:b/>
          <w:bCs/>
          <w:lang w:val="en-US"/>
        </w:rPr>
        <w:t xml:space="preserve"> </w:t>
      </w:r>
      <w:r w:rsidR="00F21B42">
        <w:rPr>
          <w:rFonts w:ascii="Arial" w:eastAsia="Arial" w:hAnsi="Arial" w:cs="Arial"/>
          <w:b/>
          <w:bCs/>
          <w:lang w:val="en-US"/>
        </w:rPr>
        <w:t>(</w:t>
      </w:r>
      <w:r w:rsidR="000378A9">
        <w:rPr>
          <w:rFonts w:ascii="Arial" w:eastAsia="Arial" w:hAnsi="Arial" w:cs="Arial"/>
          <w:b/>
          <w:bCs/>
          <w:lang w:val="en-US"/>
        </w:rPr>
        <w:t>c.</w:t>
      </w:r>
      <w:r w:rsidR="00F21B42">
        <w:rPr>
          <w:rFonts w:ascii="Arial" w:eastAsia="Arial" w:hAnsi="Arial" w:cs="Arial"/>
          <w:b/>
          <w:bCs/>
          <w:lang w:val="en-US"/>
        </w:rPr>
        <w:t>20,200 units)</w:t>
      </w:r>
      <w:r w:rsidR="000B05B3">
        <w:rPr>
          <w:rFonts w:ascii="Arial" w:eastAsia="Arial" w:hAnsi="Arial" w:cs="Arial"/>
          <w:b/>
          <w:bCs/>
          <w:lang w:val="en-US"/>
        </w:rPr>
        <w:t xml:space="preserve"> represented </w:t>
      </w:r>
      <w:r w:rsidR="00F21B42" w:rsidRPr="00F21B42">
        <w:rPr>
          <w:rFonts w:ascii="Arial" w:eastAsia="Arial" w:hAnsi="Arial" w:cs="Arial"/>
          <w:b/>
          <w:bCs/>
          <w:lang w:val="en-US"/>
        </w:rPr>
        <w:t>a step-change in scale</w:t>
      </w:r>
      <w:r w:rsidR="009417FA">
        <w:rPr>
          <w:rFonts w:ascii="Arial" w:eastAsia="Arial" w:hAnsi="Arial" w:cs="Arial"/>
          <w:b/>
          <w:bCs/>
          <w:lang w:val="en-US"/>
        </w:rPr>
        <w:t>,</w:t>
      </w:r>
      <w:r w:rsidR="00F21B42" w:rsidRPr="00F21B42">
        <w:rPr>
          <w:rFonts w:ascii="Arial" w:eastAsia="Arial" w:hAnsi="Arial" w:cs="Arial"/>
          <w:b/>
          <w:bCs/>
          <w:lang w:val="en-US"/>
        </w:rPr>
        <w:t xml:space="preserve"> </w:t>
      </w:r>
      <w:r w:rsidR="0082664B">
        <w:rPr>
          <w:rFonts w:ascii="Arial" w:eastAsia="Arial" w:hAnsi="Arial" w:cs="Arial"/>
          <w:b/>
          <w:bCs/>
          <w:lang w:val="en-US"/>
        </w:rPr>
        <w:t xml:space="preserve">is </w:t>
      </w:r>
      <w:r w:rsidR="00F21B42" w:rsidRPr="00F21B42">
        <w:rPr>
          <w:rFonts w:ascii="Arial" w:eastAsia="Arial" w:hAnsi="Arial" w:cs="Arial"/>
          <w:b/>
          <w:bCs/>
          <w:lang w:val="en-US"/>
        </w:rPr>
        <w:t>highly accretive and fast-tracks</w:t>
      </w:r>
      <w:r w:rsidR="0082664B">
        <w:rPr>
          <w:rFonts w:ascii="Arial" w:eastAsia="Arial" w:hAnsi="Arial" w:cs="Arial"/>
          <w:b/>
          <w:bCs/>
          <w:lang w:val="en-US"/>
        </w:rPr>
        <w:t xml:space="preserve"> execution of</w:t>
      </w:r>
      <w:r w:rsidR="00F21B42" w:rsidRPr="00F21B42">
        <w:rPr>
          <w:rFonts w:ascii="Arial" w:eastAsia="Arial" w:hAnsi="Arial" w:cs="Arial"/>
          <w:b/>
          <w:bCs/>
          <w:lang w:val="en-US"/>
        </w:rPr>
        <w:t xml:space="preserve"> Neinor’s</w:t>
      </w:r>
      <w:r w:rsidR="00B96443">
        <w:rPr>
          <w:rFonts w:ascii="Arial" w:eastAsia="Arial" w:hAnsi="Arial" w:cs="Arial"/>
          <w:b/>
          <w:bCs/>
          <w:lang w:val="en-US"/>
        </w:rPr>
        <w:t xml:space="preserve"> 2023-27</w:t>
      </w:r>
      <w:r w:rsidR="00F21B42" w:rsidRPr="00F21B42">
        <w:rPr>
          <w:rFonts w:ascii="Arial" w:eastAsia="Arial" w:hAnsi="Arial" w:cs="Arial"/>
          <w:b/>
          <w:bCs/>
          <w:lang w:val="en-US"/>
        </w:rPr>
        <w:t xml:space="preserve"> Strategic Plan</w:t>
      </w:r>
    </w:p>
    <w:p w14:paraId="7FA5FDF3" w14:textId="341BF39A" w:rsidR="00B33936" w:rsidRPr="00B33936" w:rsidRDefault="00B33936" w:rsidP="00B33936">
      <w:pPr>
        <w:numPr>
          <w:ilvl w:val="0"/>
          <w:numId w:val="1"/>
        </w:numPr>
        <w:pBdr>
          <w:top w:val="nil"/>
          <w:left w:val="nil"/>
          <w:bottom w:val="nil"/>
          <w:right w:val="nil"/>
          <w:between w:val="nil"/>
        </w:pBdr>
        <w:spacing w:after="120" w:line="240" w:lineRule="auto"/>
        <w:jc w:val="both"/>
        <w:rPr>
          <w:rFonts w:ascii="Arial" w:eastAsia="Arial" w:hAnsi="Arial" w:cs="Arial"/>
          <w:b/>
          <w:bCs/>
          <w:lang w:val="en-GB"/>
        </w:rPr>
      </w:pPr>
      <w:r w:rsidRPr="00B33936">
        <w:rPr>
          <w:rFonts w:ascii="Arial" w:eastAsia="Arial" w:hAnsi="Arial" w:cs="Arial"/>
          <w:b/>
          <w:bCs/>
          <w:lang w:val="en-US"/>
        </w:rPr>
        <w:t xml:space="preserve">Spain remains </w:t>
      </w:r>
      <w:r w:rsidR="005130D8">
        <w:rPr>
          <w:rFonts w:ascii="Arial" w:eastAsia="Arial" w:hAnsi="Arial" w:cs="Arial"/>
          <w:b/>
          <w:bCs/>
          <w:lang w:val="en-US"/>
        </w:rPr>
        <w:t>one of the</w:t>
      </w:r>
      <w:r w:rsidRPr="00B33936">
        <w:rPr>
          <w:rFonts w:ascii="Arial" w:eastAsia="Arial" w:hAnsi="Arial" w:cs="Arial"/>
          <w:b/>
          <w:bCs/>
          <w:lang w:val="en-US"/>
        </w:rPr>
        <w:t xml:space="preserve"> strongest residential market</w:t>
      </w:r>
      <w:r w:rsidR="00970A91">
        <w:rPr>
          <w:rFonts w:ascii="Arial" w:eastAsia="Arial" w:hAnsi="Arial" w:cs="Arial"/>
          <w:b/>
          <w:bCs/>
          <w:lang w:val="en-US"/>
        </w:rPr>
        <w:t>s</w:t>
      </w:r>
      <w:r w:rsidRPr="00B33936">
        <w:rPr>
          <w:rFonts w:ascii="Arial" w:eastAsia="Arial" w:hAnsi="Arial" w:cs="Arial"/>
          <w:b/>
          <w:bCs/>
          <w:lang w:val="en-US"/>
        </w:rPr>
        <w:t xml:space="preserve"> </w:t>
      </w:r>
      <w:r w:rsidR="00B14F30">
        <w:rPr>
          <w:rFonts w:ascii="Arial" w:eastAsia="Arial" w:hAnsi="Arial" w:cs="Arial"/>
          <w:b/>
          <w:bCs/>
          <w:lang w:val="en-US"/>
        </w:rPr>
        <w:t>globally</w:t>
      </w:r>
      <w:r w:rsidRPr="00B33936">
        <w:rPr>
          <w:rFonts w:ascii="Arial" w:eastAsia="Arial" w:hAnsi="Arial" w:cs="Arial"/>
          <w:b/>
          <w:bCs/>
          <w:lang w:val="en-US"/>
        </w:rPr>
        <w:t>, backed by structural undersupply, economic</w:t>
      </w:r>
      <w:r>
        <w:rPr>
          <w:rFonts w:ascii="Arial" w:eastAsia="Arial" w:hAnsi="Arial" w:cs="Arial"/>
          <w:b/>
          <w:bCs/>
          <w:lang w:val="en-US"/>
        </w:rPr>
        <w:t xml:space="preserve"> </w:t>
      </w:r>
      <w:r w:rsidRPr="00B33936">
        <w:rPr>
          <w:rFonts w:ascii="Arial" w:eastAsia="Arial" w:hAnsi="Arial" w:cs="Arial"/>
          <w:b/>
          <w:bCs/>
          <w:lang w:val="en-US"/>
        </w:rPr>
        <w:t>growth and improving affordability</w:t>
      </w:r>
    </w:p>
    <w:p w14:paraId="54E04874" w14:textId="7D9E9B0E" w:rsidR="00BA6092" w:rsidRPr="00914B95" w:rsidRDefault="00914B95" w:rsidP="00AA2A38">
      <w:pPr>
        <w:numPr>
          <w:ilvl w:val="0"/>
          <w:numId w:val="1"/>
        </w:numPr>
        <w:pBdr>
          <w:top w:val="nil"/>
          <w:left w:val="nil"/>
          <w:bottom w:val="nil"/>
          <w:right w:val="nil"/>
          <w:between w:val="nil"/>
        </w:pBdr>
        <w:spacing w:after="120" w:line="240" w:lineRule="auto"/>
        <w:jc w:val="both"/>
        <w:rPr>
          <w:rFonts w:ascii="Arial" w:eastAsia="Arial" w:hAnsi="Arial" w:cs="Arial"/>
          <w:b/>
          <w:lang w:val="en-GB"/>
        </w:rPr>
      </w:pPr>
      <w:r w:rsidRPr="00914B95">
        <w:rPr>
          <w:rFonts w:ascii="Arial" w:eastAsia="Arial" w:hAnsi="Arial" w:cs="Arial"/>
          <w:b/>
          <w:lang w:val="en-GB"/>
        </w:rPr>
        <w:t xml:space="preserve">With limited competition and strong fundamentals, </w:t>
      </w:r>
      <w:proofErr w:type="spellStart"/>
      <w:r w:rsidRPr="00914B95">
        <w:rPr>
          <w:rFonts w:ascii="Arial" w:eastAsia="Arial" w:hAnsi="Arial" w:cs="Arial"/>
          <w:b/>
          <w:lang w:val="en-GB"/>
        </w:rPr>
        <w:t>Neinor</w:t>
      </w:r>
      <w:proofErr w:type="spellEnd"/>
      <w:r w:rsidRPr="00914B95">
        <w:rPr>
          <w:rFonts w:ascii="Arial" w:eastAsia="Arial" w:hAnsi="Arial" w:cs="Arial"/>
          <w:b/>
          <w:lang w:val="en-GB"/>
        </w:rPr>
        <w:t xml:space="preserve"> enters 2026 with a clear competitive advantage to </w:t>
      </w:r>
      <w:r w:rsidR="007E1808">
        <w:rPr>
          <w:rFonts w:ascii="Arial" w:eastAsia="Arial" w:hAnsi="Arial" w:cs="Arial"/>
          <w:b/>
          <w:lang w:val="en-GB"/>
        </w:rPr>
        <w:t>seize long-term value for its shareholders</w:t>
      </w:r>
      <w:r w:rsidR="008C4000">
        <w:rPr>
          <w:rFonts w:ascii="Arial" w:eastAsia="Arial" w:hAnsi="Arial" w:cs="Arial"/>
          <w:b/>
          <w:lang w:val="en-GB"/>
        </w:rPr>
        <w:t xml:space="preserve"> </w:t>
      </w:r>
      <w:r w:rsidR="00FA73C7">
        <w:rPr>
          <w:rFonts w:ascii="Arial" w:eastAsia="Arial" w:hAnsi="Arial" w:cs="Arial"/>
          <w:b/>
          <w:lang w:val="en-GB"/>
        </w:rPr>
        <w:t>by leveraging its equity efficient growth strategy</w:t>
      </w:r>
    </w:p>
    <w:p w14:paraId="7479B718" w14:textId="77777777" w:rsidR="001509DD" w:rsidRPr="00221EB4" w:rsidRDefault="001509DD" w:rsidP="00663EC4">
      <w:pPr>
        <w:pStyle w:val="NormalWeb"/>
        <w:jc w:val="both"/>
        <w:rPr>
          <w:rFonts w:ascii="Arial" w:eastAsia="Arial" w:hAnsi="Arial" w:cs="Arial"/>
          <w:b/>
          <w:bCs/>
          <w:lang w:val="en-GB"/>
        </w:rPr>
      </w:pPr>
    </w:p>
    <w:p w14:paraId="7054883C" w14:textId="15E4D23A" w:rsidR="00663EC4" w:rsidRPr="00663EC4" w:rsidRDefault="001A19BA" w:rsidP="00663EC4">
      <w:pPr>
        <w:pStyle w:val="NormalWeb"/>
        <w:jc w:val="both"/>
        <w:rPr>
          <w:rFonts w:ascii="Arial" w:eastAsia="Arial" w:hAnsi="Arial" w:cs="Arial"/>
          <w:sz w:val="22"/>
          <w:szCs w:val="22"/>
          <w:lang w:val="en-US"/>
        </w:rPr>
      </w:pPr>
      <w:r w:rsidRPr="00B56931">
        <w:rPr>
          <w:rFonts w:ascii="Arial" w:eastAsia="Arial" w:hAnsi="Arial" w:cs="Arial"/>
          <w:b/>
          <w:sz w:val="22"/>
          <w:szCs w:val="22"/>
          <w:lang w:val="en-GB"/>
        </w:rPr>
        <w:t xml:space="preserve">Madrid, </w:t>
      </w:r>
      <w:r w:rsidR="009D678A">
        <w:rPr>
          <w:rFonts w:ascii="Arial" w:eastAsia="Arial" w:hAnsi="Arial" w:cs="Arial"/>
          <w:b/>
          <w:sz w:val="22"/>
          <w:szCs w:val="22"/>
          <w:lang w:val="en-GB"/>
        </w:rPr>
        <w:t>20</w:t>
      </w:r>
      <w:r w:rsidR="009D678A" w:rsidRPr="00B56931">
        <w:rPr>
          <w:rFonts w:ascii="Arial" w:eastAsia="Arial" w:hAnsi="Arial" w:cs="Arial"/>
          <w:b/>
          <w:sz w:val="22"/>
          <w:szCs w:val="22"/>
          <w:lang w:val="en-GB"/>
        </w:rPr>
        <w:t xml:space="preserve"> </w:t>
      </w:r>
      <w:r w:rsidR="003F519A" w:rsidRPr="00B56931">
        <w:rPr>
          <w:rFonts w:ascii="Arial" w:eastAsia="Arial" w:hAnsi="Arial" w:cs="Arial"/>
          <w:b/>
          <w:sz w:val="22"/>
          <w:szCs w:val="22"/>
          <w:lang w:val="en-GB"/>
        </w:rPr>
        <w:t>January</w:t>
      </w:r>
      <w:r w:rsidRPr="00B56931">
        <w:rPr>
          <w:rFonts w:ascii="Arial" w:eastAsia="Arial" w:hAnsi="Arial" w:cs="Arial"/>
          <w:b/>
          <w:sz w:val="22"/>
          <w:szCs w:val="22"/>
          <w:lang w:val="en-GB"/>
        </w:rPr>
        <w:t xml:space="preserve"> 202</w:t>
      </w:r>
      <w:r w:rsidR="00AA2A38" w:rsidRPr="00B56931">
        <w:rPr>
          <w:rFonts w:ascii="Arial" w:eastAsia="Arial" w:hAnsi="Arial" w:cs="Arial"/>
          <w:b/>
          <w:sz w:val="22"/>
          <w:szCs w:val="22"/>
          <w:lang w:val="en-GB"/>
        </w:rPr>
        <w:t>6</w:t>
      </w:r>
      <w:r w:rsidR="00C324A7" w:rsidRPr="00B56931">
        <w:rPr>
          <w:rFonts w:ascii="Arial" w:eastAsia="Arial" w:hAnsi="Arial" w:cs="Arial"/>
          <w:b/>
          <w:sz w:val="22"/>
          <w:szCs w:val="22"/>
          <w:lang w:val="en-GB"/>
        </w:rPr>
        <w:t xml:space="preserve"> </w:t>
      </w:r>
      <w:r w:rsidRPr="00B56931">
        <w:rPr>
          <w:rFonts w:ascii="Arial" w:eastAsia="Arial" w:hAnsi="Arial" w:cs="Arial"/>
          <w:b/>
          <w:sz w:val="22"/>
          <w:szCs w:val="22"/>
          <w:lang w:val="en-GB"/>
        </w:rPr>
        <w:t>-</w:t>
      </w:r>
      <w:r w:rsidRPr="00A0050E">
        <w:rPr>
          <w:rFonts w:ascii="Arial" w:eastAsia="Arial" w:hAnsi="Arial" w:cs="Arial"/>
          <w:lang w:val="en-GB"/>
        </w:rPr>
        <w:t xml:space="preserve"> </w:t>
      </w:r>
      <w:r w:rsidR="00663EC4" w:rsidRPr="00663EC4">
        <w:rPr>
          <w:rFonts w:ascii="Arial" w:eastAsia="Arial" w:hAnsi="Arial" w:cs="Arial"/>
          <w:sz w:val="22"/>
          <w:szCs w:val="22"/>
          <w:lang w:val="en-US"/>
        </w:rPr>
        <w:t xml:space="preserve">Neinor Homes (“Neinor”) </w:t>
      </w:r>
      <w:r w:rsidR="008924A6">
        <w:rPr>
          <w:rFonts w:ascii="Arial" w:eastAsia="Arial" w:hAnsi="Arial" w:cs="Arial"/>
          <w:sz w:val="22"/>
          <w:szCs w:val="22"/>
          <w:lang w:val="en-US"/>
        </w:rPr>
        <w:t>announces</w:t>
      </w:r>
      <w:r w:rsidR="008924A6" w:rsidRPr="00663EC4">
        <w:rPr>
          <w:rFonts w:ascii="Arial" w:eastAsia="Arial" w:hAnsi="Arial" w:cs="Arial"/>
          <w:sz w:val="22"/>
          <w:szCs w:val="22"/>
          <w:lang w:val="en-US"/>
        </w:rPr>
        <w:t xml:space="preserve"> </w:t>
      </w:r>
      <w:r w:rsidR="00663EC4" w:rsidRPr="00663EC4">
        <w:rPr>
          <w:rFonts w:ascii="Arial" w:eastAsia="Arial" w:hAnsi="Arial" w:cs="Arial"/>
          <w:sz w:val="22"/>
          <w:szCs w:val="22"/>
          <w:lang w:val="en-US"/>
        </w:rPr>
        <w:t xml:space="preserve">that, </w:t>
      </w:r>
      <w:r w:rsidR="008924A6">
        <w:rPr>
          <w:rFonts w:ascii="Arial" w:eastAsia="Arial" w:hAnsi="Arial" w:cs="Arial"/>
          <w:sz w:val="22"/>
          <w:szCs w:val="22"/>
          <w:lang w:val="en-US"/>
        </w:rPr>
        <w:t>while</w:t>
      </w:r>
      <w:r w:rsidR="008924A6" w:rsidRPr="00663EC4">
        <w:rPr>
          <w:rFonts w:ascii="Arial" w:eastAsia="Arial" w:hAnsi="Arial" w:cs="Arial"/>
          <w:sz w:val="22"/>
          <w:szCs w:val="22"/>
          <w:lang w:val="en-US"/>
        </w:rPr>
        <w:t xml:space="preserve"> </w:t>
      </w:r>
      <w:r w:rsidR="00663EC4" w:rsidRPr="00663EC4">
        <w:rPr>
          <w:rFonts w:ascii="Arial" w:eastAsia="Arial" w:hAnsi="Arial" w:cs="Arial"/>
          <w:sz w:val="22"/>
          <w:szCs w:val="22"/>
          <w:lang w:val="en-US"/>
        </w:rPr>
        <w:t xml:space="preserve">its consolidated accounts are yet to be formulated and approved by the relevant corporate bodies, the company has sufficient visibility to confirm the fulfilment of its operational and financial targets for the seventh consecutive year. This performance has been </w:t>
      </w:r>
      <w:r w:rsidR="00BE4EFB">
        <w:rPr>
          <w:rFonts w:ascii="Arial" w:eastAsia="Arial" w:hAnsi="Arial" w:cs="Arial"/>
          <w:sz w:val="22"/>
          <w:szCs w:val="22"/>
          <w:lang w:val="en-US"/>
        </w:rPr>
        <w:t>driven</w:t>
      </w:r>
      <w:r w:rsidR="00663EC4" w:rsidRPr="00663EC4">
        <w:rPr>
          <w:rFonts w:ascii="Arial" w:eastAsia="Arial" w:hAnsi="Arial" w:cs="Arial"/>
          <w:sz w:val="22"/>
          <w:szCs w:val="22"/>
          <w:lang w:val="en-US"/>
        </w:rPr>
        <w:t xml:space="preserve"> by </w:t>
      </w:r>
      <w:r w:rsidR="007E1808">
        <w:rPr>
          <w:rFonts w:ascii="Arial" w:eastAsia="Arial" w:hAnsi="Arial" w:cs="Arial"/>
          <w:sz w:val="22"/>
          <w:szCs w:val="22"/>
          <w:lang w:val="en-US"/>
        </w:rPr>
        <w:t>flawless operational</w:t>
      </w:r>
      <w:r w:rsidR="00663EC4" w:rsidRPr="00663EC4">
        <w:rPr>
          <w:rFonts w:ascii="Arial" w:eastAsia="Arial" w:hAnsi="Arial" w:cs="Arial"/>
          <w:sz w:val="22"/>
          <w:szCs w:val="22"/>
          <w:lang w:val="en-US"/>
        </w:rPr>
        <w:t xml:space="preserve"> execution, robust demand across Spain’s structurally undersupplied residential market, and </w:t>
      </w:r>
      <w:r w:rsidR="003A7AD6">
        <w:rPr>
          <w:rFonts w:ascii="Arial" w:eastAsia="Arial" w:hAnsi="Arial" w:cs="Arial"/>
          <w:sz w:val="22"/>
          <w:szCs w:val="22"/>
          <w:lang w:val="en-US"/>
        </w:rPr>
        <w:t xml:space="preserve">Neinor’s </w:t>
      </w:r>
      <w:r w:rsidR="004E1EAC">
        <w:rPr>
          <w:rFonts w:ascii="Arial" w:eastAsia="Arial" w:hAnsi="Arial" w:cs="Arial"/>
          <w:sz w:val="22"/>
          <w:szCs w:val="22"/>
          <w:lang w:val="en-US"/>
        </w:rPr>
        <w:t>Management Team dealmaking capabilities, which enabled the successful execution of the transformational acquisition of AEDAS Homes</w:t>
      </w:r>
      <w:r w:rsidR="00663EC4" w:rsidRPr="00663EC4">
        <w:rPr>
          <w:rFonts w:ascii="Arial" w:eastAsia="Arial" w:hAnsi="Arial" w:cs="Arial"/>
          <w:sz w:val="22"/>
          <w:szCs w:val="22"/>
          <w:lang w:val="en-US"/>
        </w:rPr>
        <w:t>.</w:t>
      </w:r>
    </w:p>
    <w:p w14:paraId="75FB4960" w14:textId="3887FEED" w:rsidR="00663EC4" w:rsidRPr="00663EC4" w:rsidRDefault="00FB1687" w:rsidP="00663EC4">
      <w:pPr>
        <w:pStyle w:val="NormalWeb"/>
        <w:jc w:val="both"/>
        <w:rPr>
          <w:rFonts w:ascii="Arial" w:eastAsia="Arial" w:hAnsi="Arial" w:cs="Arial"/>
          <w:sz w:val="22"/>
          <w:szCs w:val="22"/>
          <w:lang w:val="en-US"/>
        </w:rPr>
      </w:pPr>
      <w:r w:rsidRPr="00F63B59">
        <w:rPr>
          <w:rFonts w:ascii="Arial" w:eastAsia="Arial" w:hAnsi="Arial" w:cs="Arial"/>
          <w:sz w:val="22"/>
          <w:szCs w:val="22"/>
          <w:lang w:val="en-US"/>
        </w:rPr>
        <w:t xml:space="preserve">Furthermore, </w:t>
      </w:r>
      <w:r w:rsidR="00663EC4" w:rsidRPr="00F63B59">
        <w:rPr>
          <w:rFonts w:ascii="Arial" w:eastAsia="Arial" w:hAnsi="Arial" w:cs="Arial"/>
          <w:sz w:val="22"/>
          <w:szCs w:val="22"/>
          <w:lang w:val="en-US"/>
        </w:rPr>
        <w:t>Neinor will publish its FY25 results on 25 February after market close</w:t>
      </w:r>
      <w:r w:rsidR="008458C5">
        <w:rPr>
          <w:rFonts w:ascii="Arial" w:eastAsia="Arial" w:hAnsi="Arial" w:cs="Arial"/>
          <w:sz w:val="22"/>
          <w:szCs w:val="22"/>
          <w:lang w:val="en-US"/>
        </w:rPr>
        <w:t>.</w:t>
      </w:r>
    </w:p>
    <w:p w14:paraId="3C7572AD" w14:textId="77777777" w:rsidR="00663EC4" w:rsidRDefault="00663EC4" w:rsidP="003D1E72">
      <w:pPr>
        <w:shd w:val="clear" w:color="auto" w:fill="FFFFFF"/>
        <w:spacing w:after="0" w:line="240" w:lineRule="auto"/>
        <w:jc w:val="both"/>
        <w:rPr>
          <w:rFonts w:ascii="Arial" w:eastAsia="Arial" w:hAnsi="Arial" w:cs="Arial"/>
          <w:b/>
          <w:bCs/>
          <w:lang w:val="en-GB"/>
        </w:rPr>
      </w:pPr>
    </w:p>
    <w:p w14:paraId="3A06FE17" w14:textId="11A976A4" w:rsidR="003D1E72" w:rsidRPr="003D1E72" w:rsidRDefault="006E1BE1" w:rsidP="003D1E72">
      <w:pPr>
        <w:shd w:val="clear" w:color="auto" w:fill="FFFFFF"/>
        <w:spacing w:after="0" w:line="240" w:lineRule="auto"/>
        <w:jc w:val="both"/>
        <w:rPr>
          <w:rFonts w:ascii="Arial" w:eastAsia="Arial" w:hAnsi="Arial" w:cs="Arial"/>
          <w:b/>
          <w:bCs/>
          <w:lang w:val="en-GB"/>
        </w:rPr>
      </w:pPr>
      <w:r w:rsidRPr="00BD4672">
        <w:rPr>
          <w:rFonts w:ascii="Arial" w:eastAsia="Arial" w:hAnsi="Arial" w:cs="Arial"/>
          <w:b/>
          <w:lang w:val="en-GB"/>
        </w:rPr>
        <w:t>7th</w:t>
      </w:r>
      <w:r w:rsidR="003D1E72" w:rsidRPr="00BD4672">
        <w:rPr>
          <w:rFonts w:ascii="Arial" w:eastAsia="Arial" w:hAnsi="Arial" w:cs="Arial"/>
          <w:b/>
          <w:lang w:val="en-GB"/>
        </w:rPr>
        <w:t xml:space="preserve"> consecutive year delivering on </w:t>
      </w:r>
      <w:r w:rsidR="007F100C" w:rsidRPr="00BD4672">
        <w:rPr>
          <w:rFonts w:ascii="Arial" w:eastAsia="Arial" w:hAnsi="Arial" w:cs="Arial"/>
          <w:b/>
          <w:lang w:val="en-GB"/>
        </w:rPr>
        <w:t>operational and financial targets</w:t>
      </w:r>
      <w:r w:rsidR="00276AF7" w:rsidRPr="00BD4672">
        <w:rPr>
          <w:rFonts w:ascii="Arial" w:eastAsia="Arial" w:hAnsi="Arial" w:cs="Arial"/>
          <w:b/>
          <w:lang w:val="en-GB"/>
        </w:rPr>
        <w:t xml:space="preserve"> with AEDAS acquisition to </w:t>
      </w:r>
      <w:r w:rsidR="00642520" w:rsidRPr="00BD4672">
        <w:rPr>
          <w:rFonts w:ascii="Arial" w:eastAsia="Arial" w:hAnsi="Arial" w:cs="Arial"/>
          <w:b/>
          <w:lang w:val="en-GB"/>
        </w:rPr>
        <w:t xml:space="preserve">positively </w:t>
      </w:r>
      <w:r w:rsidR="008D4C51" w:rsidRPr="00BD4672">
        <w:rPr>
          <w:rFonts w:ascii="Arial" w:eastAsia="Arial" w:hAnsi="Arial" w:cs="Arial"/>
          <w:b/>
          <w:lang w:val="en-GB"/>
        </w:rPr>
        <w:t>impact</w:t>
      </w:r>
      <w:r w:rsidR="00276AF7" w:rsidRPr="00BD4672">
        <w:rPr>
          <w:rFonts w:ascii="Arial" w:eastAsia="Arial" w:hAnsi="Arial" w:cs="Arial"/>
          <w:b/>
          <w:lang w:val="en-GB"/>
        </w:rPr>
        <w:t xml:space="preserve"> </w:t>
      </w:r>
      <w:r w:rsidR="00FE67B6" w:rsidRPr="00BD4672">
        <w:rPr>
          <w:rFonts w:ascii="Arial" w:eastAsia="Arial" w:hAnsi="Arial" w:cs="Arial"/>
          <w:b/>
          <w:lang w:val="en-GB"/>
        </w:rPr>
        <w:t xml:space="preserve">FY25 </w:t>
      </w:r>
      <w:r w:rsidR="00C54513" w:rsidRPr="00BD4672">
        <w:rPr>
          <w:rFonts w:ascii="Arial" w:eastAsia="Arial" w:hAnsi="Arial" w:cs="Arial"/>
          <w:b/>
          <w:lang w:val="en-GB"/>
        </w:rPr>
        <w:t>Net Income</w:t>
      </w:r>
      <w:r w:rsidR="00C54513">
        <w:rPr>
          <w:rFonts w:ascii="Arial" w:eastAsia="Arial" w:hAnsi="Arial" w:cs="Arial"/>
          <w:b/>
          <w:bCs/>
          <w:lang w:val="en-GB"/>
        </w:rPr>
        <w:t xml:space="preserve"> </w:t>
      </w:r>
    </w:p>
    <w:p w14:paraId="257825D1" w14:textId="6823714B" w:rsidR="00276AF7" w:rsidRPr="00276AF7" w:rsidRDefault="00276AF7" w:rsidP="00276AF7">
      <w:pPr>
        <w:pStyle w:val="NormalWeb"/>
        <w:jc w:val="both"/>
        <w:rPr>
          <w:rFonts w:ascii="Arial" w:eastAsia="Arial" w:hAnsi="Arial" w:cs="Arial"/>
          <w:sz w:val="22"/>
          <w:szCs w:val="22"/>
          <w:lang w:val="en-US"/>
        </w:rPr>
      </w:pPr>
      <w:r w:rsidRPr="00276AF7">
        <w:rPr>
          <w:rFonts w:ascii="Arial" w:eastAsia="Arial" w:hAnsi="Arial" w:cs="Arial"/>
          <w:sz w:val="22"/>
          <w:szCs w:val="22"/>
          <w:lang w:val="en-US"/>
        </w:rPr>
        <w:t>During FY25, Neinor delivered</w:t>
      </w:r>
      <w:r w:rsidR="004B6B42">
        <w:rPr>
          <w:rFonts w:ascii="Arial" w:eastAsia="Arial" w:hAnsi="Arial" w:cs="Arial"/>
          <w:sz w:val="22"/>
          <w:szCs w:val="22"/>
          <w:lang w:val="en-US"/>
        </w:rPr>
        <w:t xml:space="preserve"> and notarized</w:t>
      </w:r>
      <w:r w:rsidRPr="00276AF7">
        <w:rPr>
          <w:rFonts w:ascii="Arial" w:eastAsia="Arial" w:hAnsi="Arial" w:cs="Arial"/>
          <w:sz w:val="22"/>
          <w:szCs w:val="22"/>
          <w:lang w:val="en-US"/>
        </w:rPr>
        <w:t xml:space="preserve"> approximately 2,900 housing units (2,397 units in FY24), fully in line with its targets, reflecting consistent execution across both its fully owned portfolio and its growing Asset Management business. Of the total deliveries, nearly 1,900 units corresponded to Neinor’s own portfolio, while approximately 1,000 units were delivered through </w:t>
      </w:r>
      <w:r w:rsidR="00835D21">
        <w:rPr>
          <w:rFonts w:ascii="Arial" w:eastAsia="Arial" w:hAnsi="Arial" w:cs="Arial"/>
          <w:sz w:val="22"/>
          <w:szCs w:val="22"/>
          <w:lang w:val="en-US"/>
        </w:rPr>
        <w:t>Neinor’s Asset Management business</w:t>
      </w:r>
      <w:r w:rsidRPr="00276AF7">
        <w:rPr>
          <w:rFonts w:ascii="Arial" w:eastAsia="Arial" w:hAnsi="Arial" w:cs="Arial"/>
          <w:sz w:val="22"/>
          <w:szCs w:val="22"/>
          <w:lang w:val="en-US"/>
        </w:rPr>
        <w:t>.</w:t>
      </w:r>
    </w:p>
    <w:p w14:paraId="0D4F9354" w14:textId="2A6F705F" w:rsidR="00276AF7" w:rsidRPr="00276AF7" w:rsidRDefault="00276AF7" w:rsidP="00276AF7">
      <w:pPr>
        <w:pStyle w:val="NormalWeb"/>
        <w:jc w:val="both"/>
        <w:rPr>
          <w:rFonts w:ascii="Arial" w:eastAsia="Arial" w:hAnsi="Arial" w:cs="Arial"/>
          <w:sz w:val="22"/>
          <w:szCs w:val="22"/>
          <w:lang w:val="en-US"/>
        </w:rPr>
      </w:pPr>
      <w:r w:rsidRPr="00276AF7">
        <w:rPr>
          <w:rFonts w:ascii="Arial" w:eastAsia="Arial" w:hAnsi="Arial" w:cs="Arial"/>
          <w:sz w:val="22"/>
          <w:szCs w:val="22"/>
          <w:lang w:val="en-US"/>
        </w:rPr>
        <w:t>Over the period, Neinor generated total revenues of approximately €</w:t>
      </w:r>
      <w:r w:rsidR="004B6B42">
        <w:rPr>
          <w:rFonts w:ascii="Arial" w:eastAsia="Arial" w:hAnsi="Arial" w:cs="Arial"/>
          <w:sz w:val="22"/>
          <w:szCs w:val="22"/>
          <w:lang w:val="en-US"/>
        </w:rPr>
        <w:t>700</w:t>
      </w:r>
      <w:r w:rsidRPr="00276AF7">
        <w:rPr>
          <w:rFonts w:ascii="Arial" w:eastAsia="Arial" w:hAnsi="Arial" w:cs="Arial"/>
          <w:sz w:val="22"/>
          <w:szCs w:val="22"/>
          <w:lang w:val="en-US"/>
        </w:rPr>
        <w:t xml:space="preserve">mn, </w:t>
      </w:r>
      <w:r w:rsidR="004B6B42">
        <w:rPr>
          <w:rFonts w:ascii="Arial" w:eastAsia="Arial" w:hAnsi="Arial" w:cs="Arial"/>
          <w:sz w:val="22"/>
          <w:szCs w:val="22"/>
          <w:lang w:val="en-US"/>
        </w:rPr>
        <w:t>at the higher end of its guidance (€600-700mn)</w:t>
      </w:r>
      <w:r w:rsidRPr="00276AF7">
        <w:rPr>
          <w:rFonts w:ascii="Arial" w:eastAsia="Arial" w:hAnsi="Arial" w:cs="Arial"/>
          <w:sz w:val="22"/>
          <w:szCs w:val="22"/>
          <w:lang w:val="en-US"/>
        </w:rPr>
        <w:t xml:space="preserve">. </w:t>
      </w:r>
      <w:r w:rsidR="006B06AA">
        <w:rPr>
          <w:rFonts w:ascii="Arial" w:eastAsia="Arial" w:hAnsi="Arial" w:cs="Arial"/>
          <w:sz w:val="22"/>
          <w:szCs w:val="22"/>
          <w:lang w:val="en-US"/>
        </w:rPr>
        <w:t>Accordingly</w:t>
      </w:r>
      <w:r w:rsidRPr="00276AF7">
        <w:rPr>
          <w:rFonts w:ascii="Arial" w:eastAsia="Arial" w:hAnsi="Arial" w:cs="Arial"/>
          <w:sz w:val="22"/>
          <w:szCs w:val="22"/>
          <w:lang w:val="en-US"/>
        </w:rPr>
        <w:t xml:space="preserve">, the company </w:t>
      </w:r>
      <w:r w:rsidR="00571B7C">
        <w:rPr>
          <w:rFonts w:ascii="Arial" w:eastAsia="Arial" w:hAnsi="Arial" w:cs="Arial"/>
          <w:sz w:val="22"/>
          <w:szCs w:val="22"/>
          <w:lang w:val="en-US"/>
        </w:rPr>
        <w:t xml:space="preserve">confirms </w:t>
      </w:r>
      <w:r w:rsidR="00CD2621">
        <w:rPr>
          <w:rFonts w:ascii="Arial" w:eastAsia="Arial" w:hAnsi="Arial" w:cs="Arial"/>
          <w:sz w:val="22"/>
          <w:szCs w:val="22"/>
          <w:lang w:val="en-US"/>
        </w:rPr>
        <w:t xml:space="preserve">that it has </w:t>
      </w:r>
      <w:r w:rsidRPr="00276AF7">
        <w:rPr>
          <w:rFonts w:ascii="Arial" w:eastAsia="Arial" w:hAnsi="Arial" w:cs="Arial"/>
          <w:sz w:val="22"/>
          <w:szCs w:val="22"/>
          <w:lang w:val="en-US"/>
        </w:rPr>
        <w:t>successfully maintained a strong profitability profile</w:t>
      </w:r>
      <w:r w:rsidR="00423694">
        <w:rPr>
          <w:rFonts w:ascii="Arial" w:eastAsia="Arial" w:hAnsi="Arial" w:cs="Arial"/>
          <w:sz w:val="22"/>
          <w:szCs w:val="22"/>
          <w:lang w:val="en-US"/>
        </w:rPr>
        <w:t xml:space="preserve"> </w:t>
      </w:r>
      <w:r w:rsidR="00280B82">
        <w:rPr>
          <w:rFonts w:ascii="Arial" w:eastAsia="Arial" w:hAnsi="Arial" w:cs="Arial"/>
          <w:sz w:val="22"/>
          <w:szCs w:val="22"/>
          <w:lang w:val="en-US"/>
        </w:rPr>
        <w:t>with</w:t>
      </w:r>
      <w:r w:rsidR="00423694">
        <w:rPr>
          <w:rFonts w:ascii="Arial" w:eastAsia="Arial" w:hAnsi="Arial" w:cs="Arial"/>
          <w:sz w:val="22"/>
          <w:szCs w:val="22"/>
          <w:lang w:val="en-US"/>
        </w:rPr>
        <w:t xml:space="preserve"> </w:t>
      </w:r>
      <w:r w:rsidRPr="00276AF7">
        <w:rPr>
          <w:rFonts w:ascii="Arial" w:eastAsia="Arial" w:hAnsi="Arial" w:cs="Arial"/>
          <w:sz w:val="22"/>
          <w:szCs w:val="22"/>
          <w:lang w:val="en-US"/>
        </w:rPr>
        <w:t>Adjusted EBITDA</w:t>
      </w:r>
      <w:r w:rsidR="00177B1D">
        <w:rPr>
          <w:rStyle w:val="FootnoteReference"/>
          <w:rFonts w:ascii="Arial" w:eastAsia="Arial" w:hAnsi="Arial" w:cs="Arial"/>
          <w:sz w:val="22"/>
          <w:szCs w:val="22"/>
          <w:lang w:val="en-US"/>
        </w:rPr>
        <w:footnoteReference w:id="2"/>
      </w:r>
      <w:r w:rsidRPr="00276AF7">
        <w:rPr>
          <w:rFonts w:ascii="Arial" w:eastAsia="Arial" w:hAnsi="Arial" w:cs="Arial"/>
          <w:sz w:val="22"/>
          <w:szCs w:val="22"/>
          <w:lang w:val="en-US"/>
        </w:rPr>
        <w:t xml:space="preserve"> </w:t>
      </w:r>
      <w:r w:rsidR="00B82083" w:rsidRPr="00BD4672">
        <w:rPr>
          <w:rFonts w:ascii="Arial" w:eastAsia="Arial" w:hAnsi="Arial" w:cs="Arial"/>
          <w:sz w:val="22"/>
          <w:szCs w:val="22"/>
          <w:lang w:val="en-US"/>
        </w:rPr>
        <w:t>also</w:t>
      </w:r>
      <w:r w:rsidR="00B82083">
        <w:rPr>
          <w:rFonts w:ascii="Arial" w:eastAsia="Arial" w:hAnsi="Arial" w:cs="Arial"/>
          <w:sz w:val="22"/>
          <w:szCs w:val="22"/>
          <w:lang w:val="en-US"/>
        </w:rPr>
        <w:t xml:space="preserve"> </w:t>
      </w:r>
      <w:r w:rsidR="00423694">
        <w:rPr>
          <w:rFonts w:ascii="Arial" w:eastAsia="Arial" w:hAnsi="Arial" w:cs="Arial"/>
          <w:sz w:val="22"/>
          <w:szCs w:val="22"/>
          <w:lang w:val="en-US"/>
        </w:rPr>
        <w:t>at the higher end of its guidance (</w:t>
      </w:r>
      <w:r w:rsidRPr="00276AF7">
        <w:rPr>
          <w:rFonts w:ascii="Arial" w:eastAsia="Arial" w:hAnsi="Arial" w:cs="Arial"/>
          <w:sz w:val="22"/>
          <w:szCs w:val="22"/>
          <w:lang w:val="en-US"/>
        </w:rPr>
        <w:t>€</w:t>
      </w:r>
      <w:r w:rsidR="00423694">
        <w:rPr>
          <w:rFonts w:ascii="Arial" w:eastAsia="Arial" w:hAnsi="Arial" w:cs="Arial"/>
          <w:sz w:val="22"/>
          <w:szCs w:val="22"/>
          <w:lang w:val="en-US"/>
        </w:rPr>
        <w:t>100-</w:t>
      </w:r>
      <w:r w:rsidRPr="00276AF7">
        <w:rPr>
          <w:rFonts w:ascii="Arial" w:eastAsia="Arial" w:hAnsi="Arial" w:cs="Arial"/>
          <w:sz w:val="22"/>
          <w:szCs w:val="22"/>
          <w:lang w:val="en-US"/>
        </w:rPr>
        <w:t>110mn</w:t>
      </w:r>
      <w:r w:rsidR="00423694">
        <w:rPr>
          <w:rFonts w:ascii="Arial" w:eastAsia="Arial" w:hAnsi="Arial" w:cs="Arial"/>
          <w:sz w:val="22"/>
          <w:szCs w:val="22"/>
          <w:lang w:val="en-US"/>
        </w:rPr>
        <w:t xml:space="preserve">) </w:t>
      </w:r>
      <w:r w:rsidRPr="00276AF7">
        <w:rPr>
          <w:rFonts w:ascii="Arial" w:eastAsia="Arial" w:hAnsi="Arial" w:cs="Arial"/>
          <w:sz w:val="22"/>
          <w:szCs w:val="22"/>
          <w:lang w:val="en-US"/>
        </w:rPr>
        <w:t>and in line with sell-side consensus gathered by the company.</w:t>
      </w:r>
    </w:p>
    <w:p w14:paraId="40D3AD2C" w14:textId="6494877C" w:rsidR="00276AF7" w:rsidRPr="00276AF7" w:rsidRDefault="00276AF7" w:rsidP="00276AF7">
      <w:pPr>
        <w:pStyle w:val="NormalWeb"/>
        <w:jc w:val="both"/>
        <w:rPr>
          <w:rFonts w:ascii="Arial" w:eastAsia="Arial" w:hAnsi="Arial" w:cs="Arial"/>
          <w:sz w:val="22"/>
          <w:szCs w:val="22"/>
          <w:lang w:val="en-US"/>
        </w:rPr>
      </w:pPr>
      <w:r w:rsidRPr="00276AF7">
        <w:rPr>
          <w:rFonts w:ascii="Arial" w:eastAsia="Arial" w:hAnsi="Arial" w:cs="Arial"/>
          <w:sz w:val="22"/>
          <w:szCs w:val="22"/>
          <w:lang w:val="en-US"/>
        </w:rPr>
        <w:t xml:space="preserve">These figures exclude the positive impact from the acquisition of AEDAS Homes, which was executed on 22 December 2025, </w:t>
      </w:r>
      <w:r w:rsidR="009A25F6">
        <w:rPr>
          <w:rFonts w:ascii="Arial" w:eastAsia="Arial" w:hAnsi="Arial" w:cs="Arial"/>
          <w:sz w:val="22"/>
          <w:szCs w:val="22"/>
          <w:lang w:val="en-US"/>
        </w:rPr>
        <w:t>with</w:t>
      </w:r>
      <w:r w:rsidRPr="00276AF7">
        <w:rPr>
          <w:rFonts w:ascii="Arial" w:eastAsia="Arial" w:hAnsi="Arial" w:cs="Arial"/>
          <w:sz w:val="22"/>
          <w:szCs w:val="22"/>
          <w:lang w:val="en-US"/>
        </w:rPr>
        <w:t xml:space="preserve"> </w:t>
      </w:r>
      <w:r w:rsidRPr="00B76D5B">
        <w:rPr>
          <w:rFonts w:ascii="Arial" w:eastAsia="Arial" w:hAnsi="Arial" w:cs="Arial"/>
          <w:sz w:val="22"/>
          <w:szCs w:val="22"/>
          <w:lang w:val="en-US"/>
        </w:rPr>
        <w:t>Neinor acquiring a controlling stake of 79.</w:t>
      </w:r>
      <w:r w:rsidR="009A25F6" w:rsidRPr="00B76D5B">
        <w:rPr>
          <w:rFonts w:ascii="Arial" w:eastAsia="Arial" w:hAnsi="Arial" w:cs="Arial"/>
          <w:sz w:val="22"/>
          <w:szCs w:val="22"/>
          <w:lang w:val="en-US"/>
        </w:rPr>
        <w:t>20</w:t>
      </w:r>
      <w:r w:rsidRPr="00B76D5B">
        <w:rPr>
          <w:rFonts w:ascii="Arial" w:eastAsia="Arial" w:hAnsi="Arial" w:cs="Arial"/>
          <w:sz w:val="22"/>
          <w:szCs w:val="22"/>
          <w:lang w:val="en-US"/>
        </w:rPr>
        <w:t xml:space="preserve">%. This transaction is expected to trigger a positive non-cash impact </w:t>
      </w:r>
      <w:r w:rsidR="008A24D1" w:rsidRPr="00B76D5B">
        <w:rPr>
          <w:rFonts w:ascii="Arial" w:eastAsia="Arial" w:hAnsi="Arial" w:cs="Arial"/>
          <w:sz w:val="22"/>
          <w:szCs w:val="22"/>
          <w:lang w:val="en-US"/>
        </w:rPr>
        <w:t>on</w:t>
      </w:r>
      <w:r w:rsidRPr="00B76D5B">
        <w:rPr>
          <w:rFonts w:ascii="Arial" w:eastAsia="Arial" w:hAnsi="Arial" w:cs="Arial"/>
          <w:sz w:val="22"/>
          <w:szCs w:val="22"/>
          <w:lang w:val="en-US"/>
        </w:rPr>
        <w:t xml:space="preserve"> Net Income versus </w:t>
      </w:r>
      <w:r w:rsidR="0030501B" w:rsidRPr="00B76D5B">
        <w:rPr>
          <w:rFonts w:ascii="Arial" w:eastAsia="Arial" w:hAnsi="Arial" w:cs="Arial"/>
          <w:sz w:val="22"/>
          <w:szCs w:val="22"/>
          <w:lang w:val="en-US"/>
        </w:rPr>
        <w:t xml:space="preserve">guidance </w:t>
      </w:r>
      <w:r w:rsidR="00051339" w:rsidRPr="00B76D5B">
        <w:rPr>
          <w:rFonts w:ascii="Arial" w:eastAsia="Arial" w:hAnsi="Arial" w:cs="Arial"/>
          <w:sz w:val="22"/>
          <w:szCs w:val="22"/>
          <w:lang w:val="en-US"/>
        </w:rPr>
        <w:t>provided at its Strategic Plan 2023</w:t>
      </w:r>
      <w:r w:rsidR="00DF1C04" w:rsidRPr="00B76D5B">
        <w:rPr>
          <w:rFonts w:ascii="Arial" w:eastAsia="Arial" w:hAnsi="Arial" w:cs="Arial"/>
          <w:sz w:val="22"/>
          <w:szCs w:val="22"/>
          <w:lang w:val="en-US"/>
        </w:rPr>
        <w:t>-27</w:t>
      </w:r>
      <w:r w:rsidR="00051339" w:rsidRPr="00B76D5B">
        <w:rPr>
          <w:rFonts w:ascii="Arial" w:eastAsia="Arial" w:hAnsi="Arial" w:cs="Arial"/>
          <w:sz w:val="22"/>
          <w:szCs w:val="22"/>
          <w:lang w:val="en-US"/>
        </w:rPr>
        <w:t xml:space="preserve"> </w:t>
      </w:r>
      <w:r w:rsidR="0030501B" w:rsidRPr="00B76D5B">
        <w:rPr>
          <w:rFonts w:ascii="Arial" w:eastAsia="Arial" w:hAnsi="Arial" w:cs="Arial"/>
          <w:sz w:val="22"/>
          <w:szCs w:val="22"/>
          <w:lang w:val="en-US"/>
        </w:rPr>
        <w:t xml:space="preserve">of </w:t>
      </w:r>
      <w:r w:rsidR="005543B3" w:rsidRPr="00B76D5B">
        <w:rPr>
          <w:rFonts w:ascii="Arial" w:eastAsia="Arial" w:hAnsi="Arial" w:cs="Arial"/>
          <w:sz w:val="22"/>
          <w:szCs w:val="22"/>
          <w:lang w:val="en-US"/>
        </w:rPr>
        <w:t>€65mn</w:t>
      </w:r>
      <w:r w:rsidRPr="00B76D5B">
        <w:rPr>
          <w:rFonts w:ascii="Arial" w:eastAsia="Arial" w:hAnsi="Arial" w:cs="Arial"/>
          <w:sz w:val="22"/>
          <w:szCs w:val="22"/>
          <w:lang w:val="en-US"/>
        </w:rPr>
        <w:t>.</w:t>
      </w:r>
    </w:p>
    <w:p w14:paraId="001439C6" w14:textId="77777777" w:rsidR="00822D9A" w:rsidRDefault="00822D9A" w:rsidP="008C5F9D">
      <w:pPr>
        <w:shd w:val="clear" w:color="auto" w:fill="FFFFFF"/>
        <w:spacing w:after="0" w:line="240" w:lineRule="auto"/>
        <w:jc w:val="both"/>
        <w:rPr>
          <w:rFonts w:ascii="Arial" w:eastAsia="Arial" w:hAnsi="Arial" w:cs="Arial"/>
          <w:lang w:val="en-GB"/>
        </w:rPr>
      </w:pPr>
    </w:p>
    <w:p w14:paraId="28C8A625" w14:textId="2B749F13" w:rsidR="00C17C00" w:rsidRPr="00C17C00" w:rsidRDefault="00C17C00" w:rsidP="00C17C00">
      <w:pPr>
        <w:shd w:val="clear" w:color="auto" w:fill="FFFFFF"/>
        <w:spacing w:after="0" w:line="240" w:lineRule="auto"/>
        <w:jc w:val="both"/>
        <w:rPr>
          <w:rFonts w:ascii="Arial" w:eastAsia="Arial" w:hAnsi="Arial" w:cs="Arial"/>
          <w:b/>
          <w:bCs/>
          <w:lang w:val="en-GB"/>
        </w:rPr>
      </w:pPr>
      <w:r w:rsidRPr="00C17C00">
        <w:rPr>
          <w:rFonts w:ascii="Arial" w:eastAsia="Arial" w:hAnsi="Arial" w:cs="Arial"/>
          <w:b/>
          <w:bCs/>
          <w:lang w:val="en-GB"/>
        </w:rPr>
        <w:t xml:space="preserve">Commercialization </w:t>
      </w:r>
      <w:r w:rsidR="00145E00">
        <w:rPr>
          <w:rFonts w:ascii="Arial" w:eastAsia="Arial" w:hAnsi="Arial" w:cs="Arial"/>
          <w:b/>
          <w:bCs/>
          <w:lang w:val="en-GB"/>
        </w:rPr>
        <w:t>activity momentum kept strong in 2025 growing</w:t>
      </w:r>
      <w:r w:rsidR="000A4730">
        <w:rPr>
          <w:rFonts w:ascii="Arial" w:eastAsia="Arial" w:hAnsi="Arial" w:cs="Arial"/>
          <w:b/>
          <w:bCs/>
          <w:lang w:val="en-GB"/>
        </w:rPr>
        <w:t xml:space="preserve"> </w:t>
      </w:r>
      <w:r w:rsidR="00460BF3">
        <w:rPr>
          <w:rFonts w:ascii="Arial" w:eastAsia="Arial" w:hAnsi="Arial" w:cs="Arial"/>
          <w:b/>
          <w:bCs/>
          <w:lang w:val="en-GB"/>
        </w:rPr>
        <w:t>+6</w:t>
      </w:r>
      <w:r w:rsidR="000A4730">
        <w:rPr>
          <w:rFonts w:ascii="Arial" w:eastAsia="Arial" w:hAnsi="Arial" w:cs="Arial"/>
          <w:b/>
          <w:bCs/>
          <w:lang w:val="en-GB"/>
        </w:rPr>
        <w:t>% YoY</w:t>
      </w:r>
    </w:p>
    <w:p w14:paraId="11403CBE" w14:textId="645C9890" w:rsidR="00646BF1" w:rsidRPr="00724F2C" w:rsidRDefault="00646BF1" w:rsidP="00646BF1">
      <w:pPr>
        <w:spacing w:before="120" w:after="0" w:line="240" w:lineRule="auto"/>
        <w:jc w:val="both"/>
        <w:rPr>
          <w:rFonts w:ascii="Arial" w:hAnsi="Arial" w:cs="Arial"/>
          <w:lang w:val="en-GB"/>
        </w:rPr>
      </w:pPr>
      <w:r w:rsidRPr="00724F2C">
        <w:rPr>
          <w:rFonts w:ascii="Arial" w:hAnsi="Arial" w:cs="Arial"/>
          <w:lang w:val="en-GB"/>
        </w:rPr>
        <w:t xml:space="preserve">Commercialization activity remained highly dynamic </w:t>
      </w:r>
      <w:r w:rsidR="004A66C0">
        <w:rPr>
          <w:rFonts w:ascii="Arial" w:hAnsi="Arial" w:cs="Arial"/>
          <w:lang w:val="en-GB"/>
        </w:rPr>
        <w:t>during 2025</w:t>
      </w:r>
      <w:r w:rsidRPr="00724F2C">
        <w:rPr>
          <w:rFonts w:ascii="Arial" w:hAnsi="Arial" w:cs="Arial"/>
          <w:lang w:val="en-GB"/>
        </w:rPr>
        <w:t xml:space="preserve"> bringing total gross pre-sales for the year to more than 2,</w:t>
      </w:r>
      <w:r w:rsidR="004A66C0">
        <w:rPr>
          <w:rFonts w:ascii="Arial" w:hAnsi="Arial" w:cs="Arial"/>
          <w:lang w:val="en-GB"/>
        </w:rPr>
        <w:t>8</w:t>
      </w:r>
      <w:r w:rsidRPr="00724F2C">
        <w:rPr>
          <w:rFonts w:ascii="Arial" w:hAnsi="Arial" w:cs="Arial"/>
          <w:lang w:val="en-GB"/>
        </w:rPr>
        <w:t>00 units (</w:t>
      </w:r>
      <w:r w:rsidR="0042082C">
        <w:rPr>
          <w:rFonts w:ascii="Arial" w:hAnsi="Arial" w:cs="Arial"/>
          <w:lang w:val="en-GB"/>
        </w:rPr>
        <w:t>2</w:t>
      </w:r>
      <w:r w:rsidRPr="00724F2C">
        <w:rPr>
          <w:rFonts w:ascii="Arial" w:hAnsi="Arial" w:cs="Arial"/>
          <w:lang w:val="en-GB"/>
        </w:rPr>
        <w:t>,</w:t>
      </w:r>
      <w:r w:rsidR="0042082C">
        <w:rPr>
          <w:rFonts w:ascii="Arial" w:hAnsi="Arial" w:cs="Arial"/>
          <w:lang w:val="en-GB"/>
        </w:rPr>
        <w:t>649</w:t>
      </w:r>
      <w:r w:rsidRPr="00724F2C">
        <w:rPr>
          <w:rFonts w:ascii="Arial" w:hAnsi="Arial" w:cs="Arial"/>
          <w:lang w:val="en-GB"/>
        </w:rPr>
        <w:t xml:space="preserve"># in </w:t>
      </w:r>
      <w:r w:rsidR="0042082C">
        <w:rPr>
          <w:rFonts w:ascii="Arial" w:hAnsi="Arial" w:cs="Arial"/>
          <w:lang w:val="en-GB"/>
        </w:rPr>
        <w:t>2024</w:t>
      </w:r>
      <w:r w:rsidRPr="00724F2C">
        <w:rPr>
          <w:rFonts w:ascii="Arial" w:hAnsi="Arial" w:cs="Arial"/>
          <w:lang w:val="en-GB"/>
        </w:rPr>
        <w:t xml:space="preserve">) with a total value </w:t>
      </w:r>
      <w:r w:rsidR="00A702E0">
        <w:rPr>
          <w:rFonts w:ascii="Arial" w:hAnsi="Arial" w:cs="Arial"/>
          <w:lang w:val="en-GB"/>
        </w:rPr>
        <w:t xml:space="preserve">of </w:t>
      </w:r>
      <w:r w:rsidR="00B331AF">
        <w:rPr>
          <w:rFonts w:ascii="Arial" w:hAnsi="Arial" w:cs="Arial"/>
          <w:lang w:val="en-GB"/>
        </w:rPr>
        <w:t xml:space="preserve">approximately </w:t>
      </w:r>
      <w:r w:rsidR="00A702E0">
        <w:rPr>
          <w:rFonts w:ascii="Arial" w:hAnsi="Arial" w:cs="Arial"/>
          <w:lang w:val="en-GB"/>
        </w:rPr>
        <w:t>€1bn</w:t>
      </w:r>
      <w:r w:rsidRPr="00724F2C">
        <w:rPr>
          <w:rFonts w:ascii="Arial" w:hAnsi="Arial" w:cs="Arial"/>
          <w:lang w:val="en-GB"/>
        </w:rPr>
        <w:t xml:space="preserve"> (</w:t>
      </w:r>
      <w:r w:rsidR="0014037C">
        <w:rPr>
          <w:rFonts w:ascii="Arial" w:hAnsi="Arial" w:cs="Arial"/>
          <w:lang w:val="en-GB"/>
        </w:rPr>
        <w:t>c.</w:t>
      </w:r>
      <w:r w:rsidRPr="0063722C">
        <w:rPr>
          <w:rFonts w:ascii="Arial" w:hAnsi="Arial" w:cs="Arial"/>
          <w:lang w:val="en-GB"/>
        </w:rPr>
        <w:t>€</w:t>
      </w:r>
      <w:r w:rsidR="0014037C" w:rsidRPr="0063722C">
        <w:rPr>
          <w:rFonts w:ascii="Arial" w:hAnsi="Arial" w:cs="Arial"/>
          <w:lang w:val="en-GB"/>
        </w:rPr>
        <w:t>840</w:t>
      </w:r>
      <w:r w:rsidRPr="0063722C">
        <w:rPr>
          <w:rFonts w:ascii="Arial" w:hAnsi="Arial" w:cs="Arial"/>
          <w:lang w:val="en-GB"/>
        </w:rPr>
        <w:t>mn</w:t>
      </w:r>
      <w:r w:rsidRPr="00724F2C">
        <w:rPr>
          <w:rFonts w:ascii="Arial" w:hAnsi="Arial" w:cs="Arial"/>
          <w:lang w:val="en-GB"/>
        </w:rPr>
        <w:t xml:space="preserve"> in </w:t>
      </w:r>
      <w:r w:rsidR="00A702E0">
        <w:rPr>
          <w:rFonts w:ascii="Arial" w:hAnsi="Arial" w:cs="Arial"/>
          <w:lang w:val="en-GB"/>
        </w:rPr>
        <w:t>2024</w:t>
      </w:r>
      <w:r w:rsidRPr="00724F2C">
        <w:rPr>
          <w:rFonts w:ascii="Arial" w:hAnsi="Arial" w:cs="Arial"/>
          <w:lang w:val="en-GB"/>
        </w:rPr>
        <w:t>)</w:t>
      </w:r>
      <w:r w:rsidR="00925C5A">
        <w:rPr>
          <w:rFonts w:ascii="Arial" w:hAnsi="Arial" w:cs="Arial"/>
          <w:lang w:val="en-GB"/>
        </w:rPr>
        <w:t xml:space="preserve">. </w:t>
      </w:r>
    </w:p>
    <w:p w14:paraId="6866ED68" w14:textId="3BBF064D" w:rsidR="00646BF1" w:rsidRPr="008B7572" w:rsidRDefault="00A964AA" w:rsidP="00646BF1">
      <w:pPr>
        <w:spacing w:before="120" w:after="0" w:line="240" w:lineRule="auto"/>
        <w:jc w:val="both"/>
        <w:rPr>
          <w:rFonts w:ascii="Arial" w:hAnsi="Arial" w:cs="Arial"/>
          <w:lang w:val="en-GB"/>
        </w:rPr>
      </w:pPr>
      <w:r>
        <w:rPr>
          <w:rFonts w:ascii="Arial" w:hAnsi="Arial" w:cs="Arial"/>
          <w:lang w:val="en-GB"/>
        </w:rPr>
        <w:t>In</w:t>
      </w:r>
      <w:r w:rsidR="00646BF1" w:rsidRPr="00724F2C">
        <w:rPr>
          <w:rFonts w:ascii="Arial" w:hAnsi="Arial" w:cs="Arial"/>
          <w:lang w:val="en-GB"/>
        </w:rPr>
        <w:t xml:space="preserve"> its fully owned portfolio, </w:t>
      </w:r>
      <w:proofErr w:type="spellStart"/>
      <w:r w:rsidR="00646BF1" w:rsidRPr="00724F2C">
        <w:rPr>
          <w:rFonts w:ascii="Arial" w:hAnsi="Arial" w:cs="Arial"/>
          <w:lang w:val="en-GB"/>
        </w:rPr>
        <w:t>Neinor</w:t>
      </w:r>
      <w:proofErr w:type="spellEnd"/>
      <w:r w:rsidR="00646BF1" w:rsidRPr="00724F2C">
        <w:rPr>
          <w:rFonts w:ascii="Arial" w:hAnsi="Arial" w:cs="Arial"/>
          <w:lang w:val="en-GB"/>
        </w:rPr>
        <w:t xml:space="preserve"> achieved pre-sales of </w:t>
      </w:r>
      <w:r w:rsidR="00D83F81">
        <w:rPr>
          <w:rFonts w:ascii="Arial" w:hAnsi="Arial" w:cs="Arial"/>
          <w:lang w:val="en-GB"/>
        </w:rPr>
        <w:t xml:space="preserve">more than </w:t>
      </w:r>
      <w:r w:rsidR="00646BF1" w:rsidRPr="00724F2C">
        <w:rPr>
          <w:rFonts w:ascii="Arial" w:hAnsi="Arial" w:cs="Arial"/>
          <w:lang w:val="en-GB"/>
        </w:rPr>
        <w:t>1,</w:t>
      </w:r>
      <w:r w:rsidR="00D83F81">
        <w:rPr>
          <w:rFonts w:ascii="Arial" w:hAnsi="Arial" w:cs="Arial"/>
          <w:lang w:val="en-GB"/>
        </w:rPr>
        <w:t>900</w:t>
      </w:r>
      <w:r w:rsidR="00646BF1" w:rsidRPr="00724F2C">
        <w:rPr>
          <w:rFonts w:ascii="Arial" w:hAnsi="Arial" w:cs="Arial"/>
          <w:lang w:val="en-GB"/>
        </w:rPr>
        <w:t xml:space="preserve"> housing units, with an ASP </w:t>
      </w:r>
      <w:r w:rsidR="002E6D83">
        <w:rPr>
          <w:rFonts w:ascii="Arial" w:hAnsi="Arial" w:cs="Arial"/>
          <w:lang w:val="en-GB"/>
        </w:rPr>
        <w:t>of nearly</w:t>
      </w:r>
      <w:r w:rsidR="00646BF1" w:rsidRPr="00724F2C">
        <w:rPr>
          <w:rFonts w:ascii="Arial" w:hAnsi="Arial" w:cs="Arial"/>
          <w:lang w:val="en-GB"/>
        </w:rPr>
        <w:t xml:space="preserve"> €3</w:t>
      </w:r>
      <w:r w:rsidR="002E6D83">
        <w:rPr>
          <w:rFonts w:ascii="Arial" w:hAnsi="Arial" w:cs="Arial"/>
          <w:lang w:val="en-GB"/>
        </w:rPr>
        <w:t>4</w:t>
      </w:r>
      <w:r w:rsidR="00646BF1" w:rsidRPr="00724F2C">
        <w:rPr>
          <w:rFonts w:ascii="Arial" w:hAnsi="Arial" w:cs="Arial"/>
          <w:lang w:val="en-GB"/>
        </w:rPr>
        <w:t xml:space="preserve">0k per unit representing </w:t>
      </w:r>
      <w:r w:rsidR="00724C16">
        <w:rPr>
          <w:rFonts w:ascii="Arial" w:hAnsi="Arial" w:cs="Arial"/>
          <w:lang w:val="en-GB"/>
        </w:rPr>
        <w:t>more than</w:t>
      </w:r>
      <w:r w:rsidR="00646BF1" w:rsidRPr="00724F2C">
        <w:rPr>
          <w:rFonts w:ascii="Arial" w:hAnsi="Arial" w:cs="Arial"/>
          <w:lang w:val="en-GB"/>
        </w:rPr>
        <w:t xml:space="preserve"> €</w:t>
      </w:r>
      <w:r w:rsidR="00724C16">
        <w:rPr>
          <w:rFonts w:ascii="Arial" w:hAnsi="Arial" w:cs="Arial"/>
          <w:lang w:val="en-GB"/>
        </w:rPr>
        <w:t>650</w:t>
      </w:r>
      <w:r w:rsidR="00646BF1" w:rsidRPr="00724F2C">
        <w:rPr>
          <w:rFonts w:ascii="Arial" w:hAnsi="Arial" w:cs="Arial"/>
          <w:lang w:val="en-GB"/>
        </w:rPr>
        <w:t>mn in future development revenues. The Asset Management portfolio accounted for nearly</w:t>
      </w:r>
      <w:r w:rsidR="00646BF1">
        <w:rPr>
          <w:rFonts w:ascii="Arial" w:hAnsi="Arial" w:cs="Arial"/>
          <w:lang w:val="en-GB"/>
        </w:rPr>
        <w:t xml:space="preserve"> </w:t>
      </w:r>
      <w:r w:rsidR="00646BF1" w:rsidRPr="008B7572">
        <w:rPr>
          <w:rFonts w:ascii="Arial" w:hAnsi="Arial" w:cs="Arial"/>
          <w:lang w:val="en-GB"/>
        </w:rPr>
        <w:t xml:space="preserve">30% of total pre-sales, with around </w:t>
      </w:r>
      <w:r w:rsidR="00B16B1D">
        <w:rPr>
          <w:rFonts w:ascii="Arial" w:hAnsi="Arial" w:cs="Arial"/>
          <w:lang w:val="en-GB"/>
        </w:rPr>
        <w:t>900</w:t>
      </w:r>
      <w:r w:rsidR="00646BF1" w:rsidRPr="008B7572">
        <w:rPr>
          <w:rFonts w:ascii="Arial" w:hAnsi="Arial" w:cs="Arial"/>
          <w:lang w:val="en-GB"/>
        </w:rPr>
        <w:t xml:space="preserve"> housing units </w:t>
      </w:r>
      <w:r w:rsidR="00DD7725">
        <w:rPr>
          <w:rFonts w:ascii="Arial" w:hAnsi="Arial" w:cs="Arial"/>
          <w:lang w:val="en-GB"/>
        </w:rPr>
        <w:t>pre-</w:t>
      </w:r>
      <w:r w:rsidR="00646BF1" w:rsidRPr="008B7572">
        <w:rPr>
          <w:rFonts w:ascii="Arial" w:hAnsi="Arial" w:cs="Arial"/>
          <w:lang w:val="en-GB"/>
        </w:rPr>
        <w:t xml:space="preserve">sold for </w:t>
      </w:r>
      <w:r w:rsidR="00646BF1">
        <w:rPr>
          <w:rFonts w:ascii="Arial" w:hAnsi="Arial" w:cs="Arial"/>
          <w:lang w:val="en-GB"/>
        </w:rPr>
        <w:t>approximately</w:t>
      </w:r>
      <w:r w:rsidR="00646BF1" w:rsidRPr="008B7572">
        <w:rPr>
          <w:rFonts w:ascii="Arial" w:hAnsi="Arial" w:cs="Arial"/>
          <w:lang w:val="en-GB"/>
        </w:rPr>
        <w:t xml:space="preserve"> €</w:t>
      </w:r>
      <w:r w:rsidR="00B16B1D">
        <w:rPr>
          <w:rFonts w:ascii="Arial" w:hAnsi="Arial" w:cs="Arial"/>
          <w:lang w:val="en-GB"/>
        </w:rPr>
        <w:t>330</w:t>
      </w:r>
      <w:r w:rsidR="00646BF1" w:rsidRPr="008B7572">
        <w:rPr>
          <w:rFonts w:ascii="Arial" w:hAnsi="Arial" w:cs="Arial"/>
          <w:lang w:val="en-GB"/>
        </w:rPr>
        <w:t>mn, implying an ASP of approximately €3</w:t>
      </w:r>
      <w:r w:rsidR="008357AE">
        <w:rPr>
          <w:rFonts w:ascii="Arial" w:hAnsi="Arial" w:cs="Arial"/>
          <w:lang w:val="en-GB"/>
        </w:rPr>
        <w:t>7</w:t>
      </w:r>
      <w:r w:rsidR="00646BF1" w:rsidRPr="008B7572">
        <w:rPr>
          <w:rFonts w:ascii="Arial" w:hAnsi="Arial" w:cs="Arial"/>
          <w:lang w:val="en-GB"/>
        </w:rPr>
        <w:t>0k per unit.</w:t>
      </w:r>
    </w:p>
    <w:p w14:paraId="4FAEAB50" w14:textId="7DB7BF7A" w:rsidR="00646BF1" w:rsidRDefault="00646BF1" w:rsidP="00646BF1">
      <w:pPr>
        <w:spacing w:before="120" w:after="0" w:line="240" w:lineRule="auto"/>
        <w:jc w:val="both"/>
        <w:rPr>
          <w:rFonts w:ascii="Arial" w:hAnsi="Arial" w:cs="Arial"/>
          <w:lang w:val="en-GB"/>
        </w:rPr>
      </w:pPr>
      <w:r w:rsidRPr="008B7572">
        <w:rPr>
          <w:rFonts w:ascii="Arial" w:hAnsi="Arial" w:cs="Arial"/>
          <w:lang w:val="en-GB"/>
        </w:rPr>
        <w:t xml:space="preserve">By the end of </w:t>
      </w:r>
      <w:r w:rsidR="008357AE">
        <w:rPr>
          <w:rFonts w:ascii="Arial" w:hAnsi="Arial" w:cs="Arial"/>
          <w:lang w:val="en-GB"/>
        </w:rPr>
        <w:t>the year</w:t>
      </w:r>
      <w:r w:rsidRPr="008B7572">
        <w:rPr>
          <w:rFonts w:ascii="Arial" w:hAnsi="Arial" w:cs="Arial"/>
          <w:lang w:val="en-GB"/>
        </w:rPr>
        <w:t xml:space="preserve">, </w:t>
      </w:r>
      <w:proofErr w:type="spellStart"/>
      <w:r w:rsidRPr="008B7572">
        <w:rPr>
          <w:rFonts w:ascii="Arial" w:hAnsi="Arial" w:cs="Arial"/>
          <w:lang w:val="en-GB"/>
        </w:rPr>
        <w:t>Neinor</w:t>
      </w:r>
      <w:proofErr w:type="spellEnd"/>
      <w:r w:rsidRPr="008B7572">
        <w:rPr>
          <w:rFonts w:ascii="Arial" w:hAnsi="Arial" w:cs="Arial"/>
          <w:lang w:val="en-GB"/>
        </w:rPr>
        <w:t xml:space="preserve"> was managing a </w:t>
      </w:r>
      <w:r w:rsidR="0021587A">
        <w:rPr>
          <w:rFonts w:ascii="Arial" w:hAnsi="Arial" w:cs="Arial"/>
          <w:lang w:val="en-GB"/>
        </w:rPr>
        <w:t>T</w:t>
      </w:r>
      <w:r w:rsidRPr="008B7572">
        <w:rPr>
          <w:rFonts w:ascii="Arial" w:hAnsi="Arial" w:cs="Arial"/>
          <w:lang w:val="en-GB"/>
        </w:rPr>
        <w:t xml:space="preserve">otal Orderbook of more than </w:t>
      </w:r>
      <w:r w:rsidR="007C0686">
        <w:rPr>
          <w:rFonts w:ascii="Arial" w:hAnsi="Arial" w:cs="Arial"/>
          <w:lang w:val="en-GB"/>
        </w:rPr>
        <w:t>3</w:t>
      </w:r>
      <w:r w:rsidRPr="008B7572">
        <w:rPr>
          <w:rFonts w:ascii="Arial" w:hAnsi="Arial" w:cs="Arial"/>
          <w:lang w:val="en-GB"/>
        </w:rPr>
        <w:t>,500 pre-sold units</w:t>
      </w:r>
      <w:r w:rsidR="00DF3194">
        <w:rPr>
          <w:rFonts w:ascii="Arial" w:hAnsi="Arial" w:cs="Arial"/>
          <w:lang w:val="en-GB"/>
        </w:rPr>
        <w:t xml:space="preserve"> (3.627</w:t>
      </w:r>
      <w:r w:rsidR="005A7DC9">
        <w:rPr>
          <w:rFonts w:ascii="Arial" w:hAnsi="Arial" w:cs="Arial"/>
          <w:lang w:val="en-GB"/>
        </w:rPr>
        <w:t># in 2024)</w:t>
      </w:r>
      <w:r w:rsidRPr="008B7572">
        <w:rPr>
          <w:rFonts w:ascii="Arial" w:hAnsi="Arial" w:cs="Arial"/>
          <w:lang w:val="en-GB"/>
        </w:rPr>
        <w:t>, representing +€1,</w:t>
      </w:r>
      <w:r w:rsidR="007C0686">
        <w:rPr>
          <w:rFonts w:ascii="Arial" w:hAnsi="Arial" w:cs="Arial"/>
          <w:lang w:val="en-GB"/>
        </w:rPr>
        <w:t>2</w:t>
      </w:r>
      <w:r w:rsidRPr="008B7572">
        <w:rPr>
          <w:rFonts w:ascii="Arial" w:hAnsi="Arial" w:cs="Arial"/>
          <w:lang w:val="en-GB"/>
        </w:rPr>
        <w:t xml:space="preserve">00mn </w:t>
      </w:r>
      <w:r w:rsidR="005A7DC9">
        <w:rPr>
          <w:rFonts w:ascii="Arial" w:hAnsi="Arial" w:cs="Arial"/>
          <w:lang w:val="en-GB"/>
        </w:rPr>
        <w:t>(€1,291mn in 2024)</w:t>
      </w:r>
      <w:r w:rsidRPr="008B7572">
        <w:rPr>
          <w:rFonts w:ascii="Arial" w:hAnsi="Arial" w:cs="Arial"/>
          <w:lang w:val="en-GB"/>
        </w:rPr>
        <w:t xml:space="preserve"> in future revenues and an implied ASP of c.€3</w:t>
      </w:r>
      <w:r w:rsidR="007C0686">
        <w:rPr>
          <w:rFonts w:ascii="Arial" w:hAnsi="Arial" w:cs="Arial"/>
          <w:lang w:val="en-GB"/>
        </w:rPr>
        <w:t>35</w:t>
      </w:r>
      <w:r w:rsidRPr="008B7572">
        <w:rPr>
          <w:rFonts w:ascii="Arial" w:hAnsi="Arial" w:cs="Arial"/>
          <w:lang w:val="en-GB"/>
        </w:rPr>
        <w:t xml:space="preserve">k per unit. </w:t>
      </w:r>
    </w:p>
    <w:p w14:paraId="2005E732" w14:textId="77777777" w:rsidR="00113B5D" w:rsidRDefault="00113B5D" w:rsidP="003D45EF">
      <w:pPr>
        <w:jc w:val="both"/>
        <w:rPr>
          <w:rFonts w:ascii="Arial" w:eastAsia="Arial" w:hAnsi="Arial" w:cs="Arial"/>
          <w:lang w:val="en-GB"/>
        </w:rPr>
      </w:pPr>
    </w:p>
    <w:p w14:paraId="3B88C473" w14:textId="7D8AFA11" w:rsidR="009C24E5" w:rsidRDefault="00DD1025" w:rsidP="009C24E5">
      <w:pPr>
        <w:shd w:val="clear" w:color="auto" w:fill="FFFFFF"/>
        <w:spacing w:after="0" w:line="240" w:lineRule="auto"/>
        <w:jc w:val="both"/>
        <w:rPr>
          <w:rFonts w:ascii="Arial" w:eastAsia="Arial" w:hAnsi="Arial" w:cs="Arial"/>
          <w:b/>
          <w:bCs/>
          <w:lang w:val="en-GB"/>
        </w:rPr>
      </w:pPr>
      <w:r w:rsidRPr="009C24E5">
        <w:rPr>
          <w:rFonts w:ascii="Arial" w:eastAsia="Arial" w:hAnsi="Arial" w:cs="Arial"/>
          <w:b/>
          <w:bCs/>
          <w:lang w:val="en-GB"/>
        </w:rPr>
        <w:t>The AEDAS acquisition was strategically transformational</w:t>
      </w:r>
      <w:r w:rsidR="00D421CD">
        <w:rPr>
          <w:rFonts w:ascii="Arial" w:eastAsia="Arial" w:hAnsi="Arial" w:cs="Arial"/>
          <w:b/>
          <w:bCs/>
          <w:lang w:val="en-GB"/>
        </w:rPr>
        <w:t xml:space="preserve">, </w:t>
      </w:r>
      <w:r w:rsidRPr="009C24E5">
        <w:rPr>
          <w:rFonts w:ascii="Arial" w:eastAsia="Arial" w:hAnsi="Arial" w:cs="Arial"/>
          <w:b/>
          <w:bCs/>
          <w:lang w:val="en-GB"/>
        </w:rPr>
        <w:t>highly accretive</w:t>
      </w:r>
      <w:r w:rsidR="00D421CD">
        <w:rPr>
          <w:rFonts w:ascii="Arial" w:eastAsia="Arial" w:hAnsi="Arial" w:cs="Arial"/>
          <w:b/>
          <w:bCs/>
          <w:lang w:val="en-GB"/>
        </w:rPr>
        <w:t xml:space="preserve"> and significantly accelerated </w:t>
      </w:r>
      <w:r w:rsidRPr="009C24E5">
        <w:rPr>
          <w:rFonts w:ascii="Arial" w:eastAsia="Arial" w:hAnsi="Arial" w:cs="Arial"/>
          <w:b/>
          <w:bCs/>
          <w:lang w:val="en-GB"/>
        </w:rPr>
        <w:t xml:space="preserve">execution of Neinor’s </w:t>
      </w:r>
      <w:r w:rsidR="00B96443">
        <w:rPr>
          <w:rFonts w:ascii="Arial" w:eastAsia="Arial" w:hAnsi="Arial" w:cs="Arial"/>
          <w:b/>
          <w:bCs/>
          <w:lang w:val="en-GB"/>
        </w:rPr>
        <w:t xml:space="preserve">2023-27 </w:t>
      </w:r>
      <w:r w:rsidRPr="009C24E5">
        <w:rPr>
          <w:rFonts w:ascii="Arial" w:eastAsia="Arial" w:hAnsi="Arial" w:cs="Arial"/>
          <w:b/>
          <w:bCs/>
          <w:lang w:val="en-GB"/>
        </w:rPr>
        <w:t>Strategic Plan</w:t>
      </w:r>
      <w:r w:rsidR="00D421CD">
        <w:rPr>
          <w:rFonts w:ascii="Arial" w:eastAsia="Arial" w:hAnsi="Arial" w:cs="Arial"/>
          <w:b/>
          <w:bCs/>
          <w:lang w:val="en-GB"/>
        </w:rPr>
        <w:t xml:space="preserve"> </w:t>
      </w:r>
    </w:p>
    <w:p w14:paraId="5A4225B8" w14:textId="77777777" w:rsidR="009C24E5" w:rsidRPr="009C24E5" w:rsidRDefault="009C24E5" w:rsidP="009C24E5">
      <w:pPr>
        <w:shd w:val="clear" w:color="auto" w:fill="FFFFFF"/>
        <w:spacing w:after="0" w:line="240" w:lineRule="auto"/>
        <w:jc w:val="both"/>
        <w:rPr>
          <w:rFonts w:ascii="Arial" w:eastAsia="Arial" w:hAnsi="Arial" w:cs="Arial"/>
          <w:b/>
          <w:bCs/>
          <w:lang w:val="en-GB"/>
        </w:rPr>
      </w:pPr>
    </w:p>
    <w:p w14:paraId="4D60B649" w14:textId="7FBA29B8" w:rsidR="00DE515B" w:rsidRDefault="00E463E6" w:rsidP="003D45EF">
      <w:pPr>
        <w:jc w:val="both"/>
        <w:rPr>
          <w:rFonts w:ascii="Arial" w:eastAsia="Arial" w:hAnsi="Arial" w:cs="Arial"/>
          <w:lang w:val="en-US"/>
        </w:rPr>
      </w:pPr>
      <w:r w:rsidRPr="003B5D3C">
        <w:rPr>
          <w:rFonts w:ascii="Arial" w:eastAsia="Arial" w:hAnsi="Arial" w:cs="Arial"/>
          <w:lang w:val="en-US"/>
        </w:rPr>
        <w:t>The acquisition of AEDAS Homes was strategically transformational, highly accretive and significantly accelerated the execution of Neinor’s Strategic Plan (2023–27). Representing the largest M&amp;A transaction in the sector in recent decades (€1.8bn), the transaction positions Neinor as Spain’s leading and most diversified residential platform, with the capacity to develop approximately 43,200 housing units in a highly fragmented market. As a result, Neinor is uniquely positioned to operate at scale across all key regions and housing segments, while consolidating its role as the go-to, professionally managed platform for institutional capital seeking exposure to Spain’s structurally undersupplied residential market and its long-term demographic and demand fundamentals.</w:t>
      </w:r>
    </w:p>
    <w:p w14:paraId="1FB5BA07" w14:textId="79B263CE" w:rsidR="00020FF3" w:rsidRDefault="00FA3F1D" w:rsidP="004B5EAD">
      <w:pPr>
        <w:jc w:val="both"/>
        <w:rPr>
          <w:rFonts w:ascii="Arial" w:eastAsia="Arial" w:hAnsi="Arial" w:cs="Arial"/>
          <w:lang w:val="en-GB"/>
        </w:rPr>
      </w:pPr>
      <w:r>
        <w:rPr>
          <w:rFonts w:ascii="Arial" w:eastAsia="Arial" w:hAnsi="Arial" w:cs="Arial"/>
          <w:lang w:val="en-US"/>
        </w:rPr>
        <w:t>From a financial perspective, the acquisition of</w:t>
      </w:r>
      <w:r w:rsidR="003B5D3C" w:rsidRPr="003B5D3C">
        <w:rPr>
          <w:rFonts w:ascii="Arial" w:eastAsia="Arial" w:hAnsi="Arial" w:cs="Arial"/>
          <w:lang w:val="en-US"/>
        </w:rPr>
        <w:t xml:space="preserve"> AEDAS has had a material and accelerating impact on Neinor’s </w:t>
      </w:r>
      <w:r w:rsidR="00020FF3">
        <w:rPr>
          <w:rFonts w:ascii="Arial" w:eastAsia="Arial" w:hAnsi="Arial" w:cs="Arial"/>
          <w:lang w:val="en-US"/>
        </w:rPr>
        <w:t xml:space="preserve">2023-27 </w:t>
      </w:r>
      <w:r w:rsidR="003B5D3C" w:rsidRPr="003B5D3C">
        <w:rPr>
          <w:rFonts w:ascii="Arial" w:eastAsia="Arial" w:hAnsi="Arial" w:cs="Arial"/>
          <w:lang w:val="en-US"/>
        </w:rPr>
        <w:t xml:space="preserve">Strategic Plan. Underwritten at returns above 20% IRR and a c.1.8x MOIC, the transaction </w:t>
      </w:r>
      <w:r w:rsidR="00020FF3">
        <w:rPr>
          <w:rFonts w:ascii="Arial" w:eastAsia="Arial" w:hAnsi="Arial" w:cs="Arial"/>
          <w:lang w:val="en-US"/>
        </w:rPr>
        <w:t>delivers</w:t>
      </w:r>
      <w:r w:rsidR="00020FF3" w:rsidRPr="003B5D3C">
        <w:rPr>
          <w:rFonts w:ascii="Arial" w:eastAsia="Arial" w:hAnsi="Arial" w:cs="Arial"/>
          <w:lang w:val="en-US"/>
        </w:rPr>
        <w:t xml:space="preserve"> </w:t>
      </w:r>
      <w:r w:rsidR="003B5D3C" w:rsidRPr="003B5D3C">
        <w:rPr>
          <w:rFonts w:ascii="Arial" w:eastAsia="Arial" w:hAnsi="Arial" w:cs="Arial"/>
          <w:lang w:val="en-US"/>
        </w:rPr>
        <w:t xml:space="preserve">a high-quality portfolio of approximately 20,200 housing units, including nearly 14,000 units already under production, significantly fast-tracking execution of </w:t>
      </w:r>
      <w:r w:rsidR="00020FF3">
        <w:rPr>
          <w:rFonts w:ascii="Arial" w:eastAsia="Arial" w:hAnsi="Arial" w:cs="Arial"/>
          <w:lang w:val="en-US"/>
        </w:rPr>
        <w:t xml:space="preserve">Neinor’s </w:t>
      </w:r>
      <w:r w:rsidR="003B5D3C" w:rsidRPr="003B5D3C">
        <w:rPr>
          <w:rFonts w:ascii="Arial" w:eastAsia="Arial" w:hAnsi="Arial" w:cs="Arial"/>
          <w:lang w:val="en-US"/>
        </w:rPr>
        <w:t>business plan. As a result, Neinor has upgraded its cumulative net income guidance from €360mn to €510mn (+40%), while increasing expected shareholder distributions from €600mn to €850mn (+40%)</w:t>
      </w:r>
      <w:r w:rsidR="003D2E9D">
        <w:rPr>
          <w:rFonts w:ascii="Arial" w:eastAsia="Arial" w:hAnsi="Arial" w:cs="Arial"/>
          <w:lang w:val="en-US"/>
        </w:rPr>
        <w:t xml:space="preserve"> </w:t>
      </w:r>
      <w:r w:rsidR="003B5D3C" w:rsidRPr="003B5D3C">
        <w:rPr>
          <w:rFonts w:ascii="Arial" w:eastAsia="Arial" w:hAnsi="Arial" w:cs="Arial"/>
          <w:lang w:val="en-US"/>
        </w:rPr>
        <w:t>over the life of the plan, materially enhancing value creation and visibility through to 2027.</w:t>
      </w:r>
    </w:p>
    <w:p w14:paraId="1878E3D1" w14:textId="77777777" w:rsidR="004B5EAD" w:rsidRDefault="004B5EAD" w:rsidP="004B5EAD">
      <w:pPr>
        <w:jc w:val="both"/>
        <w:rPr>
          <w:rFonts w:ascii="Arial" w:eastAsia="Arial" w:hAnsi="Arial" w:cs="Arial"/>
          <w:lang w:val="en-GB"/>
        </w:rPr>
      </w:pPr>
    </w:p>
    <w:p w14:paraId="78F2E048" w14:textId="77777777" w:rsidR="004B5EAD" w:rsidRPr="004B5EAD" w:rsidRDefault="004B5EAD" w:rsidP="004B5EAD">
      <w:pPr>
        <w:jc w:val="both"/>
        <w:rPr>
          <w:rFonts w:ascii="Arial" w:eastAsia="Arial" w:hAnsi="Arial" w:cs="Arial"/>
          <w:lang w:val="en-GB"/>
        </w:rPr>
      </w:pPr>
    </w:p>
    <w:p w14:paraId="496B270A" w14:textId="77777777" w:rsidR="004B5EAD" w:rsidRDefault="004B5EAD" w:rsidP="00AB0E81">
      <w:pPr>
        <w:shd w:val="clear" w:color="auto" w:fill="FFFFFF"/>
        <w:spacing w:after="0" w:line="240" w:lineRule="auto"/>
        <w:jc w:val="both"/>
        <w:rPr>
          <w:rFonts w:ascii="Arial" w:eastAsia="Arial" w:hAnsi="Arial" w:cs="Arial"/>
          <w:b/>
          <w:bCs/>
          <w:lang w:val="en-GB"/>
        </w:rPr>
      </w:pPr>
    </w:p>
    <w:p w14:paraId="78716A41" w14:textId="307BB674" w:rsidR="00AB0E81" w:rsidRPr="00AB0E81" w:rsidRDefault="00AB0E81" w:rsidP="00AB0E81">
      <w:pPr>
        <w:shd w:val="clear" w:color="auto" w:fill="FFFFFF"/>
        <w:spacing w:after="0" w:line="240" w:lineRule="auto"/>
        <w:jc w:val="both"/>
        <w:rPr>
          <w:rFonts w:ascii="Arial" w:eastAsia="Arial" w:hAnsi="Arial" w:cs="Arial"/>
          <w:b/>
          <w:bCs/>
          <w:lang w:val="en-GB"/>
        </w:rPr>
      </w:pPr>
      <w:r w:rsidRPr="00AB0E81">
        <w:rPr>
          <w:rFonts w:ascii="Arial" w:eastAsia="Arial" w:hAnsi="Arial" w:cs="Arial"/>
          <w:b/>
          <w:bCs/>
          <w:lang w:val="en-GB"/>
        </w:rPr>
        <w:t xml:space="preserve">Strong macro </w:t>
      </w:r>
      <w:r w:rsidR="004357DA">
        <w:rPr>
          <w:rFonts w:ascii="Arial" w:eastAsia="Arial" w:hAnsi="Arial" w:cs="Arial"/>
          <w:b/>
          <w:bCs/>
          <w:lang w:val="en-GB"/>
        </w:rPr>
        <w:t>and demographic</w:t>
      </w:r>
      <w:r w:rsidRPr="00AB0E81">
        <w:rPr>
          <w:rFonts w:ascii="Arial" w:eastAsia="Arial" w:hAnsi="Arial" w:cs="Arial"/>
          <w:b/>
          <w:bCs/>
          <w:lang w:val="en-GB"/>
        </w:rPr>
        <w:t xml:space="preserve"> tailwinds support Spain’s residential market</w:t>
      </w:r>
    </w:p>
    <w:p w14:paraId="320624FE" w14:textId="77777777" w:rsidR="00AB0E81" w:rsidRPr="00AB0E81" w:rsidRDefault="00AB0E81" w:rsidP="00AB0E81">
      <w:pPr>
        <w:shd w:val="clear" w:color="auto" w:fill="FFFFFF"/>
        <w:spacing w:after="0" w:line="240" w:lineRule="auto"/>
        <w:jc w:val="both"/>
        <w:rPr>
          <w:rFonts w:ascii="Arial" w:eastAsia="Arial" w:hAnsi="Arial" w:cs="Arial"/>
          <w:b/>
          <w:bCs/>
          <w:lang w:val="en-GB"/>
        </w:rPr>
      </w:pPr>
    </w:p>
    <w:p w14:paraId="3553BFFC" w14:textId="3B828D19" w:rsidR="00AB0E81" w:rsidRPr="00E00CD5" w:rsidRDefault="00C41A29" w:rsidP="00AB0E81">
      <w:pPr>
        <w:shd w:val="clear" w:color="auto" w:fill="FFFFFF"/>
        <w:spacing w:after="0" w:line="240" w:lineRule="auto"/>
        <w:jc w:val="both"/>
        <w:rPr>
          <w:rFonts w:ascii="Arial" w:eastAsia="Arial" w:hAnsi="Arial" w:cs="Arial"/>
          <w:lang w:val="en-US"/>
        </w:rPr>
      </w:pPr>
      <w:r w:rsidRPr="00E00CD5">
        <w:rPr>
          <w:rFonts w:ascii="Arial" w:eastAsia="Arial" w:hAnsi="Arial" w:cs="Arial"/>
          <w:lang w:val="en-US"/>
        </w:rPr>
        <w:t xml:space="preserve">Despite </w:t>
      </w:r>
      <w:r w:rsidR="00C001FF">
        <w:rPr>
          <w:rFonts w:ascii="Arial" w:eastAsia="Arial" w:hAnsi="Arial" w:cs="Arial"/>
          <w:lang w:val="en-US"/>
        </w:rPr>
        <w:t>persisting</w:t>
      </w:r>
      <w:r w:rsidRPr="00E00CD5">
        <w:rPr>
          <w:rFonts w:ascii="Arial" w:eastAsia="Arial" w:hAnsi="Arial" w:cs="Arial"/>
          <w:lang w:val="en-US"/>
        </w:rPr>
        <w:t xml:space="preserve"> </w:t>
      </w:r>
      <w:r w:rsidR="00C001FF">
        <w:rPr>
          <w:rFonts w:ascii="Arial" w:eastAsia="Arial" w:hAnsi="Arial" w:cs="Arial"/>
          <w:lang w:val="en-US"/>
        </w:rPr>
        <w:t xml:space="preserve">macroeconomic and </w:t>
      </w:r>
      <w:r w:rsidRPr="00E00CD5">
        <w:rPr>
          <w:rFonts w:ascii="Arial" w:eastAsia="Arial" w:hAnsi="Arial" w:cs="Arial"/>
          <w:lang w:val="en-US"/>
        </w:rPr>
        <w:t>geopolitical uncertainty, the Spanish economy is expected to have grown by approximately 2.9% in 2025, significantly outperforming the European Union average of 1.4%. GDP growth expectations for Spain were revised upwards over the course of the year, increasing the full-year forecast by 0.7 percentage points. Looking ahead to 2026, the Spanish economy is expected to grow by around 2.2%, once again exceeding the average EU forecast growth of 1.0% (</w:t>
      </w:r>
      <w:r w:rsidR="002365AD">
        <w:rPr>
          <w:rFonts w:ascii="Arial" w:eastAsia="Arial" w:hAnsi="Arial" w:cs="Arial"/>
          <w:lang w:val="en-US"/>
        </w:rPr>
        <w:t>S</w:t>
      </w:r>
      <w:r w:rsidRPr="00E00CD5">
        <w:rPr>
          <w:rFonts w:ascii="Arial" w:eastAsia="Arial" w:hAnsi="Arial" w:cs="Arial"/>
          <w:lang w:val="en-US"/>
        </w:rPr>
        <w:t>ource: Bloomberg).</w:t>
      </w:r>
    </w:p>
    <w:p w14:paraId="1DD026A7" w14:textId="77777777" w:rsidR="00C41A29" w:rsidRPr="00E00CD5" w:rsidRDefault="00C41A29" w:rsidP="00AB0E81">
      <w:pPr>
        <w:shd w:val="clear" w:color="auto" w:fill="FFFFFF"/>
        <w:spacing w:after="0" w:line="240" w:lineRule="auto"/>
        <w:jc w:val="both"/>
        <w:rPr>
          <w:rFonts w:ascii="Arial" w:eastAsia="Arial" w:hAnsi="Arial" w:cs="Arial"/>
          <w:lang w:val="en-US"/>
        </w:rPr>
      </w:pPr>
    </w:p>
    <w:p w14:paraId="7CAFCC5A" w14:textId="225F341D" w:rsidR="00AB0E81" w:rsidRPr="00AB0E81" w:rsidRDefault="00AB0E81" w:rsidP="00AB0E81">
      <w:pPr>
        <w:shd w:val="clear" w:color="auto" w:fill="FFFFFF"/>
        <w:spacing w:after="0" w:line="240" w:lineRule="auto"/>
        <w:jc w:val="both"/>
        <w:rPr>
          <w:rFonts w:ascii="Arial" w:eastAsia="Arial" w:hAnsi="Arial" w:cs="Arial"/>
          <w:lang w:val="en-GB"/>
        </w:rPr>
      </w:pPr>
      <w:r w:rsidRPr="00AB0E81">
        <w:rPr>
          <w:rFonts w:ascii="Arial" w:eastAsia="Arial" w:hAnsi="Arial" w:cs="Arial"/>
          <w:lang w:val="en-GB"/>
        </w:rPr>
        <w:t>Spain’s economic performance has been supported by robust private consumption, which remain</w:t>
      </w:r>
      <w:r w:rsidR="00E00CD5">
        <w:rPr>
          <w:rFonts w:ascii="Arial" w:eastAsia="Arial" w:hAnsi="Arial" w:cs="Arial"/>
          <w:lang w:val="en-GB"/>
        </w:rPr>
        <w:t>s</w:t>
      </w:r>
      <w:r w:rsidRPr="00AB0E81">
        <w:rPr>
          <w:rFonts w:ascii="Arial" w:eastAsia="Arial" w:hAnsi="Arial" w:cs="Arial"/>
          <w:lang w:val="en-GB"/>
        </w:rPr>
        <w:t xml:space="preserve"> the main driver of GDP growth. </w:t>
      </w:r>
      <w:r w:rsidR="00CB00BC">
        <w:rPr>
          <w:rFonts w:ascii="Arial" w:eastAsia="Arial" w:hAnsi="Arial" w:cs="Arial"/>
          <w:lang w:val="en-GB"/>
        </w:rPr>
        <w:t>During</w:t>
      </w:r>
      <w:r w:rsidRPr="00AB0E81">
        <w:rPr>
          <w:rFonts w:ascii="Arial" w:eastAsia="Arial" w:hAnsi="Arial" w:cs="Arial"/>
          <w:lang w:val="en-GB"/>
        </w:rPr>
        <w:t xml:space="preserve"> 2025, the Spanish economy created more than 5</w:t>
      </w:r>
      <w:r w:rsidR="008E1877">
        <w:rPr>
          <w:rFonts w:ascii="Arial" w:eastAsia="Arial" w:hAnsi="Arial" w:cs="Arial"/>
          <w:lang w:val="en-GB"/>
        </w:rPr>
        <w:t>00</w:t>
      </w:r>
      <w:r w:rsidRPr="00AB0E81">
        <w:rPr>
          <w:rFonts w:ascii="Arial" w:eastAsia="Arial" w:hAnsi="Arial" w:cs="Arial"/>
          <w:lang w:val="en-GB"/>
        </w:rPr>
        <w:t xml:space="preserve">,000 new jobs, while the number of registered </w:t>
      </w:r>
      <w:r w:rsidR="001E5707">
        <w:rPr>
          <w:rFonts w:ascii="Arial" w:eastAsia="Arial" w:hAnsi="Arial" w:cs="Arial"/>
          <w:lang w:val="en-GB"/>
        </w:rPr>
        <w:t>affiliates</w:t>
      </w:r>
      <w:r w:rsidRPr="00AB0E81">
        <w:rPr>
          <w:rFonts w:ascii="Arial" w:eastAsia="Arial" w:hAnsi="Arial" w:cs="Arial"/>
          <w:lang w:val="en-GB"/>
        </w:rPr>
        <w:t xml:space="preserve"> to the Social Security system reached a new historical high of approximately 21.8 million.</w:t>
      </w:r>
      <w:r w:rsidR="002E21EF">
        <w:rPr>
          <w:rFonts w:ascii="Arial" w:eastAsia="Arial" w:hAnsi="Arial" w:cs="Arial"/>
          <w:lang w:val="en-GB"/>
        </w:rPr>
        <w:t xml:space="preserve"> </w:t>
      </w:r>
      <w:r w:rsidRPr="00AB0E81">
        <w:rPr>
          <w:rFonts w:ascii="Arial" w:eastAsia="Arial" w:hAnsi="Arial" w:cs="Arial"/>
          <w:lang w:val="en-GB"/>
        </w:rPr>
        <w:t>(</w:t>
      </w:r>
      <w:r w:rsidR="002365AD">
        <w:rPr>
          <w:rFonts w:ascii="Arial" w:eastAsia="Arial" w:hAnsi="Arial" w:cs="Arial"/>
          <w:lang w:val="en-GB"/>
        </w:rPr>
        <w:t>S</w:t>
      </w:r>
      <w:r w:rsidRPr="00AB0E81">
        <w:rPr>
          <w:rFonts w:ascii="Arial" w:eastAsia="Arial" w:hAnsi="Arial" w:cs="Arial"/>
          <w:lang w:val="en-GB"/>
        </w:rPr>
        <w:t>ource:</w:t>
      </w:r>
      <w:r w:rsidR="002365AD">
        <w:rPr>
          <w:rFonts w:ascii="Arial" w:eastAsia="Arial" w:hAnsi="Arial" w:cs="Arial"/>
          <w:lang w:val="en-GB"/>
        </w:rPr>
        <w:t xml:space="preserve"> Social Security</w:t>
      </w:r>
      <w:r w:rsidRPr="00AB0E81">
        <w:rPr>
          <w:rFonts w:ascii="Arial" w:eastAsia="Arial" w:hAnsi="Arial" w:cs="Arial"/>
          <w:lang w:val="en-GB"/>
        </w:rPr>
        <w:t>).</w:t>
      </w:r>
    </w:p>
    <w:p w14:paraId="7F3F9F43" w14:textId="77777777" w:rsidR="00AB0E81" w:rsidRPr="00AB0E81" w:rsidRDefault="00AB0E81" w:rsidP="00AB0E81">
      <w:pPr>
        <w:shd w:val="clear" w:color="auto" w:fill="FFFFFF"/>
        <w:spacing w:after="0" w:line="240" w:lineRule="auto"/>
        <w:jc w:val="both"/>
        <w:rPr>
          <w:rFonts w:ascii="Arial" w:eastAsia="Arial" w:hAnsi="Arial" w:cs="Arial"/>
          <w:lang w:val="en-GB"/>
        </w:rPr>
      </w:pPr>
    </w:p>
    <w:p w14:paraId="48777A56" w14:textId="4934DAAA" w:rsidR="00006D1B" w:rsidRPr="00006D1B" w:rsidRDefault="00006D1B" w:rsidP="00006D1B">
      <w:pPr>
        <w:shd w:val="clear" w:color="auto" w:fill="FFFFFF"/>
        <w:spacing w:after="0" w:line="240" w:lineRule="auto"/>
        <w:jc w:val="both"/>
        <w:rPr>
          <w:rFonts w:ascii="Arial" w:eastAsia="Arial" w:hAnsi="Arial" w:cs="Arial"/>
          <w:lang w:val="en-US"/>
        </w:rPr>
      </w:pPr>
      <w:r w:rsidRPr="00006D1B">
        <w:rPr>
          <w:rFonts w:ascii="Arial" w:eastAsia="Arial" w:hAnsi="Arial" w:cs="Arial"/>
          <w:lang w:val="en-US"/>
        </w:rPr>
        <w:t xml:space="preserve">The Spanish economy continues to benefit from a strong balance sheet, </w:t>
      </w:r>
      <w:r w:rsidR="00894044" w:rsidRPr="00006D1B">
        <w:rPr>
          <w:rFonts w:ascii="Arial" w:eastAsia="Arial" w:hAnsi="Arial" w:cs="Arial"/>
          <w:lang w:val="en-US"/>
        </w:rPr>
        <w:t>characterized</w:t>
      </w:r>
      <w:r w:rsidRPr="00006D1B">
        <w:rPr>
          <w:rFonts w:ascii="Arial" w:eastAsia="Arial" w:hAnsi="Arial" w:cs="Arial"/>
          <w:lang w:val="en-US"/>
        </w:rPr>
        <w:t xml:space="preserve"> by low leverage across households, non-financial corporations and financial institutions. In addition, the pivotal shift in the interest rate cycle, which began in 2024 and continued throughout 2025 with four rate cuts from 3.0% to 2.0%, is expected to further support consumer confidence, stimulate spending and </w:t>
      </w:r>
      <w:r w:rsidR="00EF2C6C">
        <w:rPr>
          <w:rFonts w:ascii="Arial" w:eastAsia="Arial" w:hAnsi="Arial" w:cs="Arial"/>
          <w:lang w:val="en-US"/>
        </w:rPr>
        <w:t>improve</w:t>
      </w:r>
      <w:r w:rsidRPr="00006D1B">
        <w:rPr>
          <w:rFonts w:ascii="Arial" w:eastAsia="Arial" w:hAnsi="Arial" w:cs="Arial"/>
          <w:lang w:val="en-US"/>
        </w:rPr>
        <w:t xml:space="preserve"> affordability conditions in the housing market.</w:t>
      </w:r>
    </w:p>
    <w:p w14:paraId="02FF6D68" w14:textId="77777777" w:rsidR="00AB0E81" w:rsidRPr="00006D1B" w:rsidRDefault="00AB0E81" w:rsidP="00F75C53">
      <w:pPr>
        <w:shd w:val="clear" w:color="auto" w:fill="FFFFFF"/>
        <w:spacing w:after="0" w:line="240" w:lineRule="auto"/>
        <w:jc w:val="both"/>
        <w:rPr>
          <w:rFonts w:ascii="Arial" w:eastAsia="Arial" w:hAnsi="Arial" w:cs="Arial"/>
          <w:b/>
          <w:bCs/>
          <w:lang w:val="en-US"/>
        </w:rPr>
      </w:pPr>
    </w:p>
    <w:p w14:paraId="6E200ADA" w14:textId="3B2DA19C" w:rsidR="00F305DC" w:rsidRPr="00F305DC" w:rsidRDefault="001A0A02" w:rsidP="00F305DC">
      <w:pPr>
        <w:shd w:val="clear" w:color="auto" w:fill="FFFFFF"/>
        <w:spacing w:after="0" w:line="240" w:lineRule="auto"/>
        <w:jc w:val="both"/>
        <w:rPr>
          <w:rFonts w:ascii="Arial" w:eastAsia="Arial" w:hAnsi="Arial" w:cs="Arial"/>
          <w:lang w:val="en-GB"/>
        </w:rPr>
      </w:pPr>
      <w:r>
        <w:rPr>
          <w:rFonts w:ascii="Arial" w:eastAsia="Arial" w:hAnsi="Arial" w:cs="Arial"/>
          <w:lang w:val="en-GB"/>
        </w:rPr>
        <w:t>During 2025, h</w:t>
      </w:r>
      <w:r w:rsidR="00F305DC" w:rsidRPr="00F305DC">
        <w:rPr>
          <w:rFonts w:ascii="Arial" w:eastAsia="Arial" w:hAnsi="Arial" w:cs="Arial"/>
          <w:lang w:val="en-GB"/>
        </w:rPr>
        <w:t xml:space="preserve">ousing market activity in Spain strengthened further. Comparing the first nine months of the year, total residential property transactions reached 551,257 units, up from 516,378 units </w:t>
      </w:r>
      <w:r>
        <w:rPr>
          <w:rFonts w:ascii="Arial" w:eastAsia="Arial" w:hAnsi="Arial" w:cs="Arial"/>
          <w:lang w:val="en-GB"/>
        </w:rPr>
        <w:t>last year</w:t>
      </w:r>
      <w:r w:rsidR="00F305DC" w:rsidRPr="00F305DC">
        <w:rPr>
          <w:rFonts w:ascii="Arial" w:eastAsia="Arial" w:hAnsi="Arial" w:cs="Arial"/>
          <w:lang w:val="en-GB"/>
        </w:rPr>
        <w:t xml:space="preserve">, representing a year-on-year increase of </w:t>
      </w:r>
      <w:r w:rsidR="006F10C7">
        <w:rPr>
          <w:rFonts w:ascii="Arial" w:eastAsia="Arial" w:hAnsi="Arial" w:cs="Arial"/>
          <w:lang w:val="en-GB"/>
        </w:rPr>
        <w:t>+</w:t>
      </w:r>
      <w:r w:rsidR="00F305DC" w:rsidRPr="00F305DC">
        <w:rPr>
          <w:rFonts w:ascii="Arial" w:eastAsia="Arial" w:hAnsi="Arial" w:cs="Arial"/>
          <w:lang w:val="en-GB"/>
        </w:rPr>
        <w:t>6%. This performance points to a renewed pickup in housing market turnover, supported by improving demand conditions and sustained buyer appetite</w:t>
      </w:r>
      <w:r w:rsidR="00E2402F">
        <w:rPr>
          <w:rFonts w:ascii="Arial" w:eastAsia="Arial" w:hAnsi="Arial" w:cs="Arial"/>
          <w:lang w:val="en-GB"/>
        </w:rPr>
        <w:t xml:space="preserve"> </w:t>
      </w:r>
      <w:r w:rsidR="00B262EF">
        <w:rPr>
          <w:rFonts w:ascii="Arial" w:eastAsia="Arial" w:hAnsi="Arial" w:cs="Arial"/>
          <w:lang w:val="en-GB"/>
        </w:rPr>
        <w:t>(Source: F</w:t>
      </w:r>
      <w:r w:rsidR="00E2402F">
        <w:rPr>
          <w:rFonts w:ascii="Arial" w:eastAsia="Arial" w:hAnsi="Arial" w:cs="Arial"/>
          <w:lang w:val="en-GB"/>
        </w:rPr>
        <w:t>omento)</w:t>
      </w:r>
      <w:r w:rsidR="00F305DC" w:rsidRPr="00F305DC">
        <w:rPr>
          <w:rFonts w:ascii="Arial" w:eastAsia="Arial" w:hAnsi="Arial" w:cs="Arial"/>
          <w:lang w:val="en-GB"/>
        </w:rPr>
        <w:t>.</w:t>
      </w:r>
    </w:p>
    <w:p w14:paraId="21A6852F" w14:textId="77777777" w:rsidR="000420AF" w:rsidRPr="00F305DC" w:rsidRDefault="000420AF" w:rsidP="00F305DC">
      <w:pPr>
        <w:shd w:val="clear" w:color="auto" w:fill="FFFFFF"/>
        <w:spacing w:after="0" w:line="240" w:lineRule="auto"/>
        <w:jc w:val="both"/>
        <w:rPr>
          <w:rFonts w:ascii="Arial" w:eastAsia="Arial" w:hAnsi="Arial" w:cs="Arial"/>
          <w:lang w:val="en-GB"/>
        </w:rPr>
      </w:pPr>
    </w:p>
    <w:p w14:paraId="5E4D2EFA" w14:textId="618D9E99" w:rsidR="00F305DC" w:rsidRPr="00F305DC" w:rsidRDefault="00F305DC" w:rsidP="00F305DC">
      <w:pPr>
        <w:shd w:val="clear" w:color="auto" w:fill="FFFFFF"/>
        <w:spacing w:after="0" w:line="240" w:lineRule="auto"/>
        <w:jc w:val="both"/>
        <w:rPr>
          <w:rFonts w:ascii="Arial" w:eastAsia="Arial" w:hAnsi="Arial" w:cs="Arial"/>
          <w:lang w:val="en-GB"/>
        </w:rPr>
      </w:pPr>
      <w:r w:rsidRPr="00F305DC">
        <w:rPr>
          <w:rFonts w:ascii="Arial" w:eastAsia="Arial" w:hAnsi="Arial" w:cs="Arial"/>
          <w:lang w:val="en-GB"/>
        </w:rPr>
        <w:t xml:space="preserve">In contrast, supply-side indicators continue to reflect a more moderate pace of activity. New housing completions totalled 58,804 units in </w:t>
      </w:r>
      <w:r w:rsidR="005332D5">
        <w:rPr>
          <w:rFonts w:ascii="Arial" w:eastAsia="Arial" w:hAnsi="Arial" w:cs="Arial"/>
          <w:lang w:val="en-GB"/>
        </w:rPr>
        <w:t>9M25</w:t>
      </w:r>
      <w:r w:rsidRPr="00F305DC">
        <w:rPr>
          <w:rFonts w:ascii="Arial" w:eastAsia="Arial" w:hAnsi="Arial" w:cs="Arial"/>
          <w:lang w:val="en-GB"/>
        </w:rPr>
        <w:t xml:space="preserve">, down from 61,910 units in </w:t>
      </w:r>
      <w:r w:rsidR="005332D5">
        <w:rPr>
          <w:rFonts w:ascii="Arial" w:eastAsia="Arial" w:hAnsi="Arial" w:cs="Arial"/>
          <w:lang w:val="en-GB"/>
        </w:rPr>
        <w:t>9M24</w:t>
      </w:r>
      <w:r w:rsidRPr="00F305DC">
        <w:rPr>
          <w:rFonts w:ascii="Arial" w:eastAsia="Arial" w:hAnsi="Arial" w:cs="Arial"/>
          <w:lang w:val="en-GB"/>
        </w:rPr>
        <w:t xml:space="preserve">, implying a year-on-year decline of </w:t>
      </w:r>
      <w:r w:rsidR="009835C0">
        <w:rPr>
          <w:rFonts w:ascii="Arial" w:eastAsia="Arial" w:hAnsi="Arial" w:cs="Arial"/>
          <w:lang w:val="en-GB"/>
        </w:rPr>
        <w:t xml:space="preserve">more than </w:t>
      </w:r>
      <w:r w:rsidRPr="00F305DC">
        <w:rPr>
          <w:rFonts w:ascii="Arial" w:eastAsia="Arial" w:hAnsi="Arial" w:cs="Arial"/>
          <w:lang w:val="en-GB"/>
        </w:rPr>
        <w:t>5%.</w:t>
      </w:r>
      <w:r w:rsidR="009835C0">
        <w:rPr>
          <w:rFonts w:ascii="Arial" w:eastAsia="Arial" w:hAnsi="Arial" w:cs="Arial"/>
          <w:lang w:val="en-GB"/>
        </w:rPr>
        <w:t xml:space="preserve"> </w:t>
      </w:r>
      <w:r w:rsidRPr="00F305DC">
        <w:rPr>
          <w:rFonts w:ascii="Arial" w:eastAsia="Arial" w:hAnsi="Arial" w:cs="Arial"/>
          <w:lang w:val="en-GB"/>
        </w:rPr>
        <w:t>This slowdown highlights the persistent gap between housing demand and new supply, reinforcing the structural undersupply that continues to characterise the Spanish residential market</w:t>
      </w:r>
      <w:r w:rsidR="00E2402F">
        <w:rPr>
          <w:rFonts w:ascii="Arial" w:eastAsia="Arial" w:hAnsi="Arial" w:cs="Arial"/>
          <w:lang w:val="en-GB"/>
        </w:rPr>
        <w:t xml:space="preserve"> (Source: Fomento)</w:t>
      </w:r>
      <w:r w:rsidRPr="00F305DC">
        <w:rPr>
          <w:rFonts w:ascii="Arial" w:eastAsia="Arial" w:hAnsi="Arial" w:cs="Arial"/>
          <w:lang w:val="en-GB"/>
        </w:rPr>
        <w:t>.</w:t>
      </w:r>
    </w:p>
    <w:p w14:paraId="289B3977" w14:textId="77777777" w:rsidR="00440D03" w:rsidRDefault="00440D03" w:rsidP="00F305DC">
      <w:pPr>
        <w:shd w:val="clear" w:color="auto" w:fill="FFFFFF"/>
        <w:spacing w:after="0" w:line="240" w:lineRule="auto"/>
        <w:jc w:val="both"/>
        <w:rPr>
          <w:rFonts w:ascii="Arial" w:eastAsia="Arial" w:hAnsi="Arial" w:cs="Arial"/>
          <w:lang w:val="en-GB"/>
        </w:rPr>
      </w:pPr>
    </w:p>
    <w:p w14:paraId="08AF1AC4" w14:textId="77777777" w:rsidR="00A918D3" w:rsidRPr="00362BCA" w:rsidRDefault="00A918D3" w:rsidP="00A918D3">
      <w:pPr>
        <w:jc w:val="both"/>
        <w:rPr>
          <w:rFonts w:ascii="Arial" w:hAnsi="Arial" w:cs="Arial"/>
          <w:b/>
          <w:bCs/>
          <w:lang w:val="en-US"/>
        </w:rPr>
      </w:pPr>
      <w:r>
        <w:rPr>
          <w:rFonts w:ascii="Arial" w:hAnsi="Arial" w:cs="Arial"/>
          <w:b/>
          <w:bCs/>
          <w:lang w:val="en-US"/>
        </w:rPr>
        <w:t xml:space="preserve">Eyeing further growth opportunities in a buoyant Spanish Residential Market </w:t>
      </w:r>
    </w:p>
    <w:p w14:paraId="51CD05E4" w14:textId="34363A28" w:rsidR="003C0FD0" w:rsidRDefault="003C0FD0" w:rsidP="003C0FD0">
      <w:pPr>
        <w:shd w:val="clear" w:color="auto" w:fill="FFFFFF"/>
        <w:spacing w:after="0" w:line="240" w:lineRule="auto"/>
        <w:jc w:val="both"/>
        <w:rPr>
          <w:rFonts w:ascii="Arial" w:hAnsi="Arial" w:cs="Arial"/>
          <w:lang w:val="en-US"/>
        </w:rPr>
      </w:pPr>
      <w:r w:rsidRPr="003C0FD0">
        <w:rPr>
          <w:rFonts w:ascii="Arial" w:hAnsi="Arial" w:cs="Arial"/>
          <w:lang w:val="en-US"/>
        </w:rPr>
        <w:t xml:space="preserve">Building on its proven execution track record, Neinor has materially exceeded the investment objectives set out in its </w:t>
      </w:r>
      <w:r w:rsidR="00891991">
        <w:rPr>
          <w:rFonts w:ascii="Arial" w:hAnsi="Arial" w:cs="Arial"/>
          <w:lang w:val="en-US"/>
        </w:rPr>
        <w:t xml:space="preserve">2023-27 </w:t>
      </w:r>
      <w:r w:rsidRPr="003C0FD0">
        <w:rPr>
          <w:rFonts w:ascii="Arial" w:hAnsi="Arial" w:cs="Arial"/>
          <w:lang w:val="en-US"/>
        </w:rPr>
        <w:t>Strategic Plan. The plan originally contemplated €1.0</w:t>
      </w:r>
      <w:r w:rsidR="00B56E1B" w:rsidRPr="003C0FD0">
        <w:rPr>
          <w:rFonts w:ascii="Arial" w:hAnsi="Arial" w:cs="Arial"/>
          <w:lang w:val="en-US"/>
        </w:rPr>
        <w:t>bn</w:t>
      </w:r>
      <w:r w:rsidRPr="003C0FD0">
        <w:rPr>
          <w:rFonts w:ascii="Arial" w:hAnsi="Arial" w:cs="Arial"/>
          <w:lang w:val="en-US"/>
        </w:rPr>
        <w:t xml:space="preserve"> investments, split evenly between €500mn of Neinor’s own equity and €500mn from strategic partners. Just three years into the plan, and following the acquisition of AEDAS Homes, Neinor has already deployed more than €2.7bn of capital, representing c.170% fulfilment of the original five-year investment target. Of this amount, over €1.</w:t>
      </w:r>
      <w:r w:rsidRPr="000221F7">
        <w:rPr>
          <w:rFonts w:ascii="Arial" w:hAnsi="Arial" w:cs="Arial"/>
          <w:lang w:val="en-US"/>
        </w:rPr>
        <w:t>95bn</w:t>
      </w:r>
      <w:r w:rsidRPr="003C0FD0">
        <w:rPr>
          <w:rFonts w:ascii="Arial" w:hAnsi="Arial" w:cs="Arial"/>
          <w:lang w:val="en-US"/>
        </w:rPr>
        <w:t xml:space="preserve"> has been invested directly by Neinor, with the remainder contributed by its strategic partners. As a result, the company has assembled a high-quality portfolio exceeding 31,000 housing units, located in Spain’s most dynamic and sought-after residential regions, significantly enhancing scale, visibility and long-term growth potential.</w:t>
      </w:r>
    </w:p>
    <w:p w14:paraId="06B2A513" w14:textId="77777777" w:rsidR="003C0FD0" w:rsidRPr="003C0FD0" w:rsidRDefault="003C0FD0" w:rsidP="003C0FD0">
      <w:pPr>
        <w:shd w:val="clear" w:color="auto" w:fill="FFFFFF"/>
        <w:spacing w:after="0" w:line="240" w:lineRule="auto"/>
        <w:jc w:val="both"/>
        <w:rPr>
          <w:rFonts w:ascii="Arial" w:hAnsi="Arial" w:cs="Arial"/>
          <w:lang w:val="en-US"/>
        </w:rPr>
      </w:pPr>
    </w:p>
    <w:p w14:paraId="4167E182" w14:textId="77777777" w:rsidR="003C0FD0" w:rsidRPr="003C0FD0" w:rsidRDefault="003C0FD0" w:rsidP="003C0FD0">
      <w:pPr>
        <w:shd w:val="clear" w:color="auto" w:fill="FFFFFF"/>
        <w:spacing w:after="0" w:line="240" w:lineRule="auto"/>
        <w:jc w:val="both"/>
        <w:rPr>
          <w:rFonts w:ascii="Arial" w:hAnsi="Arial" w:cs="Arial"/>
          <w:lang w:val="en-US"/>
        </w:rPr>
      </w:pPr>
      <w:r w:rsidRPr="003C0FD0">
        <w:rPr>
          <w:rFonts w:ascii="Arial" w:hAnsi="Arial" w:cs="Arial"/>
          <w:lang w:val="en-US"/>
        </w:rPr>
        <w:t>Against the current macroeconomic and residential backdrop, Neinor is well positioned to continue selectively deploying capital under its equity-efficient strategy, capturing the structural growth opportunities offered by the Spanish market across its core build-to-sell business, as well as in emerging alternative living segments such as independent senior living and flex living.</w:t>
      </w:r>
    </w:p>
    <w:p w14:paraId="7C9087CD" w14:textId="06135DE0" w:rsidR="00AE3AAE" w:rsidRDefault="009E6E55" w:rsidP="00221EB4">
      <w:pPr>
        <w:shd w:val="clear" w:color="auto" w:fill="FFFFFF"/>
        <w:spacing w:after="0" w:line="240" w:lineRule="auto"/>
        <w:jc w:val="both"/>
        <w:rPr>
          <w:rFonts w:ascii="Arial" w:eastAsia="Arial" w:hAnsi="Arial" w:cs="Arial"/>
          <w:bCs/>
          <w:lang w:val="en-GB"/>
        </w:rPr>
      </w:pPr>
      <w:r w:rsidRPr="009E6E55">
        <w:rPr>
          <w:rFonts w:ascii="Arial" w:eastAsia="Arial" w:hAnsi="Arial" w:cs="Arial"/>
          <w:b/>
          <w:lang w:val="en-GB"/>
        </w:rPr>
        <w:t xml:space="preserve">Borja García-Egotxeaga, CEO of </w:t>
      </w:r>
      <w:proofErr w:type="spellStart"/>
      <w:r w:rsidRPr="009E6E55">
        <w:rPr>
          <w:rFonts w:ascii="Arial" w:eastAsia="Arial" w:hAnsi="Arial" w:cs="Arial"/>
          <w:b/>
          <w:lang w:val="en-GB"/>
        </w:rPr>
        <w:t>Neinor</w:t>
      </w:r>
      <w:proofErr w:type="spellEnd"/>
      <w:r w:rsidRPr="009E6E55">
        <w:rPr>
          <w:rFonts w:ascii="Arial" w:eastAsia="Arial" w:hAnsi="Arial" w:cs="Arial"/>
          <w:b/>
          <w:lang w:val="en-GB"/>
        </w:rPr>
        <w:t xml:space="preserve"> Homes, commented: </w:t>
      </w:r>
      <w:r w:rsidR="004B4DFE" w:rsidRPr="004B4DFE">
        <w:rPr>
          <w:rFonts w:ascii="Arial" w:eastAsia="Arial" w:hAnsi="Arial" w:cs="Arial"/>
          <w:bCs/>
          <w:i/>
          <w:iCs/>
          <w:lang w:val="en-GB"/>
        </w:rPr>
        <w:t>“</w:t>
      </w:r>
      <w:proofErr w:type="spellStart"/>
      <w:r w:rsidR="004B4DFE" w:rsidRPr="004B4DFE">
        <w:rPr>
          <w:rFonts w:ascii="Arial" w:eastAsia="Arial" w:hAnsi="Arial" w:cs="Arial"/>
          <w:bCs/>
          <w:i/>
          <w:iCs/>
          <w:lang w:val="en-GB"/>
        </w:rPr>
        <w:t>Neinor</w:t>
      </w:r>
      <w:proofErr w:type="spellEnd"/>
      <w:r w:rsidR="004B4DFE" w:rsidRPr="004B4DFE">
        <w:rPr>
          <w:rFonts w:ascii="Arial" w:eastAsia="Arial" w:hAnsi="Arial" w:cs="Arial"/>
          <w:bCs/>
          <w:i/>
          <w:iCs/>
          <w:lang w:val="en-GB"/>
        </w:rPr>
        <w:t xml:space="preserve"> is today the largest </w:t>
      </w:r>
      <w:r w:rsidR="00E2402F">
        <w:rPr>
          <w:rFonts w:ascii="Arial" w:eastAsia="Arial" w:hAnsi="Arial" w:cs="Arial"/>
          <w:bCs/>
          <w:i/>
          <w:iCs/>
          <w:lang w:val="en-GB"/>
        </w:rPr>
        <w:t>homebuilder</w:t>
      </w:r>
      <w:r w:rsidR="004B4DFE" w:rsidRPr="004B4DFE">
        <w:rPr>
          <w:rFonts w:ascii="Arial" w:eastAsia="Arial" w:hAnsi="Arial" w:cs="Arial"/>
          <w:bCs/>
          <w:i/>
          <w:iCs/>
          <w:lang w:val="en-GB"/>
        </w:rPr>
        <w:t xml:space="preserve"> in Spain, operating in a market with very strong macroeconomic and structural fundamentals. Looking ahead, we see a wide range of growth opportunities across our core and adjacent businesses. </w:t>
      </w:r>
      <w:r w:rsidR="00020FF3">
        <w:rPr>
          <w:rFonts w:ascii="Arial" w:eastAsia="Arial" w:hAnsi="Arial" w:cs="Arial"/>
          <w:bCs/>
          <w:i/>
          <w:iCs/>
          <w:lang w:val="en-GB"/>
        </w:rPr>
        <w:t>Nonetheless</w:t>
      </w:r>
      <w:r w:rsidR="004B4DFE" w:rsidRPr="004B4DFE">
        <w:rPr>
          <w:rFonts w:ascii="Arial" w:eastAsia="Arial" w:hAnsi="Arial" w:cs="Arial"/>
          <w:bCs/>
          <w:i/>
          <w:iCs/>
          <w:lang w:val="en-GB"/>
        </w:rPr>
        <w:t>, our approach will remain fully disciplined: we will not grow for the sake of growth, but rather pursue selective, surgical opportunities where returns are compelling and value creation for our shareholders is clear.”</w:t>
      </w:r>
    </w:p>
    <w:p w14:paraId="56F3B464" w14:textId="77777777" w:rsidR="004B4DFE" w:rsidRDefault="004B4DFE" w:rsidP="00221EB4">
      <w:pPr>
        <w:shd w:val="clear" w:color="auto" w:fill="FFFFFF"/>
        <w:spacing w:after="0" w:line="240" w:lineRule="auto"/>
        <w:jc w:val="both"/>
        <w:rPr>
          <w:rFonts w:ascii="Arial" w:eastAsia="Arial" w:hAnsi="Arial" w:cs="Arial"/>
          <w:bCs/>
          <w:lang w:val="en-GB"/>
        </w:rPr>
      </w:pPr>
    </w:p>
    <w:p w14:paraId="273B14B0" w14:textId="0B148B40" w:rsidR="00F273E2" w:rsidRDefault="009E6E55" w:rsidP="00071567">
      <w:pPr>
        <w:shd w:val="clear" w:color="auto" w:fill="FFFFFF"/>
        <w:spacing w:after="0" w:line="240" w:lineRule="auto"/>
        <w:jc w:val="both"/>
        <w:rPr>
          <w:rFonts w:ascii="Arial" w:eastAsia="Arial" w:hAnsi="Arial" w:cs="Arial"/>
          <w:i/>
          <w:iCs/>
          <w:lang w:val="en-US"/>
        </w:rPr>
      </w:pPr>
      <w:r w:rsidRPr="009E6E55">
        <w:rPr>
          <w:rFonts w:ascii="Arial" w:eastAsia="Arial" w:hAnsi="Arial" w:cs="Arial"/>
          <w:b/>
          <w:lang w:val="en-GB"/>
        </w:rPr>
        <w:t xml:space="preserve">Jordi Argemí, Deputy CEO and CFO, explained: </w:t>
      </w:r>
      <w:r w:rsidR="00071567" w:rsidRPr="00071567">
        <w:rPr>
          <w:rFonts w:ascii="Arial" w:eastAsia="Arial" w:hAnsi="Arial" w:cs="Arial"/>
          <w:bCs/>
          <w:i/>
          <w:iCs/>
          <w:lang w:val="en-GB"/>
        </w:rPr>
        <w:t xml:space="preserve">“We are very proud of what we have achieved since unveiling our Strategic Plan in March 2023. Over this period, </w:t>
      </w:r>
      <w:proofErr w:type="spellStart"/>
      <w:r w:rsidR="00071567" w:rsidRPr="00071567">
        <w:rPr>
          <w:rFonts w:ascii="Arial" w:eastAsia="Arial" w:hAnsi="Arial" w:cs="Arial"/>
          <w:bCs/>
          <w:i/>
          <w:iCs/>
          <w:lang w:val="en-GB"/>
        </w:rPr>
        <w:t>Neinor</w:t>
      </w:r>
      <w:proofErr w:type="spellEnd"/>
      <w:r w:rsidR="00071567" w:rsidRPr="00071567">
        <w:rPr>
          <w:rFonts w:ascii="Arial" w:eastAsia="Arial" w:hAnsi="Arial" w:cs="Arial"/>
          <w:bCs/>
          <w:i/>
          <w:iCs/>
          <w:lang w:val="en-GB"/>
        </w:rPr>
        <w:t xml:space="preserve"> has consistently outperformed its operational and financial targets, as once again demonstrated by today’s results. This sustained execution has translated into strong shareholder value creation, with the Company delivering a total shareholder return of over 200% over the last three years.”</w:t>
      </w:r>
    </w:p>
    <w:p w14:paraId="6E5AF0F3" w14:textId="77777777" w:rsidR="00FC2D6B" w:rsidRDefault="00FC2D6B" w:rsidP="00F273E2">
      <w:pPr>
        <w:spacing w:after="0" w:line="240" w:lineRule="auto"/>
        <w:jc w:val="both"/>
        <w:rPr>
          <w:rFonts w:ascii="Arial" w:eastAsia="Arial" w:hAnsi="Arial" w:cs="Arial"/>
          <w:i/>
          <w:iCs/>
          <w:lang w:val="en-US"/>
        </w:rPr>
      </w:pPr>
    </w:p>
    <w:p w14:paraId="54D6747B" w14:textId="77777777" w:rsidR="00B11A5C" w:rsidRPr="00B11A5C" w:rsidRDefault="00B11A5C" w:rsidP="00B11A5C">
      <w:pPr>
        <w:spacing w:after="120" w:line="264" w:lineRule="auto"/>
        <w:rPr>
          <w:rFonts w:ascii="Arial" w:eastAsia="Yu Mincho" w:hAnsi="Arial" w:cs="Arial"/>
          <w:lang w:val="en-GB"/>
        </w:rPr>
      </w:pPr>
      <w:r w:rsidRPr="00B11A5C">
        <w:rPr>
          <w:rFonts w:ascii="Arial" w:eastAsia="Yu Mincho" w:hAnsi="Arial" w:cs="Arial"/>
          <w:i/>
          <w:iCs/>
          <w:lang w:val="en-GB"/>
        </w:rPr>
        <w:t xml:space="preserve">* For the full regulatory announcement please refer to </w:t>
      </w:r>
      <w:hyperlink r:id="rId10" w:history="1">
        <w:r w:rsidRPr="00B11A5C">
          <w:rPr>
            <w:rFonts w:ascii="Arial" w:eastAsia="Yu Mincho" w:hAnsi="Arial" w:cs="Arial"/>
            <w:i/>
            <w:iCs/>
            <w:lang w:val="en-GB"/>
          </w:rPr>
          <w:t>Neinor’s webpage</w:t>
        </w:r>
      </w:hyperlink>
      <w:r w:rsidRPr="00B11A5C">
        <w:rPr>
          <w:rFonts w:ascii="Arial" w:eastAsia="Yu Mincho" w:hAnsi="Arial" w:cs="Arial"/>
          <w:i/>
          <w:iCs/>
          <w:lang w:val="en-GB"/>
        </w:rPr>
        <w:t xml:space="preserve"> (</w:t>
      </w:r>
      <w:hyperlink r:id="rId11" w:history="1">
        <w:r w:rsidRPr="00B11A5C">
          <w:rPr>
            <w:rFonts w:ascii="Arial" w:eastAsia="Yu Mincho" w:hAnsi="Arial" w:cs="Arial"/>
            <w:color w:val="0563C1"/>
            <w:u w:val="single"/>
            <w:lang w:val="en-GB"/>
          </w:rPr>
          <w:t>https://www.neinorhomes.com/en/corporate/investors/market-notifications/other-relevant-information/</w:t>
        </w:r>
      </w:hyperlink>
      <w:r w:rsidRPr="00B11A5C">
        <w:rPr>
          <w:rFonts w:ascii="Arial" w:eastAsia="Yu Mincho" w:hAnsi="Arial" w:cs="Arial"/>
          <w:lang w:val="en-GB"/>
        </w:rPr>
        <w:t>)</w:t>
      </w:r>
    </w:p>
    <w:p w14:paraId="37923964" w14:textId="2D071AA2" w:rsidR="00F273E2" w:rsidRDefault="00F273E2" w:rsidP="00CF745D">
      <w:pPr>
        <w:jc w:val="center"/>
        <w:rPr>
          <w:rFonts w:ascii="Arial" w:eastAsia="Arial" w:hAnsi="Arial" w:cs="Arial"/>
          <w:b/>
          <w:lang w:val="en-GB"/>
        </w:rPr>
      </w:pPr>
      <w:r w:rsidRPr="000221C5">
        <w:rPr>
          <w:rFonts w:ascii="Arial" w:eastAsia="Arial" w:hAnsi="Arial" w:cs="Arial"/>
          <w:b/>
          <w:lang w:val="en-GB"/>
        </w:rPr>
        <w:t>-ENDS-</w:t>
      </w:r>
    </w:p>
    <w:p w14:paraId="59E49AA9" w14:textId="77777777" w:rsidR="009435DC" w:rsidRDefault="009435DC" w:rsidP="00CF745D">
      <w:pPr>
        <w:jc w:val="center"/>
        <w:rPr>
          <w:rFonts w:ascii="Arial" w:eastAsia="Arial" w:hAnsi="Arial" w:cs="Arial"/>
          <w:b/>
          <w:lang w:val="en-GB"/>
        </w:rPr>
      </w:pPr>
    </w:p>
    <w:p w14:paraId="59C5CABC" w14:textId="77777777" w:rsidR="00316303" w:rsidRDefault="00316303">
      <w:pPr>
        <w:rPr>
          <w:rFonts w:ascii="Arial" w:eastAsia="Arial" w:hAnsi="Arial" w:cs="Arial"/>
          <w:b/>
          <w:color w:val="595959" w:themeColor="text1" w:themeTint="A6"/>
          <w:lang w:val="en-GB"/>
        </w:rPr>
      </w:pPr>
      <w:r>
        <w:rPr>
          <w:rFonts w:ascii="Arial" w:eastAsia="Arial" w:hAnsi="Arial" w:cs="Arial"/>
          <w:b/>
          <w:color w:val="595959" w:themeColor="text1" w:themeTint="A6"/>
          <w:lang w:val="en-GB"/>
        </w:rPr>
        <w:br w:type="page"/>
      </w:r>
    </w:p>
    <w:p w14:paraId="72491462" w14:textId="1A32CDE8" w:rsidR="00A838C2" w:rsidRPr="000221F7" w:rsidRDefault="00A838C2" w:rsidP="00A838C2">
      <w:pPr>
        <w:spacing w:after="120" w:line="264" w:lineRule="auto"/>
        <w:jc w:val="both"/>
        <w:rPr>
          <w:rFonts w:ascii="Arial" w:eastAsia="Arial" w:hAnsi="Arial" w:cs="Arial"/>
          <w:b/>
          <w:color w:val="595959" w:themeColor="text1" w:themeTint="A6"/>
          <w:lang w:val="en-GB"/>
        </w:rPr>
      </w:pPr>
      <w:r w:rsidRPr="000221F7">
        <w:rPr>
          <w:rFonts w:ascii="Arial" w:eastAsia="Arial" w:hAnsi="Arial" w:cs="Arial"/>
          <w:b/>
          <w:color w:val="595959" w:themeColor="text1" w:themeTint="A6"/>
          <w:lang w:val="en-GB"/>
        </w:rPr>
        <w:t xml:space="preserve">About </w:t>
      </w:r>
      <w:proofErr w:type="spellStart"/>
      <w:r w:rsidRPr="000221F7">
        <w:rPr>
          <w:rFonts w:ascii="Arial" w:eastAsia="Arial" w:hAnsi="Arial" w:cs="Arial"/>
          <w:b/>
          <w:color w:val="595959" w:themeColor="text1" w:themeTint="A6"/>
          <w:lang w:val="en-GB"/>
        </w:rPr>
        <w:t>Neinor</w:t>
      </w:r>
      <w:proofErr w:type="spellEnd"/>
      <w:r w:rsidRPr="000221F7">
        <w:rPr>
          <w:rFonts w:ascii="Arial" w:eastAsia="Arial" w:hAnsi="Arial" w:cs="Arial"/>
          <w:b/>
          <w:color w:val="595959" w:themeColor="text1" w:themeTint="A6"/>
          <w:lang w:val="en-GB"/>
        </w:rPr>
        <w:t xml:space="preserve"> Homes </w:t>
      </w:r>
    </w:p>
    <w:p w14:paraId="789FF8BF" w14:textId="77777777" w:rsidR="00A838C2" w:rsidRPr="000221F7" w:rsidRDefault="00A838C2" w:rsidP="00A838C2">
      <w:pPr>
        <w:spacing w:after="120" w:line="264" w:lineRule="auto"/>
        <w:jc w:val="both"/>
        <w:rPr>
          <w:rFonts w:ascii="Arial" w:eastAsia="Arial" w:hAnsi="Arial" w:cs="Arial"/>
          <w:bCs/>
          <w:color w:val="595959" w:themeColor="text1" w:themeTint="A6"/>
          <w:lang w:val="en-GB"/>
        </w:rPr>
      </w:pPr>
      <w:proofErr w:type="spellStart"/>
      <w:r w:rsidRPr="000221F7">
        <w:rPr>
          <w:rFonts w:ascii="Arial" w:eastAsia="Arial" w:hAnsi="Arial" w:cs="Arial"/>
          <w:bCs/>
          <w:color w:val="595959" w:themeColor="text1" w:themeTint="A6"/>
          <w:lang w:val="en-GB"/>
        </w:rPr>
        <w:t>Neinor</w:t>
      </w:r>
      <w:proofErr w:type="spellEnd"/>
      <w:r w:rsidRPr="000221F7">
        <w:rPr>
          <w:rFonts w:ascii="Arial" w:eastAsia="Arial" w:hAnsi="Arial" w:cs="Arial"/>
          <w:bCs/>
          <w:color w:val="595959" w:themeColor="text1" w:themeTint="A6"/>
          <w:lang w:val="en-GB"/>
        </w:rPr>
        <w:t xml:space="preserve"> Homes is the leading residential property developer in Spain, with a fully owned land bank to develop c11,900 homes, and a GAV to June 2025 of +€1,400mn. This land bank </w:t>
      </w:r>
      <w:proofErr w:type="gramStart"/>
      <w:r w:rsidRPr="000221F7">
        <w:rPr>
          <w:rFonts w:ascii="Arial" w:eastAsia="Arial" w:hAnsi="Arial" w:cs="Arial"/>
          <w:bCs/>
          <w:color w:val="595959" w:themeColor="text1" w:themeTint="A6"/>
          <w:lang w:val="en-GB"/>
        </w:rPr>
        <w:t>is located in</w:t>
      </w:r>
      <w:proofErr w:type="gramEnd"/>
      <w:r w:rsidRPr="000221F7">
        <w:rPr>
          <w:rFonts w:ascii="Arial" w:eastAsia="Arial" w:hAnsi="Arial" w:cs="Arial"/>
          <w:bCs/>
          <w:color w:val="595959" w:themeColor="text1" w:themeTint="A6"/>
          <w:lang w:val="en-GB"/>
        </w:rPr>
        <w:t xml:space="preserve"> some of the fastest growing regions with the best economic fundamentals in Spain: Madrid, Guadalajara, Western and Eastern Andalusia, Levante, Basque Country and Catalonia. </w:t>
      </w:r>
    </w:p>
    <w:p w14:paraId="2C16AF0C" w14:textId="77777777" w:rsidR="00A838C2" w:rsidRPr="000221F7" w:rsidRDefault="00A838C2" w:rsidP="00A838C2">
      <w:pPr>
        <w:spacing w:after="120" w:line="264" w:lineRule="auto"/>
        <w:jc w:val="both"/>
        <w:rPr>
          <w:rFonts w:ascii="Arial" w:eastAsia="Arial" w:hAnsi="Arial" w:cs="Arial"/>
          <w:bCs/>
          <w:color w:val="595959" w:themeColor="text1" w:themeTint="A6"/>
          <w:lang w:val="en-GB"/>
        </w:rPr>
      </w:pPr>
      <w:proofErr w:type="spellStart"/>
      <w:r w:rsidRPr="000221F7">
        <w:rPr>
          <w:rFonts w:ascii="Arial" w:eastAsia="Arial" w:hAnsi="Arial" w:cs="Arial"/>
          <w:bCs/>
          <w:color w:val="595959" w:themeColor="text1" w:themeTint="A6"/>
          <w:lang w:val="en-GB"/>
        </w:rPr>
        <w:t>Neinor</w:t>
      </w:r>
      <w:proofErr w:type="spellEnd"/>
      <w:r w:rsidRPr="000221F7">
        <w:rPr>
          <w:rFonts w:ascii="Arial" w:eastAsia="Arial" w:hAnsi="Arial" w:cs="Arial"/>
          <w:bCs/>
          <w:color w:val="595959" w:themeColor="text1" w:themeTint="A6"/>
          <w:lang w:val="en-GB"/>
        </w:rPr>
        <w:t xml:space="preserve"> is a fully integrated and well-established residential platform of scale in Spain, covering the entire development value chain from land buying, planning and urban management, product design, delegated development and construction, sales and marketing and rentals. We are committed to creating and delivering attractive risk adjusted returns for shareholders through our disciplined capital allocation strategy and our excellence in operations and risk management. </w:t>
      </w:r>
    </w:p>
    <w:p w14:paraId="7D463C58" w14:textId="77777777" w:rsidR="00A838C2" w:rsidRPr="000221F7" w:rsidRDefault="00A838C2" w:rsidP="00A838C2">
      <w:pPr>
        <w:spacing w:after="120" w:line="264" w:lineRule="auto"/>
        <w:jc w:val="both"/>
        <w:rPr>
          <w:rFonts w:ascii="Arial" w:eastAsia="Arial" w:hAnsi="Arial" w:cs="Arial"/>
          <w:bCs/>
          <w:color w:val="595959" w:themeColor="text1" w:themeTint="A6"/>
          <w:lang w:val="en-GB"/>
        </w:rPr>
      </w:pPr>
      <w:r w:rsidRPr="000221F7">
        <w:rPr>
          <w:rFonts w:ascii="Arial" w:eastAsia="Arial" w:hAnsi="Arial" w:cs="Arial"/>
          <w:bCs/>
          <w:color w:val="595959" w:themeColor="text1" w:themeTint="A6"/>
          <w:lang w:val="en-GB"/>
        </w:rPr>
        <w:t xml:space="preserve">We are the only listed residential property developer with a multi-sector strategy to market in Spain, and our strategies include Build-to-rent (BTR); Build-to-sell (BTS); and the largely untapped senior living rental market in Spain, which we are progressing. </w:t>
      </w:r>
    </w:p>
    <w:p w14:paraId="0A85E5C5" w14:textId="77777777" w:rsidR="00A838C2" w:rsidRPr="000221F7" w:rsidRDefault="00A838C2" w:rsidP="00A838C2">
      <w:pPr>
        <w:spacing w:after="120" w:line="264" w:lineRule="auto"/>
        <w:jc w:val="both"/>
        <w:rPr>
          <w:rFonts w:ascii="Arial" w:eastAsia="Arial" w:hAnsi="Arial" w:cs="Arial"/>
          <w:bCs/>
          <w:color w:val="595959" w:themeColor="text1" w:themeTint="A6"/>
          <w:lang w:val="en-GB"/>
        </w:rPr>
      </w:pPr>
      <w:r w:rsidRPr="000221F7">
        <w:rPr>
          <w:rFonts w:ascii="Arial" w:eastAsia="Arial" w:hAnsi="Arial" w:cs="Arial"/>
          <w:bCs/>
          <w:color w:val="595959" w:themeColor="text1" w:themeTint="A6"/>
          <w:lang w:val="en-GB"/>
        </w:rPr>
        <w:t xml:space="preserve">Neinor’s operational excellence, investment strategy and results achieved since 2019 have enabled us to deliver on our 5-year business plan, launched in March 2023, in a sustainable and capital-efficient manner. This plan combines a €600mn shareholder remuneration plan and an investment of €1,000mn in new opportunistic land acquisitions, half of which are expected to be undertaken in joint ventures with strategic partners through co-investment agreements, with a +20% IRR target. </w:t>
      </w:r>
    </w:p>
    <w:p w14:paraId="4DCC7C53" w14:textId="77777777" w:rsidR="00A838C2" w:rsidRPr="000221F7" w:rsidRDefault="00A838C2" w:rsidP="00A838C2">
      <w:pPr>
        <w:spacing w:after="120" w:line="264" w:lineRule="auto"/>
        <w:jc w:val="both"/>
        <w:rPr>
          <w:rFonts w:ascii="Arial" w:eastAsia="Arial" w:hAnsi="Arial" w:cs="Arial"/>
          <w:bCs/>
          <w:color w:val="595959" w:themeColor="text1" w:themeTint="A6"/>
          <w:lang w:val="en-GB"/>
        </w:rPr>
      </w:pPr>
      <w:r w:rsidRPr="000221F7">
        <w:rPr>
          <w:rFonts w:ascii="Arial" w:eastAsia="Arial" w:hAnsi="Arial" w:cs="Arial"/>
          <w:bCs/>
          <w:color w:val="595959" w:themeColor="text1" w:themeTint="A6"/>
          <w:lang w:val="en-GB"/>
        </w:rPr>
        <w:t>We offer shareholders attractive risk adjusted returns in a country where there are strong and sustainable supply and demand fundamentals and supported by a resilient macroeconomic environment and outlook. Spain remains one the most attractive and safest residential markets worldwide, with one of the lowest ratios of new supply per capita globally since 2013.</w:t>
      </w:r>
    </w:p>
    <w:p w14:paraId="38CA5A1D" w14:textId="77777777" w:rsidR="00A838C2" w:rsidRPr="000221F7" w:rsidRDefault="00A838C2" w:rsidP="00A838C2">
      <w:pPr>
        <w:spacing w:after="120" w:line="264" w:lineRule="auto"/>
        <w:jc w:val="both"/>
        <w:rPr>
          <w:rFonts w:ascii="Arial" w:eastAsia="Arial" w:hAnsi="Arial" w:cs="Arial"/>
          <w:b/>
          <w:color w:val="595959" w:themeColor="text1" w:themeTint="A6"/>
          <w:lang w:val="en-GB"/>
        </w:rPr>
      </w:pPr>
    </w:p>
    <w:p w14:paraId="45EFDBD5" w14:textId="77777777" w:rsidR="00A838C2" w:rsidRPr="000221F7" w:rsidRDefault="00A838C2" w:rsidP="00A838C2">
      <w:pPr>
        <w:spacing w:after="120" w:line="264" w:lineRule="auto"/>
        <w:rPr>
          <w:rFonts w:ascii="Arial" w:eastAsia="Arial" w:hAnsi="Arial" w:cs="Arial"/>
          <w:b/>
          <w:color w:val="595959" w:themeColor="text1" w:themeTint="A6"/>
          <w:lang w:val="en-GB"/>
        </w:rPr>
      </w:pPr>
      <w:r w:rsidRPr="000221F7">
        <w:rPr>
          <w:rFonts w:ascii="Arial" w:eastAsia="Arial" w:hAnsi="Arial" w:cs="Arial"/>
          <w:b/>
          <w:color w:val="595959" w:themeColor="text1" w:themeTint="A6"/>
          <w:lang w:val="en-GB"/>
        </w:rPr>
        <w:t>For more information:</w:t>
      </w:r>
    </w:p>
    <w:p w14:paraId="1DD1574B" w14:textId="77777777" w:rsidR="00A838C2" w:rsidRPr="000221F7" w:rsidRDefault="00A838C2" w:rsidP="00A838C2">
      <w:pPr>
        <w:spacing w:after="0" w:line="264" w:lineRule="auto"/>
        <w:rPr>
          <w:rFonts w:ascii="Arial" w:eastAsia="Arial" w:hAnsi="Arial" w:cs="Arial"/>
          <w:b/>
          <w:color w:val="595959" w:themeColor="text1" w:themeTint="A6"/>
          <w:lang w:val="en-GB"/>
        </w:rPr>
      </w:pPr>
      <w:r w:rsidRPr="000221F7">
        <w:rPr>
          <w:rFonts w:ascii="Arial" w:eastAsia="Arial" w:hAnsi="Arial" w:cs="Arial"/>
          <w:b/>
          <w:color w:val="595959" w:themeColor="text1" w:themeTint="A6"/>
          <w:lang w:val="en-GB"/>
        </w:rPr>
        <w:t>NEINOR HOMES</w:t>
      </w:r>
    </w:p>
    <w:p w14:paraId="030E94B8" w14:textId="77777777" w:rsidR="00A838C2" w:rsidRPr="000221F7" w:rsidRDefault="00A838C2" w:rsidP="00A838C2">
      <w:pPr>
        <w:spacing w:after="0" w:line="264" w:lineRule="auto"/>
        <w:rPr>
          <w:rFonts w:ascii="Arial" w:eastAsia="Arial" w:hAnsi="Arial" w:cs="Arial"/>
          <w:color w:val="595959" w:themeColor="text1" w:themeTint="A6"/>
          <w:lang w:val="en-GB"/>
        </w:rPr>
      </w:pPr>
      <w:r w:rsidRPr="000221F7">
        <w:rPr>
          <w:rFonts w:ascii="Arial" w:eastAsia="Arial" w:hAnsi="Arial" w:cs="Arial"/>
          <w:color w:val="595959" w:themeColor="text1" w:themeTint="A6"/>
          <w:lang w:val="en-GB"/>
        </w:rPr>
        <w:t>Investor Relations Department</w:t>
      </w:r>
    </w:p>
    <w:p w14:paraId="616BFA5C" w14:textId="77777777" w:rsidR="00A838C2" w:rsidRPr="000221F7" w:rsidRDefault="00A838C2" w:rsidP="00A838C2">
      <w:pPr>
        <w:spacing w:after="0" w:line="264" w:lineRule="auto"/>
        <w:rPr>
          <w:rFonts w:ascii="Arial" w:eastAsia="Arial" w:hAnsi="Arial" w:cs="Arial"/>
          <w:lang w:val="en-GB"/>
        </w:rPr>
      </w:pPr>
      <w:hyperlink r:id="rId12" w:history="1">
        <w:r w:rsidRPr="000221F7">
          <w:rPr>
            <w:rFonts w:ascii="Arial" w:eastAsia="Arial" w:hAnsi="Arial" w:cs="Arial"/>
            <w:color w:val="0563C1"/>
            <w:u w:val="single"/>
            <w:lang w:val="en-GB"/>
          </w:rPr>
          <w:t>investor.relations@neinorhomes.com</w:t>
        </w:r>
      </w:hyperlink>
    </w:p>
    <w:p w14:paraId="06707903" w14:textId="77777777" w:rsidR="00A838C2" w:rsidRPr="000221F7" w:rsidRDefault="00A838C2" w:rsidP="00A838C2">
      <w:pPr>
        <w:spacing w:after="0" w:line="264" w:lineRule="auto"/>
        <w:jc w:val="both"/>
        <w:rPr>
          <w:rFonts w:ascii="Arial" w:eastAsia="Yu Mincho" w:hAnsi="Arial" w:cs="Arial"/>
          <w:color w:val="212721"/>
          <w:lang w:val="en-GB" w:eastAsia="en-GB"/>
        </w:rPr>
      </w:pPr>
    </w:p>
    <w:p w14:paraId="23DF2D8D" w14:textId="77777777" w:rsidR="00A838C2" w:rsidRPr="000221F7" w:rsidRDefault="00A838C2" w:rsidP="00A838C2">
      <w:pPr>
        <w:spacing w:after="0" w:line="240" w:lineRule="auto"/>
        <w:textAlignment w:val="baseline"/>
        <w:rPr>
          <w:rFonts w:ascii="Arial" w:eastAsia="Arial" w:hAnsi="Arial" w:cs="Arial"/>
          <w:b/>
          <w:bCs/>
          <w:color w:val="595959" w:themeColor="text1" w:themeTint="A6"/>
          <w:lang w:val="en-GB" w:eastAsia="en-GB"/>
        </w:rPr>
      </w:pPr>
      <w:r w:rsidRPr="000221F7">
        <w:rPr>
          <w:rFonts w:ascii="Arial" w:eastAsia="Arial" w:hAnsi="Arial" w:cs="Arial"/>
          <w:b/>
          <w:bCs/>
          <w:color w:val="595959" w:themeColor="text1" w:themeTint="A6"/>
          <w:lang w:val="en-GB" w:eastAsia="en-GB"/>
        </w:rPr>
        <w:t>H/ADVISORS MAITLAND</w:t>
      </w:r>
    </w:p>
    <w:p w14:paraId="43E33C4F" w14:textId="77777777" w:rsidR="00A838C2" w:rsidRPr="000221F7" w:rsidRDefault="00A838C2" w:rsidP="00A838C2">
      <w:pPr>
        <w:spacing w:after="0" w:line="264" w:lineRule="auto"/>
        <w:rPr>
          <w:rFonts w:ascii="Arial" w:eastAsia="Arial" w:hAnsi="Arial" w:cs="Arial"/>
          <w:b/>
          <w:bCs/>
          <w:color w:val="000000"/>
          <w:lang w:val="en-GB" w:eastAsia="en-GB"/>
        </w:rPr>
      </w:pPr>
      <w:hyperlink r:id="rId13" w:history="1">
        <w:r w:rsidRPr="000221F7">
          <w:rPr>
            <w:rFonts w:ascii="Arial" w:eastAsia="Arial" w:hAnsi="Arial" w:cs="Arial"/>
            <w:color w:val="0563C1"/>
            <w:u w:val="single"/>
            <w:lang w:val="en-GB" w:eastAsia="en-GB"/>
          </w:rPr>
          <w:t>NeinorHomes@h-advisors.global</w:t>
        </w:r>
      </w:hyperlink>
    </w:p>
    <w:p w14:paraId="7F8D847A" w14:textId="77777777" w:rsidR="00A838C2" w:rsidRPr="000221F7" w:rsidRDefault="00A838C2" w:rsidP="00A838C2">
      <w:pPr>
        <w:spacing w:after="0" w:line="264" w:lineRule="auto"/>
        <w:rPr>
          <w:rFonts w:ascii="Arial" w:eastAsia="Arial" w:hAnsi="Arial" w:cs="Arial"/>
          <w:color w:val="595959" w:themeColor="text1" w:themeTint="A6"/>
          <w:lang w:val="en-GB" w:eastAsia="en-GB"/>
        </w:rPr>
      </w:pPr>
      <w:r w:rsidRPr="000221F7">
        <w:rPr>
          <w:rFonts w:ascii="Arial" w:eastAsia="Arial" w:hAnsi="Arial" w:cs="Arial"/>
          <w:color w:val="595959" w:themeColor="text1" w:themeTint="A6"/>
          <w:lang w:val="en-GB" w:eastAsia="en-GB"/>
        </w:rPr>
        <w:t>David Sturken</w:t>
      </w:r>
      <w:r w:rsidRPr="000221F7">
        <w:rPr>
          <w:rFonts w:ascii="Arial" w:eastAsia="Yu Mincho" w:hAnsi="Arial" w:cs="Arial"/>
          <w:color w:val="595959" w:themeColor="text1" w:themeTint="A6"/>
          <w:lang w:val="en-GB"/>
        </w:rPr>
        <w:tab/>
      </w:r>
      <w:r w:rsidRPr="000221F7">
        <w:rPr>
          <w:rFonts w:ascii="Arial" w:eastAsia="Yu Mincho" w:hAnsi="Arial" w:cs="Arial"/>
          <w:color w:val="595959" w:themeColor="text1" w:themeTint="A6"/>
          <w:lang w:val="en-GB"/>
        </w:rPr>
        <w:tab/>
      </w:r>
      <w:r w:rsidRPr="000221F7">
        <w:rPr>
          <w:rFonts w:ascii="Arial" w:eastAsia="Yu Mincho" w:hAnsi="Arial" w:cs="Arial"/>
          <w:color w:val="595959" w:themeColor="text1" w:themeTint="A6"/>
          <w:lang w:val="en-GB"/>
        </w:rPr>
        <w:tab/>
      </w:r>
      <w:r w:rsidRPr="000221F7">
        <w:rPr>
          <w:rFonts w:ascii="Arial" w:eastAsia="Yu Mincho" w:hAnsi="Arial" w:cs="Arial"/>
          <w:color w:val="595959" w:themeColor="text1" w:themeTint="A6"/>
          <w:lang w:val="en-GB"/>
        </w:rPr>
        <w:tab/>
      </w:r>
      <w:r w:rsidRPr="000221F7">
        <w:rPr>
          <w:rFonts w:ascii="Arial" w:eastAsia="Arial" w:hAnsi="Arial" w:cs="Arial"/>
          <w:color w:val="595959" w:themeColor="text1" w:themeTint="A6"/>
          <w:lang w:val="en-GB" w:eastAsia="en-GB"/>
        </w:rPr>
        <w:t>+44 7990 595 913</w:t>
      </w:r>
    </w:p>
    <w:p w14:paraId="73203E18" w14:textId="77777777" w:rsidR="00A838C2" w:rsidRPr="000221F7" w:rsidRDefault="00A838C2" w:rsidP="00A838C2">
      <w:pPr>
        <w:spacing w:after="0" w:line="264" w:lineRule="auto"/>
        <w:textAlignment w:val="baseline"/>
        <w:rPr>
          <w:rFonts w:ascii="Arial" w:eastAsia="Times New Roman" w:hAnsi="Arial" w:cs="Arial"/>
          <w:color w:val="595959" w:themeColor="text1" w:themeTint="A6"/>
          <w:lang w:val="en-GB" w:eastAsia="en-GB"/>
        </w:rPr>
      </w:pPr>
      <w:r w:rsidRPr="000221F7">
        <w:rPr>
          <w:rFonts w:ascii="Arial" w:eastAsia="Arial" w:hAnsi="Arial" w:cs="Arial"/>
          <w:color w:val="595959" w:themeColor="text1" w:themeTint="A6"/>
          <w:lang w:val="en-GB" w:eastAsia="en-GB"/>
        </w:rPr>
        <w:t>Billy Moran</w:t>
      </w:r>
      <w:r w:rsidRPr="000221F7">
        <w:rPr>
          <w:rFonts w:ascii="Arial" w:eastAsia="Yu Mincho" w:hAnsi="Arial" w:cs="Arial"/>
          <w:color w:val="595959" w:themeColor="text1" w:themeTint="A6"/>
          <w:lang w:val="en-GB"/>
        </w:rPr>
        <w:tab/>
      </w:r>
      <w:r w:rsidRPr="000221F7">
        <w:rPr>
          <w:rFonts w:ascii="Arial" w:eastAsia="Yu Mincho" w:hAnsi="Arial" w:cs="Arial"/>
          <w:color w:val="595959" w:themeColor="text1" w:themeTint="A6"/>
          <w:lang w:val="en-GB"/>
        </w:rPr>
        <w:tab/>
      </w:r>
      <w:r w:rsidRPr="000221F7">
        <w:rPr>
          <w:rFonts w:ascii="Arial" w:eastAsia="Yu Mincho" w:hAnsi="Arial" w:cs="Arial"/>
          <w:color w:val="595959" w:themeColor="text1" w:themeTint="A6"/>
          <w:lang w:val="en-GB"/>
        </w:rPr>
        <w:tab/>
      </w:r>
      <w:r w:rsidRPr="000221F7">
        <w:rPr>
          <w:rFonts w:ascii="Arial" w:eastAsia="Yu Mincho" w:hAnsi="Arial" w:cs="Arial"/>
          <w:color w:val="595959" w:themeColor="text1" w:themeTint="A6"/>
          <w:lang w:val="en-GB"/>
        </w:rPr>
        <w:tab/>
      </w:r>
      <w:r w:rsidRPr="000221F7">
        <w:rPr>
          <w:rFonts w:ascii="Arial" w:eastAsia="Arial" w:hAnsi="Arial" w:cs="Arial"/>
          <w:color w:val="595959" w:themeColor="text1" w:themeTint="A6"/>
          <w:lang w:val="en-GB" w:eastAsia="en-GB"/>
        </w:rPr>
        <w:t>+44 7554 912 008</w:t>
      </w:r>
    </w:p>
    <w:p w14:paraId="36FB0FA3" w14:textId="77777777" w:rsidR="00A838C2" w:rsidRPr="00A838C2" w:rsidRDefault="00A838C2" w:rsidP="00A838C2">
      <w:pPr>
        <w:spacing w:after="0" w:line="240" w:lineRule="auto"/>
        <w:textAlignment w:val="baseline"/>
        <w:rPr>
          <w:rFonts w:ascii="Arial" w:eastAsia="Times New Roman" w:hAnsi="Arial" w:cs="Arial"/>
          <w:color w:val="000000"/>
          <w:sz w:val="20"/>
          <w:szCs w:val="20"/>
          <w:lang w:val="en-GB" w:eastAsia="en-GB"/>
        </w:rPr>
      </w:pPr>
    </w:p>
    <w:p w14:paraId="5893AFDD" w14:textId="77777777" w:rsidR="00A838C2" w:rsidRPr="00A838C2" w:rsidRDefault="00A838C2" w:rsidP="00A838C2">
      <w:pPr>
        <w:spacing w:after="120" w:line="264" w:lineRule="auto"/>
        <w:jc w:val="both"/>
        <w:rPr>
          <w:rFonts w:ascii="Arial" w:eastAsia="Times New Roman" w:hAnsi="Arial" w:cs="Arial"/>
          <w:color w:val="000000"/>
          <w:sz w:val="20"/>
          <w:szCs w:val="20"/>
          <w:lang w:val="en-GB" w:eastAsia="en-GB"/>
        </w:rPr>
      </w:pPr>
    </w:p>
    <w:p w14:paraId="5DC8FE02" w14:textId="77777777" w:rsidR="00F273E2" w:rsidRPr="00907B72" w:rsidRDefault="00F273E2" w:rsidP="00A838C2">
      <w:pPr>
        <w:jc w:val="both"/>
        <w:rPr>
          <w:rStyle w:val="ao"/>
          <w:rFonts w:ascii="Arial" w:hAnsi="Arial" w:cs="Arial"/>
          <w:color w:val="212721"/>
          <w:lang w:val="en-GB" w:eastAsia="en-GB"/>
        </w:rPr>
      </w:pPr>
    </w:p>
    <w:sectPr w:rsidR="00F273E2" w:rsidRPr="00907B72">
      <w:headerReference w:type="default" r:id="rId14"/>
      <w:footerReference w:type="default" r:id="rId15"/>
      <w:pgSz w:w="11906" w:h="16838"/>
      <w:pgMar w:top="1417" w:right="1701" w:bottom="1417" w:left="1701"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9AC8D7" w14:textId="77777777" w:rsidR="0030511A" w:rsidRDefault="0030511A">
      <w:pPr>
        <w:spacing w:after="0" w:line="240" w:lineRule="auto"/>
      </w:pPr>
      <w:r>
        <w:separator/>
      </w:r>
    </w:p>
  </w:endnote>
  <w:endnote w:type="continuationSeparator" w:id="0">
    <w:p w14:paraId="612F50AE" w14:textId="77777777" w:rsidR="0030511A" w:rsidRDefault="0030511A">
      <w:pPr>
        <w:spacing w:after="0" w:line="240" w:lineRule="auto"/>
      </w:pPr>
      <w:r>
        <w:continuationSeparator/>
      </w:r>
    </w:p>
  </w:endnote>
  <w:endnote w:type="continuationNotice" w:id="1">
    <w:p w14:paraId="2CCD1F6E" w14:textId="77777777" w:rsidR="0030511A" w:rsidRDefault="0030511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Yu Mincho">
    <w:altName w:val="游明朝"/>
    <w:panose1 w:val="00000000000000000000"/>
    <w:charset w:val="80"/>
    <w:family w:val="roman"/>
    <w:notTrueType/>
    <w:pitch w:val="default"/>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roman"/>
    <w:pitch w:val="fixed"/>
    <w:sig w:usb0="00000001"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A8FA7B" w14:textId="7EA45AE3" w:rsidR="00177B1D" w:rsidRDefault="00177B1D">
    <w:pPr>
      <w:pStyle w:val="Footer"/>
    </w:pPr>
  </w:p>
  <w:p w14:paraId="79538B18" w14:textId="77777777" w:rsidR="00177B1D" w:rsidRDefault="00177B1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AFF969" w14:textId="77777777" w:rsidR="0030511A" w:rsidRDefault="0030511A">
      <w:pPr>
        <w:spacing w:after="0" w:line="240" w:lineRule="auto"/>
      </w:pPr>
      <w:r>
        <w:separator/>
      </w:r>
    </w:p>
  </w:footnote>
  <w:footnote w:type="continuationSeparator" w:id="0">
    <w:p w14:paraId="0A59F4C8" w14:textId="77777777" w:rsidR="0030511A" w:rsidRDefault="0030511A">
      <w:pPr>
        <w:spacing w:after="0" w:line="240" w:lineRule="auto"/>
      </w:pPr>
      <w:r>
        <w:continuationSeparator/>
      </w:r>
    </w:p>
  </w:footnote>
  <w:footnote w:type="continuationNotice" w:id="1">
    <w:p w14:paraId="65913201" w14:textId="77777777" w:rsidR="0030511A" w:rsidRDefault="0030511A">
      <w:pPr>
        <w:spacing w:after="0" w:line="240" w:lineRule="auto"/>
      </w:pPr>
    </w:p>
  </w:footnote>
  <w:footnote w:id="2">
    <w:p w14:paraId="7914C876" w14:textId="4DBF93E9" w:rsidR="00177B1D" w:rsidRPr="00B86F2D" w:rsidRDefault="00177B1D">
      <w:pPr>
        <w:pStyle w:val="FootnoteText"/>
        <w:rPr>
          <w:rFonts w:ascii="Arial" w:hAnsi="Arial" w:cs="Arial"/>
          <w:lang w:val="en-US"/>
        </w:rPr>
      </w:pPr>
      <w:r w:rsidRPr="00B86F2D">
        <w:rPr>
          <w:rStyle w:val="FootnoteReference"/>
          <w:rFonts w:ascii="Arial" w:hAnsi="Arial" w:cs="Arial"/>
          <w:sz w:val="16"/>
          <w:szCs w:val="16"/>
        </w:rPr>
        <w:footnoteRef/>
      </w:r>
      <w:r w:rsidRPr="00B86F2D">
        <w:rPr>
          <w:rFonts w:ascii="Arial" w:hAnsi="Arial" w:cs="Arial"/>
          <w:sz w:val="16"/>
          <w:szCs w:val="16"/>
          <w:lang w:val="en-US"/>
        </w:rPr>
        <w:t xml:space="preserve"> Adjusted EBITDA corresponds to the </w:t>
      </w:r>
      <w:r w:rsidR="00B86F2D">
        <w:rPr>
          <w:rFonts w:ascii="Arial" w:hAnsi="Arial" w:cs="Arial"/>
          <w:sz w:val="16"/>
          <w:szCs w:val="16"/>
          <w:lang w:val="en-US"/>
        </w:rPr>
        <w:t xml:space="preserve">yearly </w:t>
      </w:r>
      <w:r w:rsidRPr="00B86F2D">
        <w:rPr>
          <w:rFonts w:ascii="Arial" w:hAnsi="Arial" w:cs="Arial"/>
          <w:sz w:val="16"/>
          <w:szCs w:val="16"/>
          <w:lang w:val="en-US"/>
        </w:rPr>
        <w:t>operational profit</w:t>
      </w:r>
      <w:r w:rsidR="00B86F2D">
        <w:rPr>
          <w:rFonts w:ascii="Arial" w:hAnsi="Arial" w:cs="Arial"/>
          <w:sz w:val="16"/>
          <w:szCs w:val="16"/>
          <w:lang w:val="en-US"/>
        </w:rPr>
        <w:t xml:space="preserve"> before non-recurrent expenses</w:t>
      </w:r>
      <w:r w:rsidR="00444A0F">
        <w:rPr>
          <w:rFonts w:ascii="Arial" w:hAnsi="Arial" w:cs="Arial"/>
          <w:sz w:val="16"/>
          <w:szCs w:val="16"/>
          <w:lang w:val="en-US"/>
        </w:rPr>
        <w:t>.</w:t>
      </w:r>
      <w:r w:rsidR="00E61A28">
        <w:rPr>
          <w:rFonts w:ascii="Arial" w:hAnsi="Arial" w:cs="Arial"/>
          <w:sz w:val="16"/>
          <w:szCs w:val="16"/>
          <w:lang w:val="en-US"/>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18D7A6" w14:textId="77777777" w:rsidR="00512F6D" w:rsidRDefault="00512F6D">
    <w:pPr>
      <w:pBdr>
        <w:top w:val="nil"/>
        <w:left w:val="nil"/>
        <w:bottom w:val="nil"/>
        <w:right w:val="nil"/>
        <w:between w:val="nil"/>
      </w:pBdr>
      <w:tabs>
        <w:tab w:val="center" w:pos="4252"/>
        <w:tab w:val="right" w:pos="8504"/>
      </w:tabs>
      <w:spacing w:after="0" w:line="240" w:lineRule="auto"/>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442685"/>
    <w:multiLevelType w:val="multilevel"/>
    <w:tmpl w:val="9ED83596"/>
    <w:lvl w:ilvl="0">
      <w:start w:val="1"/>
      <w:numFmt w:val="bullet"/>
      <w:lvlText w:val="▪"/>
      <w:lvlJc w:val="left"/>
      <w:pPr>
        <w:ind w:left="720" w:hanging="360"/>
      </w:pPr>
      <w:rPr>
        <w:rFonts w:ascii="Noto Sans Symbols" w:eastAsia="Noto Sans Symbols" w:hAnsi="Noto Sans Symbols" w:cs="Noto Sans Symbols"/>
        <w:color w:val="FC5159"/>
        <w:sz w:val="30"/>
        <w:szCs w:val="3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2E3903AE"/>
    <w:multiLevelType w:val="hybridMultilevel"/>
    <w:tmpl w:val="8ACAF0A0"/>
    <w:lvl w:ilvl="0" w:tplc="2C203758">
      <w:start w:val="2025"/>
      <w:numFmt w:val="bullet"/>
      <w:lvlText w:val="-"/>
      <w:lvlJc w:val="left"/>
      <w:pPr>
        <w:ind w:left="720" w:hanging="360"/>
      </w:pPr>
      <w:rPr>
        <w:rFonts w:ascii="Arial" w:eastAsia="Arial" w:hAnsi="Arial" w:cs="Aria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DBF18AC"/>
    <w:multiLevelType w:val="multilevel"/>
    <w:tmpl w:val="64BE39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849247583">
    <w:abstractNumId w:val="0"/>
  </w:num>
  <w:num w:numId="2" w16cid:durableId="1887329503">
    <w:abstractNumId w:val="1"/>
  </w:num>
  <w:num w:numId="3" w16cid:durableId="73389771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4"/>
  <w:proofState w:spelling="clean" w:grammar="clean"/>
  <w:defaultTabStop w:val="720"/>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2F6D"/>
    <w:rsid w:val="00001A7B"/>
    <w:rsid w:val="00002F44"/>
    <w:rsid w:val="00003A53"/>
    <w:rsid w:val="00004270"/>
    <w:rsid w:val="00004EE6"/>
    <w:rsid w:val="00005352"/>
    <w:rsid w:val="000054D7"/>
    <w:rsid w:val="00005BBD"/>
    <w:rsid w:val="00006152"/>
    <w:rsid w:val="00006C75"/>
    <w:rsid w:val="00006D1B"/>
    <w:rsid w:val="000075E8"/>
    <w:rsid w:val="00007986"/>
    <w:rsid w:val="00007B98"/>
    <w:rsid w:val="0001051C"/>
    <w:rsid w:val="0001237E"/>
    <w:rsid w:val="000132D7"/>
    <w:rsid w:val="000137DB"/>
    <w:rsid w:val="00013804"/>
    <w:rsid w:val="00013B3D"/>
    <w:rsid w:val="00013DB4"/>
    <w:rsid w:val="00013F79"/>
    <w:rsid w:val="0001473E"/>
    <w:rsid w:val="000148D8"/>
    <w:rsid w:val="00015423"/>
    <w:rsid w:val="000157D7"/>
    <w:rsid w:val="00015833"/>
    <w:rsid w:val="00015F75"/>
    <w:rsid w:val="00016438"/>
    <w:rsid w:val="0001749F"/>
    <w:rsid w:val="0002097F"/>
    <w:rsid w:val="00020B39"/>
    <w:rsid w:val="00020D95"/>
    <w:rsid w:val="00020FF3"/>
    <w:rsid w:val="000210CE"/>
    <w:rsid w:val="000221F7"/>
    <w:rsid w:val="00022509"/>
    <w:rsid w:val="00022B45"/>
    <w:rsid w:val="00023770"/>
    <w:rsid w:val="0002387D"/>
    <w:rsid w:val="000245FE"/>
    <w:rsid w:val="00024FF2"/>
    <w:rsid w:val="000254F9"/>
    <w:rsid w:val="00025D6B"/>
    <w:rsid w:val="00026505"/>
    <w:rsid w:val="00030004"/>
    <w:rsid w:val="00030340"/>
    <w:rsid w:val="00030558"/>
    <w:rsid w:val="0003085F"/>
    <w:rsid w:val="00030AC8"/>
    <w:rsid w:val="000314F1"/>
    <w:rsid w:val="00031757"/>
    <w:rsid w:val="00031C53"/>
    <w:rsid w:val="0003528B"/>
    <w:rsid w:val="00035A8D"/>
    <w:rsid w:val="000367AD"/>
    <w:rsid w:val="000372D6"/>
    <w:rsid w:val="00037371"/>
    <w:rsid w:val="000376BC"/>
    <w:rsid w:val="000377ED"/>
    <w:rsid w:val="000378A9"/>
    <w:rsid w:val="00037956"/>
    <w:rsid w:val="00037A46"/>
    <w:rsid w:val="00041571"/>
    <w:rsid w:val="000420AF"/>
    <w:rsid w:val="000420C3"/>
    <w:rsid w:val="0004363E"/>
    <w:rsid w:val="000442F2"/>
    <w:rsid w:val="00044344"/>
    <w:rsid w:val="00046C42"/>
    <w:rsid w:val="00046E25"/>
    <w:rsid w:val="00047F98"/>
    <w:rsid w:val="00050533"/>
    <w:rsid w:val="00051339"/>
    <w:rsid w:val="00051DE1"/>
    <w:rsid w:val="00051E6C"/>
    <w:rsid w:val="0005240A"/>
    <w:rsid w:val="0005297A"/>
    <w:rsid w:val="0005342A"/>
    <w:rsid w:val="000534AF"/>
    <w:rsid w:val="00053A2F"/>
    <w:rsid w:val="00054958"/>
    <w:rsid w:val="00056C40"/>
    <w:rsid w:val="00060125"/>
    <w:rsid w:val="00060606"/>
    <w:rsid w:val="000618D5"/>
    <w:rsid w:val="00061EBE"/>
    <w:rsid w:val="00062BD7"/>
    <w:rsid w:val="00062E7B"/>
    <w:rsid w:val="000635AC"/>
    <w:rsid w:val="00063AA4"/>
    <w:rsid w:val="00064578"/>
    <w:rsid w:val="00064B3A"/>
    <w:rsid w:val="000708B2"/>
    <w:rsid w:val="00070D48"/>
    <w:rsid w:val="00070DB1"/>
    <w:rsid w:val="00071067"/>
    <w:rsid w:val="0007113B"/>
    <w:rsid w:val="00071567"/>
    <w:rsid w:val="00073C6D"/>
    <w:rsid w:val="000748A3"/>
    <w:rsid w:val="00074C02"/>
    <w:rsid w:val="00075100"/>
    <w:rsid w:val="000766DD"/>
    <w:rsid w:val="00077457"/>
    <w:rsid w:val="0008009D"/>
    <w:rsid w:val="000815C3"/>
    <w:rsid w:val="00082A90"/>
    <w:rsid w:val="00082C96"/>
    <w:rsid w:val="00083BEB"/>
    <w:rsid w:val="00084058"/>
    <w:rsid w:val="000844D7"/>
    <w:rsid w:val="00085E28"/>
    <w:rsid w:val="000874F9"/>
    <w:rsid w:val="00090EED"/>
    <w:rsid w:val="00090FA9"/>
    <w:rsid w:val="00091AB3"/>
    <w:rsid w:val="000922FA"/>
    <w:rsid w:val="00092380"/>
    <w:rsid w:val="00092A6C"/>
    <w:rsid w:val="00093909"/>
    <w:rsid w:val="00093963"/>
    <w:rsid w:val="00093C31"/>
    <w:rsid w:val="00093FD5"/>
    <w:rsid w:val="000945C3"/>
    <w:rsid w:val="000948A1"/>
    <w:rsid w:val="000948F5"/>
    <w:rsid w:val="00096177"/>
    <w:rsid w:val="000961DE"/>
    <w:rsid w:val="000A099E"/>
    <w:rsid w:val="000A0A10"/>
    <w:rsid w:val="000A10A2"/>
    <w:rsid w:val="000A1452"/>
    <w:rsid w:val="000A2903"/>
    <w:rsid w:val="000A2B42"/>
    <w:rsid w:val="000A4730"/>
    <w:rsid w:val="000A5A87"/>
    <w:rsid w:val="000A5EEB"/>
    <w:rsid w:val="000A63AB"/>
    <w:rsid w:val="000A66AE"/>
    <w:rsid w:val="000A68C2"/>
    <w:rsid w:val="000A70DC"/>
    <w:rsid w:val="000A78CC"/>
    <w:rsid w:val="000B05B3"/>
    <w:rsid w:val="000B0D91"/>
    <w:rsid w:val="000B1460"/>
    <w:rsid w:val="000B1A23"/>
    <w:rsid w:val="000B1E60"/>
    <w:rsid w:val="000B22DA"/>
    <w:rsid w:val="000B39A7"/>
    <w:rsid w:val="000B4C4D"/>
    <w:rsid w:val="000B6F3E"/>
    <w:rsid w:val="000C0931"/>
    <w:rsid w:val="000C1D56"/>
    <w:rsid w:val="000C1EB8"/>
    <w:rsid w:val="000C251B"/>
    <w:rsid w:val="000C5AE6"/>
    <w:rsid w:val="000D3432"/>
    <w:rsid w:val="000D4839"/>
    <w:rsid w:val="000D533F"/>
    <w:rsid w:val="000D587E"/>
    <w:rsid w:val="000D5ED1"/>
    <w:rsid w:val="000D7195"/>
    <w:rsid w:val="000E02E8"/>
    <w:rsid w:val="000E0639"/>
    <w:rsid w:val="000E261A"/>
    <w:rsid w:val="000E358C"/>
    <w:rsid w:val="000E61C4"/>
    <w:rsid w:val="000E6B31"/>
    <w:rsid w:val="000E6DA3"/>
    <w:rsid w:val="000E770F"/>
    <w:rsid w:val="000E785F"/>
    <w:rsid w:val="000E7CF2"/>
    <w:rsid w:val="000F1236"/>
    <w:rsid w:val="000F1380"/>
    <w:rsid w:val="000F13FB"/>
    <w:rsid w:val="000F3C8E"/>
    <w:rsid w:val="000F3E24"/>
    <w:rsid w:val="000F4024"/>
    <w:rsid w:val="000F4311"/>
    <w:rsid w:val="000F4E68"/>
    <w:rsid w:val="000F556A"/>
    <w:rsid w:val="000F5C33"/>
    <w:rsid w:val="000F5E6C"/>
    <w:rsid w:val="000F6132"/>
    <w:rsid w:val="000F7009"/>
    <w:rsid w:val="000F7016"/>
    <w:rsid w:val="001002A8"/>
    <w:rsid w:val="0010114B"/>
    <w:rsid w:val="0010151A"/>
    <w:rsid w:val="0010167B"/>
    <w:rsid w:val="00102936"/>
    <w:rsid w:val="00102E48"/>
    <w:rsid w:val="00103A0F"/>
    <w:rsid w:val="001046DC"/>
    <w:rsid w:val="00104CE3"/>
    <w:rsid w:val="00105C9C"/>
    <w:rsid w:val="001068ED"/>
    <w:rsid w:val="00106CE8"/>
    <w:rsid w:val="00107493"/>
    <w:rsid w:val="001077D6"/>
    <w:rsid w:val="001078AB"/>
    <w:rsid w:val="0011002A"/>
    <w:rsid w:val="00113040"/>
    <w:rsid w:val="00113B5D"/>
    <w:rsid w:val="0011409F"/>
    <w:rsid w:val="00114F3B"/>
    <w:rsid w:val="00116678"/>
    <w:rsid w:val="001173D1"/>
    <w:rsid w:val="0011785D"/>
    <w:rsid w:val="001178D0"/>
    <w:rsid w:val="0011792B"/>
    <w:rsid w:val="001214C3"/>
    <w:rsid w:val="001216CA"/>
    <w:rsid w:val="00121F5A"/>
    <w:rsid w:val="001229FB"/>
    <w:rsid w:val="0012347F"/>
    <w:rsid w:val="00123716"/>
    <w:rsid w:val="00124F9D"/>
    <w:rsid w:val="001262EB"/>
    <w:rsid w:val="001273DC"/>
    <w:rsid w:val="001274FB"/>
    <w:rsid w:val="00127745"/>
    <w:rsid w:val="00127DC0"/>
    <w:rsid w:val="001316E7"/>
    <w:rsid w:val="00131A3D"/>
    <w:rsid w:val="00131BA7"/>
    <w:rsid w:val="00131C73"/>
    <w:rsid w:val="00132AAD"/>
    <w:rsid w:val="00132D8C"/>
    <w:rsid w:val="0013306A"/>
    <w:rsid w:val="001341CA"/>
    <w:rsid w:val="0013470B"/>
    <w:rsid w:val="00135328"/>
    <w:rsid w:val="00136565"/>
    <w:rsid w:val="0013714A"/>
    <w:rsid w:val="00137C2F"/>
    <w:rsid w:val="00140131"/>
    <w:rsid w:val="0014037C"/>
    <w:rsid w:val="00140503"/>
    <w:rsid w:val="00142105"/>
    <w:rsid w:val="001424E5"/>
    <w:rsid w:val="0014261B"/>
    <w:rsid w:val="0014287A"/>
    <w:rsid w:val="00144A59"/>
    <w:rsid w:val="00144BA0"/>
    <w:rsid w:val="00144C3D"/>
    <w:rsid w:val="00144F93"/>
    <w:rsid w:val="001451F9"/>
    <w:rsid w:val="00145859"/>
    <w:rsid w:val="00145E00"/>
    <w:rsid w:val="00145EAC"/>
    <w:rsid w:val="00146142"/>
    <w:rsid w:val="001464D3"/>
    <w:rsid w:val="001469C2"/>
    <w:rsid w:val="001474D3"/>
    <w:rsid w:val="00147D6F"/>
    <w:rsid w:val="0015053F"/>
    <w:rsid w:val="00150714"/>
    <w:rsid w:val="001509DD"/>
    <w:rsid w:val="00151B09"/>
    <w:rsid w:val="00153397"/>
    <w:rsid w:val="00153884"/>
    <w:rsid w:val="00153B2A"/>
    <w:rsid w:val="00153ECA"/>
    <w:rsid w:val="00154054"/>
    <w:rsid w:val="001540DF"/>
    <w:rsid w:val="00156AA6"/>
    <w:rsid w:val="00156AB2"/>
    <w:rsid w:val="00157D28"/>
    <w:rsid w:val="00160533"/>
    <w:rsid w:val="00160915"/>
    <w:rsid w:val="00162AD4"/>
    <w:rsid w:val="001630BC"/>
    <w:rsid w:val="0016332E"/>
    <w:rsid w:val="0016389E"/>
    <w:rsid w:val="00167743"/>
    <w:rsid w:val="0016791B"/>
    <w:rsid w:val="00172242"/>
    <w:rsid w:val="00172262"/>
    <w:rsid w:val="001745BC"/>
    <w:rsid w:val="00174E90"/>
    <w:rsid w:val="001750ED"/>
    <w:rsid w:val="00175F1F"/>
    <w:rsid w:val="001765B8"/>
    <w:rsid w:val="00177B1D"/>
    <w:rsid w:val="00180B2F"/>
    <w:rsid w:val="001829D8"/>
    <w:rsid w:val="001833B1"/>
    <w:rsid w:val="00184209"/>
    <w:rsid w:val="001857D5"/>
    <w:rsid w:val="001864E4"/>
    <w:rsid w:val="00186944"/>
    <w:rsid w:val="00186CCA"/>
    <w:rsid w:val="0019001D"/>
    <w:rsid w:val="00191933"/>
    <w:rsid w:val="00193B34"/>
    <w:rsid w:val="00194411"/>
    <w:rsid w:val="00194667"/>
    <w:rsid w:val="001949D0"/>
    <w:rsid w:val="00195007"/>
    <w:rsid w:val="0019513B"/>
    <w:rsid w:val="0019646E"/>
    <w:rsid w:val="00196578"/>
    <w:rsid w:val="00197137"/>
    <w:rsid w:val="001A0A02"/>
    <w:rsid w:val="001A0EB4"/>
    <w:rsid w:val="001A163A"/>
    <w:rsid w:val="001A19BA"/>
    <w:rsid w:val="001A1E7D"/>
    <w:rsid w:val="001A1F1C"/>
    <w:rsid w:val="001A3452"/>
    <w:rsid w:val="001A4539"/>
    <w:rsid w:val="001A51F6"/>
    <w:rsid w:val="001A5331"/>
    <w:rsid w:val="001A5810"/>
    <w:rsid w:val="001A65AD"/>
    <w:rsid w:val="001A66DB"/>
    <w:rsid w:val="001A75F1"/>
    <w:rsid w:val="001B0472"/>
    <w:rsid w:val="001B27AC"/>
    <w:rsid w:val="001B2DF4"/>
    <w:rsid w:val="001B2ED8"/>
    <w:rsid w:val="001B3220"/>
    <w:rsid w:val="001B44BE"/>
    <w:rsid w:val="001B4946"/>
    <w:rsid w:val="001B49D9"/>
    <w:rsid w:val="001B5311"/>
    <w:rsid w:val="001B6F46"/>
    <w:rsid w:val="001C0436"/>
    <w:rsid w:val="001C0690"/>
    <w:rsid w:val="001C07FE"/>
    <w:rsid w:val="001C0BE5"/>
    <w:rsid w:val="001C1091"/>
    <w:rsid w:val="001C3E9A"/>
    <w:rsid w:val="001C58A5"/>
    <w:rsid w:val="001D0D7E"/>
    <w:rsid w:val="001D16E8"/>
    <w:rsid w:val="001D1B04"/>
    <w:rsid w:val="001D36CF"/>
    <w:rsid w:val="001D3B16"/>
    <w:rsid w:val="001D6B53"/>
    <w:rsid w:val="001D6C66"/>
    <w:rsid w:val="001D7D32"/>
    <w:rsid w:val="001E0673"/>
    <w:rsid w:val="001E140C"/>
    <w:rsid w:val="001E3301"/>
    <w:rsid w:val="001E3DED"/>
    <w:rsid w:val="001E51F2"/>
    <w:rsid w:val="001E5707"/>
    <w:rsid w:val="001E6CE8"/>
    <w:rsid w:val="001E7527"/>
    <w:rsid w:val="001F05E5"/>
    <w:rsid w:val="001F09D7"/>
    <w:rsid w:val="001F1235"/>
    <w:rsid w:val="001F13BB"/>
    <w:rsid w:val="001F147D"/>
    <w:rsid w:val="001F1A37"/>
    <w:rsid w:val="001F1E7A"/>
    <w:rsid w:val="001F2533"/>
    <w:rsid w:val="001F2C62"/>
    <w:rsid w:val="001F37B4"/>
    <w:rsid w:val="001F5034"/>
    <w:rsid w:val="001F55F0"/>
    <w:rsid w:val="001F7606"/>
    <w:rsid w:val="001F7A08"/>
    <w:rsid w:val="00201987"/>
    <w:rsid w:val="002026FB"/>
    <w:rsid w:val="00202D11"/>
    <w:rsid w:val="00204388"/>
    <w:rsid w:val="00205BB2"/>
    <w:rsid w:val="00206E65"/>
    <w:rsid w:val="00207037"/>
    <w:rsid w:val="0021048C"/>
    <w:rsid w:val="00212042"/>
    <w:rsid w:val="00212208"/>
    <w:rsid w:val="0021477E"/>
    <w:rsid w:val="0021489F"/>
    <w:rsid w:val="002152F1"/>
    <w:rsid w:val="0021543E"/>
    <w:rsid w:val="0021587A"/>
    <w:rsid w:val="00215A99"/>
    <w:rsid w:val="00215B3C"/>
    <w:rsid w:val="00215B8B"/>
    <w:rsid w:val="00217DAB"/>
    <w:rsid w:val="00217DC2"/>
    <w:rsid w:val="0022088D"/>
    <w:rsid w:val="00220A06"/>
    <w:rsid w:val="00220EF0"/>
    <w:rsid w:val="00221757"/>
    <w:rsid w:val="00221EB4"/>
    <w:rsid w:val="00222C58"/>
    <w:rsid w:val="00223812"/>
    <w:rsid w:val="00224782"/>
    <w:rsid w:val="002271E4"/>
    <w:rsid w:val="00227472"/>
    <w:rsid w:val="002275A9"/>
    <w:rsid w:val="00227685"/>
    <w:rsid w:val="002277EB"/>
    <w:rsid w:val="0023043C"/>
    <w:rsid w:val="00230792"/>
    <w:rsid w:val="00230D6B"/>
    <w:rsid w:val="00230DF7"/>
    <w:rsid w:val="0023369C"/>
    <w:rsid w:val="00233780"/>
    <w:rsid w:val="002346BE"/>
    <w:rsid w:val="002356F0"/>
    <w:rsid w:val="00236155"/>
    <w:rsid w:val="00236436"/>
    <w:rsid w:val="002365AD"/>
    <w:rsid w:val="0024064C"/>
    <w:rsid w:val="0024345C"/>
    <w:rsid w:val="00245946"/>
    <w:rsid w:val="00245A09"/>
    <w:rsid w:val="00245B0A"/>
    <w:rsid w:val="00247277"/>
    <w:rsid w:val="0024780B"/>
    <w:rsid w:val="0025150F"/>
    <w:rsid w:val="00251A9F"/>
    <w:rsid w:val="00253961"/>
    <w:rsid w:val="0025419A"/>
    <w:rsid w:val="00254576"/>
    <w:rsid w:val="002548A6"/>
    <w:rsid w:val="002548CF"/>
    <w:rsid w:val="00254BFD"/>
    <w:rsid w:val="002576ED"/>
    <w:rsid w:val="00257BBC"/>
    <w:rsid w:val="00257EE5"/>
    <w:rsid w:val="00261851"/>
    <w:rsid w:val="002645FE"/>
    <w:rsid w:val="00265119"/>
    <w:rsid w:val="00267643"/>
    <w:rsid w:val="00267959"/>
    <w:rsid w:val="00271CA5"/>
    <w:rsid w:val="002732C7"/>
    <w:rsid w:val="002740C5"/>
    <w:rsid w:val="00274369"/>
    <w:rsid w:val="00274943"/>
    <w:rsid w:val="00275241"/>
    <w:rsid w:val="0027684D"/>
    <w:rsid w:val="00276AF7"/>
    <w:rsid w:val="002773A7"/>
    <w:rsid w:val="0027744A"/>
    <w:rsid w:val="00277563"/>
    <w:rsid w:val="00280B82"/>
    <w:rsid w:val="002814E5"/>
    <w:rsid w:val="00282575"/>
    <w:rsid w:val="0028400F"/>
    <w:rsid w:val="00285718"/>
    <w:rsid w:val="002858E9"/>
    <w:rsid w:val="00285F7F"/>
    <w:rsid w:val="0029004A"/>
    <w:rsid w:val="00291FD2"/>
    <w:rsid w:val="00292308"/>
    <w:rsid w:val="002925C7"/>
    <w:rsid w:val="002943F0"/>
    <w:rsid w:val="00294CFA"/>
    <w:rsid w:val="0029530D"/>
    <w:rsid w:val="0029547D"/>
    <w:rsid w:val="00295559"/>
    <w:rsid w:val="002956E7"/>
    <w:rsid w:val="00295882"/>
    <w:rsid w:val="002964DD"/>
    <w:rsid w:val="00296F6B"/>
    <w:rsid w:val="00297A2D"/>
    <w:rsid w:val="00297B24"/>
    <w:rsid w:val="002A08F6"/>
    <w:rsid w:val="002A1124"/>
    <w:rsid w:val="002A2455"/>
    <w:rsid w:val="002A628D"/>
    <w:rsid w:val="002B060D"/>
    <w:rsid w:val="002B0E26"/>
    <w:rsid w:val="002B1E3A"/>
    <w:rsid w:val="002B29D4"/>
    <w:rsid w:val="002B318C"/>
    <w:rsid w:val="002B4800"/>
    <w:rsid w:val="002B4D94"/>
    <w:rsid w:val="002B6CF4"/>
    <w:rsid w:val="002B769D"/>
    <w:rsid w:val="002B7E5F"/>
    <w:rsid w:val="002C0849"/>
    <w:rsid w:val="002C120D"/>
    <w:rsid w:val="002C1EF4"/>
    <w:rsid w:val="002C2784"/>
    <w:rsid w:val="002C2BA0"/>
    <w:rsid w:val="002C3351"/>
    <w:rsid w:val="002C3B55"/>
    <w:rsid w:val="002C3DFF"/>
    <w:rsid w:val="002C40F3"/>
    <w:rsid w:val="002C4938"/>
    <w:rsid w:val="002C4DEE"/>
    <w:rsid w:val="002C586F"/>
    <w:rsid w:val="002C6D33"/>
    <w:rsid w:val="002C6E6E"/>
    <w:rsid w:val="002C76F1"/>
    <w:rsid w:val="002D0124"/>
    <w:rsid w:val="002D03D2"/>
    <w:rsid w:val="002D20B5"/>
    <w:rsid w:val="002D3F61"/>
    <w:rsid w:val="002D4602"/>
    <w:rsid w:val="002D50A5"/>
    <w:rsid w:val="002D52EE"/>
    <w:rsid w:val="002D590F"/>
    <w:rsid w:val="002D5BD0"/>
    <w:rsid w:val="002D7B78"/>
    <w:rsid w:val="002E1247"/>
    <w:rsid w:val="002E1F33"/>
    <w:rsid w:val="002E2105"/>
    <w:rsid w:val="002E21DA"/>
    <w:rsid w:val="002E21EF"/>
    <w:rsid w:val="002E2472"/>
    <w:rsid w:val="002E2A04"/>
    <w:rsid w:val="002E2F13"/>
    <w:rsid w:val="002E31B2"/>
    <w:rsid w:val="002E3C56"/>
    <w:rsid w:val="002E4CCF"/>
    <w:rsid w:val="002E50E7"/>
    <w:rsid w:val="002E6D83"/>
    <w:rsid w:val="002E7D89"/>
    <w:rsid w:val="002F0F3C"/>
    <w:rsid w:val="002F1048"/>
    <w:rsid w:val="002F1DE7"/>
    <w:rsid w:val="002F25F7"/>
    <w:rsid w:val="002F2A20"/>
    <w:rsid w:val="002F2C03"/>
    <w:rsid w:val="002F2F10"/>
    <w:rsid w:val="002F3E02"/>
    <w:rsid w:val="002F488C"/>
    <w:rsid w:val="002F6D55"/>
    <w:rsid w:val="002F7E0C"/>
    <w:rsid w:val="00300B29"/>
    <w:rsid w:val="00300D90"/>
    <w:rsid w:val="00300FAB"/>
    <w:rsid w:val="00301C62"/>
    <w:rsid w:val="00302910"/>
    <w:rsid w:val="003031CF"/>
    <w:rsid w:val="00303241"/>
    <w:rsid w:val="0030455E"/>
    <w:rsid w:val="00304602"/>
    <w:rsid w:val="0030501B"/>
    <w:rsid w:val="0030511A"/>
    <w:rsid w:val="00305E1D"/>
    <w:rsid w:val="00306790"/>
    <w:rsid w:val="00306A4D"/>
    <w:rsid w:val="00307AC1"/>
    <w:rsid w:val="003103CC"/>
    <w:rsid w:val="0031096A"/>
    <w:rsid w:val="00310BF2"/>
    <w:rsid w:val="00311490"/>
    <w:rsid w:val="00311D6C"/>
    <w:rsid w:val="00313108"/>
    <w:rsid w:val="00313838"/>
    <w:rsid w:val="0031465A"/>
    <w:rsid w:val="00314DE0"/>
    <w:rsid w:val="00315BA2"/>
    <w:rsid w:val="00316303"/>
    <w:rsid w:val="003169F7"/>
    <w:rsid w:val="003178D5"/>
    <w:rsid w:val="00317BDE"/>
    <w:rsid w:val="00320E37"/>
    <w:rsid w:val="003213C7"/>
    <w:rsid w:val="00321F4E"/>
    <w:rsid w:val="00322277"/>
    <w:rsid w:val="00323D7E"/>
    <w:rsid w:val="00325AD5"/>
    <w:rsid w:val="0032747A"/>
    <w:rsid w:val="00327910"/>
    <w:rsid w:val="00327DBB"/>
    <w:rsid w:val="00331D8B"/>
    <w:rsid w:val="00331FFD"/>
    <w:rsid w:val="00332205"/>
    <w:rsid w:val="00332426"/>
    <w:rsid w:val="0033278A"/>
    <w:rsid w:val="0033347E"/>
    <w:rsid w:val="003337B9"/>
    <w:rsid w:val="00333BE8"/>
    <w:rsid w:val="00334E8B"/>
    <w:rsid w:val="00335D81"/>
    <w:rsid w:val="0033604F"/>
    <w:rsid w:val="0033741A"/>
    <w:rsid w:val="003376CF"/>
    <w:rsid w:val="00337837"/>
    <w:rsid w:val="00337BF4"/>
    <w:rsid w:val="00340E7A"/>
    <w:rsid w:val="00342995"/>
    <w:rsid w:val="003437F0"/>
    <w:rsid w:val="003450FF"/>
    <w:rsid w:val="003452DF"/>
    <w:rsid w:val="00345ED8"/>
    <w:rsid w:val="003470D9"/>
    <w:rsid w:val="00347479"/>
    <w:rsid w:val="00350AE6"/>
    <w:rsid w:val="00350E9F"/>
    <w:rsid w:val="00352014"/>
    <w:rsid w:val="003528AF"/>
    <w:rsid w:val="00352A80"/>
    <w:rsid w:val="00352C51"/>
    <w:rsid w:val="00352D8F"/>
    <w:rsid w:val="00352FB8"/>
    <w:rsid w:val="0035330F"/>
    <w:rsid w:val="00355562"/>
    <w:rsid w:val="003560B4"/>
    <w:rsid w:val="00356643"/>
    <w:rsid w:val="00357E4A"/>
    <w:rsid w:val="00357EF3"/>
    <w:rsid w:val="003606F5"/>
    <w:rsid w:val="00360D25"/>
    <w:rsid w:val="00360E20"/>
    <w:rsid w:val="00363DE4"/>
    <w:rsid w:val="00364B28"/>
    <w:rsid w:val="0036508A"/>
    <w:rsid w:val="003675C7"/>
    <w:rsid w:val="00370376"/>
    <w:rsid w:val="003706A2"/>
    <w:rsid w:val="00370CA7"/>
    <w:rsid w:val="003717CE"/>
    <w:rsid w:val="00373F48"/>
    <w:rsid w:val="003747B7"/>
    <w:rsid w:val="0037487E"/>
    <w:rsid w:val="00374DCB"/>
    <w:rsid w:val="00375B1F"/>
    <w:rsid w:val="00376023"/>
    <w:rsid w:val="00377A28"/>
    <w:rsid w:val="00377CE0"/>
    <w:rsid w:val="00380230"/>
    <w:rsid w:val="00380C74"/>
    <w:rsid w:val="003812B9"/>
    <w:rsid w:val="00383CB1"/>
    <w:rsid w:val="00385510"/>
    <w:rsid w:val="0038606A"/>
    <w:rsid w:val="00386163"/>
    <w:rsid w:val="00386461"/>
    <w:rsid w:val="003903F3"/>
    <w:rsid w:val="00391C8F"/>
    <w:rsid w:val="003921B3"/>
    <w:rsid w:val="00394379"/>
    <w:rsid w:val="00394454"/>
    <w:rsid w:val="003944B0"/>
    <w:rsid w:val="00395723"/>
    <w:rsid w:val="0039618D"/>
    <w:rsid w:val="00396551"/>
    <w:rsid w:val="003A09C2"/>
    <w:rsid w:val="003A0A44"/>
    <w:rsid w:val="003A25CC"/>
    <w:rsid w:val="003A30DC"/>
    <w:rsid w:val="003A3219"/>
    <w:rsid w:val="003A3AC7"/>
    <w:rsid w:val="003A42C0"/>
    <w:rsid w:val="003A4B99"/>
    <w:rsid w:val="003A678A"/>
    <w:rsid w:val="003A6990"/>
    <w:rsid w:val="003A7AD6"/>
    <w:rsid w:val="003B0451"/>
    <w:rsid w:val="003B286A"/>
    <w:rsid w:val="003B3332"/>
    <w:rsid w:val="003B44C8"/>
    <w:rsid w:val="003B4CED"/>
    <w:rsid w:val="003B54F8"/>
    <w:rsid w:val="003B5D3C"/>
    <w:rsid w:val="003C04A8"/>
    <w:rsid w:val="003C090E"/>
    <w:rsid w:val="003C0F95"/>
    <w:rsid w:val="003C0FD0"/>
    <w:rsid w:val="003C1311"/>
    <w:rsid w:val="003C1C6A"/>
    <w:rsid w:val="003C29D3"/>
    <w:rsid w:val="003C67DF"/>
    <w:rsid w:val="003C693B"/>
    <w:rsid w:val="003C6B9E"/>
    <w:rsid w:val="003C7F22"/>
    <w:rsid w:val="003D0F9F"/>
    <w:rsid w:val="003D1E72"/>
    <w:rsid w:val="003D2081"/>
    <w:rsid w:val="003D2E9D"/>
    <w:rsid w:val="003D32B4"/>
    <w:rsid w:val="003D36C1"/>
    <w:rsid w:val="003D386B"/>
    <w:rsid w:val="003D3AC0"/>
    <w:rsid w:val="003D410F"/>
    <w:rsid w:val="003D45EF"/>
    <w:rsid w:val="003D4D59"/>
    <w:rsid w:val="003D56DB"/>
    <w:rsid w:val="003D5A5A"/>
    <w:rsid w:val="003D653F"/>
    <w:rsid w:val="003D6BDD"/>
    <w:rsid w:val="003D75B6"/>
    <w:rsid w:val="003E043E"/>
    <w:rsid w:val="003E0B2B"/>
    <w:rsid w:val="003E196F"/>
    <w:rsid w:val="003E1EFA"/>
    <w:rsid w:val="003E377F"/>
    <w:rsid w:val="003E3B9A"/>
    <w:rsid w:val="003E4EF1"/>
    <w:rsid w:val="003E4EFA"/>
    <w:rsid w:val="003E5B3B"/>
    <w:rsid w:val="003E623C"/>
    <w:rsid w:val="003E6750"/>
    <w:rsid w:val="003E7C56"/>
    <w:rsid w:val="003F0108"/>
    <w:rsid w:val="003F0E49"/>
    <w:rsid w:val="003F19F9"/>
    <w:rsid w:val="003F1F4C"/>
    <w:rsid w:val="003F2042"/>
    <w:rsid w:val="003F2103"/>
    <w:rsid w:val="003F519A"/>
    <w:rsid w:val="003F5D90"/>
    <w:rsid w:val="003F6315"/>
    <w:rsid w:val="003F68ED"/>
    <w:rsid w:val="003F6D9E"/>
    <w:rsid w:val="003F77BC"/>
    <w:rsid w:val="00400FF8"/>
    <w:rsid w:val="004011C2"/>
    <w:rsid w:val="00401390"/>
    <w:rsid w:val="00403291"/>
    <w:rsid w:val="004032F8"/>
    <w:rsid w:val="00403C85"/>
    <w:rsid w:val="00404A8B"/>
    <w:rsid w:val="00404FEE"/>
    <w:rsid w:val="00410B72"/>
    <w:rsid w:val="00410FAE"/>
    <w:rsid w:val="00411295"/>
    <w:rsid w:val="00411621"/>
    <w:rsid w:val="004116CB"/>
    <w:rsid w:val="00411E88"/>
    <w:rsid w:val="00412128"/>
    <w:rsid w:val="00412386"/>
    <w:rsid w:val="00413064"/>
    <w:rsid w:val="004143EF"/>
    <w:rsid w:val="00414A73"/>
    <w:rsid w:val="00416CFB"/>
    <w:rsid w:val="0042082C"/>
    <w:rsid w:val="00421533"/>
    <w:rsid w:val="004216B9"/>
    <w:rsid w:val="004218F1"/>
    <w:rsid w:val="004225D0"/>
    <w:rsid w:val="00422DA2"/>
    <w:rsid w:val="0042358F"/>
    <w:rsid w:val="00423694"/>
    <w:rsid w:val="004258BA"/>
    <w:rsid w:val="004265EF"/>
    <w:rsid w:val="004271B6"/>
    <w:rsid w:val="004275EB"/>
    <w:rsid w:val="00427713"/>
    <w:rsid w:val="0042781B"/>
    <w:rsid w:val="00427B79"/>
    <w:rsid w:val="00427CF2"/>
    <w:rsid w:val="004309EE"/>
    <w:rsid w:val="00430EDB"/>
    <w:rsid w:val="004319DF"/>
    <w:rsid w:val="0043238C"/>
    <w:rsid w:val="00432DA7"/>
    <w:rsid w:val="0043337A"/>
    <w:rsid w:val="004335A8"/>
    <w:rsid w:val="00434607"/>
    <w:rsid w:val="00434B5E"/>
    <w:rsid w:val="0043526C"/>
    <w:rsid w:val="00435273"/>
    <w:rsid w:val="004357DA"/>
    <w:rsid w:val="0043591D"/>
    <w:rsid w:val="00436A6C"/>
    <w:rsid w:val="00436F20"/>
    <w:rsid w:val="00436F2D"/>
    <w:rsid w:val="004374AE"/>
    <w:rsid w:val="00440430"/>
    <w:rsid w:val="004404DA"/>
    <w:rsid w:val="00440D03"/>
    <w:rsid w:val="004418E0"/>
    <w:rsid w:val="00442585"/>
    <w:rsid w:val="00444A0F"/>
    <w:rsid w:val="00444F7A"/>
    <w:rsid w:val="00445784"/>
    <w:rsid w:val="00447354"/>
    <w:rsid w:val="00447ABF"/>
    <w:rsid w:val="00450ACD"/>
    <w:rsid w:val="00450B4F"/>
    <w:rsid w:val="00452F89"/>
    <w:rsid w:val="00453B6C"/>
    <w:rsid w:val="00453CA2"/>
    <w:rsid w:val="004543BC"/>
    <w:rsid w:val="004558A0"/>
    <w:rsid w:val="00456583"/>
    <w:rsid w:val="00456B7D"/>
    <w:rsid w:val="00460BF3"/>
    <w:rsid w:val="00461144"/>
    <w:rsid w:val="00461D4D"/>
    <w:rsid w:val="004621BD"/>
    <w:rsid w:val="00462335"/>
    <w:rsid w:val="004623B8"/>
    <w:rsid w:val="00462F7D"/>
    <w:rsid w:val="00463648"/>
    <w:rsid w:val="0046412A"/>
    <w:rsid w:val="0046488F"/>
    <w:rsid w:val="00466B06"/>
    <w:rsid w:val="00467D44"/>
    <w:rsid w:val="00470A2E"/>
    <w:rsid w:val="00471D4B"/>
    <w:rsid w:val="00471E23"/>
    <w:rsid w:val="00473431"/>
    <w:rsid w:val="00473EA8"/>
    <w:rsid w:val="00474C7D"/>
    <w:rsid w:val="00475782"/>
    <w:rsid w:val="00476DC6"/>
    <w:rsid w:val="0047714D"/>
    <w:rsid w:val="00477FCC"/>
    <w:rsid w:val="00480F43"/>
    <w:rsid w:val="00481623"/>
    <w:rsid w:val="0048183E"/>
    <w:rsid w:val="0048273F"/>
    <w:rsid w:val="00483620"/>
    <w:rsid w:val="00484CFE"/>
    <w:rsid w:val="004853D6"/>
    <w:rsid w:val="00485804"/>
    <w:rsid w:val="0048598F"/>
    <w:rsid w:val="00485A9E"/>
    <w:rsid w:val="00485D53"/>
    <w:rsid w:val="00485F81"/>
    <w:rsid w:val="00485FDE"/>
    <w:rsid w:val="00486639"/>
    <w:rsid w:val="004866CD"/>
    <w:rsid w:val="0048688A"/>
    <w:rsid w:val="00486F0C"/>
    <w:rsid w:val="004874EC"/>
    <w:rsid w:val="0048758B"/>
    <w:rsid w:val="004904E1"/>
    <w:rsid w:val="00490898"/>
    <w:rsid w:val="00490C60"/>
    <w:rsid w:val="00491866"/>
    <w:rsid w:val="00491AB7"/>
    <w:rsid w:val="00491BDD"/>
    <w:rsid w:val="00491C7C"/>
    <w:rsid w:val="0049289C"/>
    <w:rsid w:val="00494172"/>
    <w:rsid w:val="00494582"/>
    <w:rsid w:val="00494844"/>
    <w:rsid w:val="0049706B"/>
    <w:rsid w:val="004A07FD"/>
    <w:rsid w:val="004A0BCD"/>
    <w:rsid w:val="004A1CDA"/>
    <w:rsid w:val="004A32F8"/>
    <w:rsid w:val="004A3923"/>
    <w:rsid w:val="004A405D"/>
    <w:rsid w:val="004A5DB0"/>
    <w:rsid w:val="004A66C0"/>
    <w:rsid w:val="004A68C8"/>
    <w:rsid w:val="004A752E"/>
    <w:rsid w:val="004A7FA4"/>
    <w:rsid w:val="004B0986"/>
    <w:rsid w:val="004B118D"/>
    <w:rsid w:val="004B1999"/>
    <w:rsid w:val="004B1E77"/>
    <w:rsid w:val="004B26C1"/>
    <w:rsid w:val="004B2A83"/>
    <w:rsid w:val="004B39D9"/>
    <w:rsid w:val="004B3DFB"/>
    <w:rsid w:val="004B4444"/>
    <w:rsid w:val="004B4942"/>
    <w:rsid w:val="004B4DFE"/>
    <w:rsid w:val="004B5EAD"/>
    <w:rsid w:val="004B5F6A"/>
    <w:rsid w:val="004B6124"/>
    <w:rsid w:val="004B6B42"/>
    <w:rsid w:val="004B6DD0"/>
    <w:rsid w:val="004B7B5C"/>
    <w:rsid w:val="004C0371"/>
    <w:rsid w:val="004C0A1A"/>
    <w:rsid w:val="004C0B38"/>
    <w:rsid w:val="004C2A88"/>
    <w:rsid w:val="004C349F"/>
    <w:rsid w:val="004C3888"/>
    <w:rsid w:val="004C3D9C"/>
    <w:rsid w:val="004C42D7"/>
    <w:rsid w:val="004C479A"/>
    <w:rsid w:val="004C47A2"/>
    <w:rsid w:val="004C48AE"/>
    <w:rsid w:val="004C4FEA"/>
    <w:rsid w:val="004C5180"/>
    <w:rsid w:val="004D0617"/>
    <w:rsid w:val="004D0CDB"/>
    <w:rsid w:val="004D12F1"/>
    <w:rsid w:val="004D1E0C"/>
    <w:rsid w:val="004D32F9"/>
    <w:rsid w:val="004D4A1B"/>
    <w:rsid w:val="004D4BB0"/>
    <w:rsid w:val="004D53AA"/>
    <w:rsid w:val="004D5948"/>
    <w:rsid w:val="004D598B"/>
    <w:rsid w:val="004D5AB6"/>
    <w:rsid w:val="004D63BA"/>
    <w:rsid w:val="004D70E0"/>
    <w:rsid w:val="004E0A2D"/>
    <w:rsid w:val="004E1EAC"/>
    <w:rsid w:val="004E2039"/>
    <w:rsid w:val="004E29C4"/>
    <w:rsid w:val="004E2BA0"/>
    <w:rsid w:val="004E34D5"/>
    <w:rsid w:val="004E3676"/>
    <w:rsid w:val="004E43DA"/>
    <w:rsid w:val="004E4BA9"/>
    <w:rsid w:val="004E7112"/>
    <w:rsid w:val="004F026D"/>
    <w:rsid w:val="004F0A92"/>
    <w:rsid w:val="004F11D5"/>
    <w:rsid w:val="004F1D13"/>
    <w:rsid w:val="004F2539"/>
    <w:rsid w:val="004F25AF"/>
    <w:rsid w:val="004F2B9E"/>
    <w:rsid w:val="004F4375"/>
    <w:rsid w:val="004F45A8"/>
    <w:rsid w:val="004F4E07"/>
    <w:rsid w:val="004F518B"/>
    <w:rsid w:val="004F5B13"/>
    <w:rsid w:val="004F5B29"/>
    <w:rsid w:val="004F5CF7"/>
    <w:rsid w:val="004F615E"/>
    <w:rsid w:val="004F647A"/>
    <w:rsid w:val="00500C58"/>
    <w:rsid w:val="00501FF7"/>
    <w:rsid w:val="005028D8"/>
    <w:rsid w:val="005029E7"/>
    <w:rsid w:val="00503160"/>
    <w:rsid w:val="005038BE"/>
    <w:rsid w:val="00503F9F"/>
    <w:rsid w:val="005044C8"/>
    <w:rsid w:val="0050482D"/>
    <w:rsid w:val="0050542F"/>
    <w:rsid w:val="00505527"/>
    <w:rsid w:val="00505561"/>
    <w:rsid w:val="00505ADA"/>
    <w:rsid w:val="005073F1"/>
    <w:rsid w:val="005102A7"/>
    <w:rsid w:val="00510684"/>
    <w:rsid w:val="00511F2C"/>
    <w:rsid w:val="00512F6D"/>
    <w:rsid w:val="005130D8"/>
    <w:rsid w:val="00513203"/>
    <w:rsid w:val="00514820"/>
    <w:rsid w:val="00515918"/>
    <w:rsid w:val="0051607D"/>
    <w:rsid w:val="00516F68"/>
    <w:rsid w:val="005177BA"/>
    <w:rsid w:val="00522AEF"/>
    <w:rsid w:val="00523E65"/>
    <w:rsid w:val="005249FC"/>
    <w:rsid w:val="00524EE4"/>
    <w:rsid w:val="00525825"/>
    <w:rsid w:val="00525A65"/>
    <w:rsid w:val="00525AF9"/>
    <w:rsid w:val="00525C8E"/>
    <w:rsid w:val="00527012"/>
    <w:rsid w:val="005278AF"/>
    <w:rsid w:val="00530671"/>
    <w:rsid w:val="005308EA"/>
    <w:rsid w:val="0053152F"/>
    <w:rsid w:val="00531F0C"/>
    <w:rsid w:val="00532B1C"/>
    <w:rsid w:val="00532E58"/>
    <w:rsid w:val="005332D5"/>
    <w:rsid w:val="00533460"/>
    <w:rsid w:val="00533C74"/>
    <w:rsid w:val="005345DD"/>
    <w:rsid w:val="00534909"/>
    <w:rsid w:val="00535310"/>
    <w:rsid w:val="00535604"/>
    <w:rsid w:val="0053652B"/>
    <w:rsid w:val="00536A4A"/>
    <w:rsid w:val="0053772B"/>
    <w:rsid w:val="005377A2"/>
    <w:rsid w:val="00537F5B"/>
    <w:rsid w:val="00537F84"/>
    <w:rsid w:val="00540963"/>
    <w:rsid w:val="00540ADF"/>
    <w:rsid w:val="00541C28"/>
    <w:rsid w:val="0054297D"/>
    <w:rsid w:val="00542B6D"/>
    <w:rsid w:val="00542F8E"/>
    <w:rsid w:val="0054568F"/>
    <w:rsid w:val="005460F7"/>
    <w:rsid w:val="00546253"/>
    <w:rsid w:val="00546515"/>
    <w:rsid w:val="00546690"/>
    <w:rsid w:val="005470B1"/>
    <w:rsid w:val="00547809"/>
    <w:rsid w:val="00547C69"/>
    <w:rsid w:val="00550675"/>
    <w:rsid w:val="00550AB7"/>
    <w:rsid w:val="005510CA"/>
    <w:rsid w:val="00551225"/>
    <w:rsid w:val="00551ACA"/>
    <w:rsid w:val="00553A75"/>
    <w:rsid w:val="00553E23"/>
    <w:rsid w:val="00553E66"/>
    <w:rsid w:val="005543B3"/>
    <w:rsid w:val="005543F9"/>
    <w:rsid w:val="005545C7"/>
    <w:rsid w:val="00555260"/>
    <w:rsid w:val="00555460"/>
    <w:rsid w:val="00555731"/>
    <w:rsid w:val="00555880"/>
    <w:rsid w:val="00555ECC"/>
    <w:rsid w:val="005608DD"/>
    <w:rsid w:val="0056092F"/>
    <w:rsid w:val="00561648"/>
    <w:rsid w:val="00561A83"/>
    <w:rsid w:val="00562DC3"/>
    <w:rsid w:val="0056362E"/>
    <w:rsid w:val="0056443B"/>
    <w:rsid w:val="005664D6"/>
    <w:rsid w:val="005666DA"/>
    <w:rsid w:val="00570222"/>
    <w:rsid w:val="0057192F"/>
    <w:rsid w:val="00571B7C"/>
    <w:rsid w:val="0057278C"/>
    <w:rsid w:val="005727B7"/>
    <w:rsid w:val="00573F93"/>
    <w:rsid w:val="00574CB2"/>
    <w:rsid w:val="00575491"/>
    <w:rsid w:val="00576192"/>
    <w:rsid w:val="0057642C"/>
    <w:rsid w:val="0057794F"/>
    <w:rsid w:val="005805DC"/>
    <w:rsid w:val="0058092D"/>
    <w:rsid w:val="00580DBF"/>
    <w:rsid w:val="00581A9C"/>
    <w:rsid w:val="0058266C"/>
    <w:rsid w:val="00583A21"/>
    <w:rsid w:val="00583ABE"/>
    <w:rsid w:val="00583B3F"/>
    <w:rsid w:val="00583FCB"/>
    <w:rsid w:val="00584DAD"/>
    <w:rsid w:val="00585079"/>
    <w:rsid w:val="005858EB"/>
    <w:rsid w:val="00585A99"/>
    <w:rsid w:val="00586997"/>
    <w:rsid w:val="005901CF"/>
    <w:rsid w:val="005901F1"/>
    <w:rsid w:val="0059075D"/>
    <w:rsid w:val="00590A8A"/>
    <w:rsid w:val="00591362"/>
    <w:rsid w:val="00592511"/>
    <w:rsid w:val="005932A2"/>
    <w:rsid w:val="00593DF0"/>
    <w:rsid w:val="00594DDF"/>
    <w:rsid w:val="00594F90"/>
    <w:rsid w:val="00594FA9"/>
    <w:rsid w:val="00595429"/>
    <w:rsid w:val="005970B3"/>
    <w:rsid w:val="005A03D0"/>
    <w:rsid w:val="005A0A73"/>
    <w:rsid w:val="005A3AA4"/>
    <w:rsid w:val="005A3C5D"/>
    <w:rsid w:val="005A5AFE"/>
    <w:rsid w:val="005A5DEB"/>
    <w:rsid w:val="005A6814"/>
    <w:rsid w:val="005A70FF"/>
    <w:rsid w:val="005A75A6"/>
    <w:rsid w:val="005A7DC9"/>
    <w:rsid w:val="005A7F17"/>
    <w:rsid w:val="005B1DFC"/>
    <w:rsid w:val="005B208B"/>
    <w:rsid w:val="005B2D15"/>
    <w:rsid w:val="005B2FC6"/>
    <w:rsid w:val="005B3327"/>
    <w:rsid w:val="005B57C9"/>
    <w:rsid w:val="005B5F3E"/>
    <w:rsid w:val="005B69B2"/>
    <w:rsid w:val="005B7632"/>
    <w:rsid w:val="005C0822"/>
    <w:rsid w:val="005C1468"/>
    <w:rsid w:val="005C16CF"/>
    <w:rsid w:val="005C282E"/>
    <w:rsid w:val="005C478D"/>
    <w:rsid w:val="005C75E5"/>
    <w:rsid w:val="005C7BA7"/>
    <w:rsid w:val="005D1205"/>
    <w:rsid w:val="005D2AF1"/>
    <w:rsid w:val="005D2BD4"/>
    <w:rsid w:val="005D370F"/>
    <w:rsid w:val="005D3B66"/>
    <w:rsid w:val="005D51D9"/>
    <w:rsid w:val="005D765A"/>
    <w:rsid w:val="005D78E6"/>
    <w:rsid w:val="005D7FC0"/>
    <w:rsid w:val="005E39B5"/>
    <w:rsid w:val="005E4100"/>
    <w:rsid w:val="005E41F3"/>
    <w:rsid w:val="005E42F0"/>
    <w:rsid w:val="005E4A5E"/>
    <w:rsid w:val="005E78D0"/>
    <w:rsid w:val="005F0DC9"/>
    <w:rsid w:val="005F277C"/>
    <w:rsid w:val="005F2D3C"/>
    <w:rsid w:val="005F2E97"/>
    <w:rsid w:val="005F39A1"/>
    <w:rsid w:val="005F3DEB"/>
    <w:rsid w:val="005F6385"/>
    <w:rsid w:val="00600524"/>
    <w:rsid w:val="00601A0E"/>
    <w:rsid w:val="00602605"/>
    <w:rsid w:val="00603B91"/>
    <w:rsid w:val="00604E2C"/>
    <w:rsid w:val="00606368"/>
    <w:rsid w:val="006064E1"/>
    <w:rsid w:val="0061008F"/>
    <w:rsid w:val="00610D18"/>
    <w:rsid w:val="00611957"/>
    <w:rsid w:val="00612F73"/>
    <w:rsid w:val="006147C0"/>
    <w:rsid w:val="00614C30"/>
    <w:rsid w:val="00615013"/>
    <w:rsid w:val="00616214"/>
    <w:rsid w:val="006162A3"/>
    <w:rsid w:val="00617ED3"/>
    <w:rsid w:val="0062154C"/>
    <w:rsid w:val="00621DF8"/>
    <w:rsid w:val="00622416"/>
    <w:rsid w:val="00622CB1"/>
    <w:rsid w:val="00622DED"/>
    <w:rsid w:val="00623F39"/>
    <w:rsid w:val="006249FF"/>
    <w:rsid w:val="006259C2"/>
    <w:rsid w:val="0062664F"/>
    <w:rsid w:val="00626C2C"/>
    <w:rsid w:val="0062749A"/>
    <w:rsid w:val="00627695"/>
    <w:rsid w:val="00630BB1"/>
    <w:rsid w:val="00630E2E"/>
    <w:rsid w:val="0063263C"/>
    <w:rsid w:val="00632AA9"/>
    <w:rsid w:val="00633B2E"/>
    <w:rsid w:val="00633F8C"/>
    <w:rsid w:val="00635C00"/>
    <w:rsid w:val="0063722C"/>
    <w:rsid w:val="006372D1"/>
    <w:rsid w:val="0064030C"/>
    <w:rsid w:val="00641151"/>
    <w:rsid w:val="006411E4"/>
    <w:rsid w:val="0064216C"/>
    <w:rsid w:val="0064220D"/>
    <w:rsid w:val="00642520"/>
    <w:rsid w:val="00643288"/>
    <w:rsid w:val="00643C77"/>
    <w:rsid w:val="00644754"/>
    <w:rsid w:val="00644841"/>
    <w:rsid w:val="00644ABC"/>
    <w:rsid w:val="00644BAE"/>
    <w:rsid w:val="00645635"/>
    <w:rsid w:val="00645779"/>
    <w:rsid w:val="0064610E"/>
    <w:rsid w:val="0064616E"/>
    <w:rsid w:val="006468A0"/>
    <w:rsid w:val="00646BF1"/>
    <w:rsid w:val="00647A32"/>
    <w:rsid w:val="00647B05"/>
    <w:rsid w:val="0065068E"/>
    <w:rsid w:val="00651E90"/>
    <w:rsid w:val="00653405"/>
    <w:rsid w:val="00653478"/>
    <w:rsid w:val="00653A4D"/>
    <w:rsid w:val="00654D86"/>
    <w:rsid w:val="00655892"/>
    <w:rsid w:val="00655C79"/>
    <w:rsid w:val="00655D62"/>
    <w:rsid w:val="00657C9D"/>
    <w:rsid w:val="006611A4"/>
    <w:rsid w:val="00661FB5"/>
    <w:rsid w:val="006626D3"/>
    <w:rsid w:val="006637EF"/>
    <w:rsid w:val="00663A08"/>
    <w:rsid w:val="00663EC4"/>
    <w:rsid w:val="006643F2"/>
    <w:rsid w:val="006651EC"/>
    <w:rsid w:val="0066526D"/>
    <w:rsid w:val="006658BB"/>
    <w:rsid w:val="006658D0"/>
    <w:rsid w:val="00665E19"/>
    <w:rsid w:val="00666CE5"/>
    <w:rsid w:val="00666F80"/>
    <w:rsid w:val="00667C3A"/>
    <w:rsid w:val="00667E5D"/>
    <w:rsid w:val="00670A68"/>
    <w:rsid w:val="00670EEB"/>
    <w:rsid w:val="00671CCA"/>
    <w:rsid w:val="00674C38"/>
    <w:rsid w:val="006768EA"/>
    <w:rsid w:val="00677365"/>
    <w:rsid w:val="00677D96"/>
    <w:rsid w:val="00680434"/>
    <w:rsid w:val="00681786"/>
    <w:rsid w:val="00682467"/>
    <w:rsid w:val="00685BB2"/>
    <w:rsid w:val="00686F16"/>
    <w:rsid w:val="00687533"/>
    <w:rsid w:val="00690828"/>
    <w:rsid w:val="00690BE6"/>
    <w:rsid w:val="00691638"/>
    <w:rsid w:val="006927A5"/>
    <w:rsid w:val="00694536"/>
    <w:rsid w:val="00694FA6"/>
    <w:rsid w:val="006952A2"/>
    <w:rsid w:val="00695D4D"/>
    <w:rsid w:val="00695E69"/>
    <w:rsid w:val="0069653E"/>
    <w:rsid w:val="006969ED"/>
    <w:rsid w:val="006A0D85"/>
    <w:rsid w:val="006A2060"/>
    <w:rsid w:val="006A33A8"/>
    <w:rsid w:val="006A5EAD"/>
    <w:rsid w:val="006A711B"/>
    <w:rsid w:val="006B04C7"/>
    <w:rsid w:val="006B0650"/>
    <w:rsid w:val="006B06AA"/>
    <w:rsid w:val="006B0A65"/>
    <w:rsid w:val="006B47AA"/>
    <w:rsid w:val="006B5A1E"/>
    <w:rsid w:val="006B6E4A"/>
    <w:rsid w:val="006C30BA"/>
    <w:rsid w:val="006C3E78"/>
    <w:rsid w:val="006C4209"/>
    <w:rsid w:val="006C4E20"/>
    <w:rsid w:val="006C53FE"/>
    <w:rsid w:val="006C64DD"/>
    <w:rsid w:val="006C67B7"/>
    <w:rsid w:val="006C7204"/>
    <w:rsid w:val="006C795A"/>
    <w:rsid w:val="006C7F5A"/>
    <w:rsid w:val="006D0980"/>
    <w:rsid w:val="006D1EA5"/>
    <w:rsid w:val="006D28E2"/>
    <w:rsid w:val="006D2A0C"/>
    <w:rsid w:val="006D3967"/>
    <w:rsid w:val="006D466B"/>
    <w:rsid w:val="006D74DA"/>
    <w:rsid w:val="006E0178"/>
    <w:rsid w:val="006E1660"/>
    <w:rsid w:val="006E1BE1"/>
    <w:rsid w:val="006E2451"/>
    <w:rsid w:val="006E2967"/>
    <w:rsid w:val="006E364D"/>
    <w:rsid w:val="006E380D"/>
    <w:rsid w:val="006E416B"/>
    <w:rsid w:val="006E4940"/>
    <w:rsid w:val="006E5117"/>
    <w:rsid w:val="006E5B09"/>
    <w:rsid w:val="006E6BBF"/>
    <w:rsid w:val="006E6F68"/>
    <w:rsid w:val="006E7303"/>
    <w:rsid w:val="006E75F9"/>
    <w:rsid w:val="006F0BB4"/>
    <w:rsid w:val="006F0C4E"/>
    <w:rsid w:val="006F10C7"/>
    <w:rsid w:val="006F20A5"/>
    <w:rsid w:val="006F34B2"/>
    <w:rsid w:val="006F4BA5"/>
    <w:rsid w:val="006F5805"/>
    <w:rsid w:val="006F6B06"/>
    <w:rsid w:val="006F7172"/>
    <w:rsid w:val="006F7B75"/>
    <w:rsid w:val="00702D5D"/>
    <w:rsid w:val="0070308B"/>
    <w:rsid w:val="00705505"/>
    <w:rsid w:val="00705A75"/>
    <w:rsid w:val="00705BE7"/>
    <w:rsid w:val="007063FF"/>
    <w:rsid w:val="00706F77"/>
    <w:rsid w:val="00707037"/>
    <w:rsid w:val="007077C4"/>
    <w:rsid w:val="00707C40"/>
    <w:rsid w:val="0071050E"/>
    <w:rsid w:val="00710A19"/>
    <w:rsid w:val="00710B06"/>
    <w:rsid w:val="00710E58"/>
    <w:rsid w:val="00711025"/>
    <w:rsid w:val="007117CA"/>
    <w:rsid w:val="00711DCE"/>
    <w:rsid w:val="0071241C"/>
    <w:rsid w:val="00714940"/>
    <w:rsid w:val="00715781"/>
    <w:rsid w:val="00715CCA"/>
    <w:rsid w:val="007162EB"/>
    <w:rsid w:val="00716F18"/>
    <w:rsid w:val="00717475"/>
    <w:rsid w:val="00720480"/>
    <w:rsid w:val="00720807"/>
    <w:rsid w:val="00720A7F"/>
    <w:rsid w:val="00720C7C"/>
    <w:rsid w:val="00721973"/>
    <w:rsid w:val="00721D9F"/>
    <w:rsid w:val="007222F7"/>
    <w:rsid w:val="00723912"/>
    <w:rsid w:val="0072401B"/>
    <w:rsid w:val="00724C16"/>
    <w:rsid w:val="0072618D"/>
    <w:rsid w:val="00726AA6"/>
    <w:rsid w:val="00726FBC"/>
    <w:rsid w:val="007273AB"/>
    <w:rsid w:val="00727CE9"/>
    <w:rsid w:val="007308F3"/>
    <w:rsid w:val="00730C42"/>
    <w:rsid w:val="007318B3"/>
    <w:rsid w:val="00731FB3"/>
    <w:rsid w:val="00732E3D"/>
    <w:rsid w:val="007339A6"/>
    <w:rsid w:val="0073441B"/>
    <w:rsid w:val="00734CA3"/>
    <w:rsid w:val="00734E4B"/>
    <w:rsid w:val="007368D9"/>
    <w:rsid w:val="0073690B"/>
    <w:rsid w:val="00736D2D"/>
    <w:rsid w:val="0073728D"/>
    <w:rsid w:val="00737848"/>
    <w:rsid w:val="007408D5"/>
    <w:rsid w:val="00740F5F"/>
    <w:rsid w:val="00741606"/>
    <w:rsid w:val="00742DC1"/>
    <w:rsid w:val="007430A3"/>
    <w:rsid w:val="00743CBB"/>
    <w:rsid w:val="007454E7"/>
    <w:rsid w:val="00745529"/>
    <w:rsid w:val="00746185"/>
    <w:rsid w:val="00746E1E"/>
    <w:rsid w:val="007502CC"/>
    <w:rsid w:val="007505D3"/>
    <w:rsid w:val="00750ED1"/>
    <w:rsid w:val="00751517"/>
    <w:rsid w:val="0075151F"/>
    <w:rsid w:val="00753593"/>
    <w:rsid w:val="00754379"/>
    <w:rsid w:val="007544B2"/>
    <w:rsid w:val="00755C86"/>
    <w:rsid w:val="00756FA7"/>
    <w:rsid w:val="00757645"/>
    <w:rsid w:val="007615ED"/>
    <w:rsid w:val="00761BCE"/>
    <w:rsid w:val="00763216"/>
    <w:rsid w:val="007633BD"/>
    <w:rsid w:val="007633F4"/>
    <w:rsid w:val="00763B98"/>
    <w:rsid w:val="00763DE4"/>
    <w:rsid w:val="0076403E"/>
    <w:rsid w:val="007640A1"/>
    <w:rsid w:val="0076431D"/>
    <w:rsid w:val="0076452F"/>
    <w:rsid w:val="00764CC4"/>
    <w:rsid w:val="00765834"/>
    <w:rsid w:val="00765CB1"/>
    <w:rsid w:val="007660D6"/>
    <w:rsid w:val="007661A4"/>
    <w:rsid w:val="00766560"/>
    <w:rsid w:val="00766694"/>
    <w:rsid w:val="007670B7"/>
    <w:rsid w:val="00767F0E"/>
    <w:rsid w:val="00767F66"/>
    <w:rsid w:val="0077015E"/>
    <w:rsid w:val="007701B4"/>
    <w:rsid w:val="00772965"/>
    <w:rsid w:val="00773AF6"/>
    <w:rsid w:val="00774461"/>
    <w:rsid w:val="0077488B"/>
    <w:rsid w:val="00774F3C"/>
    <w:rsid w:val="007772A1"/>
    <w:rsid w:val="007777EA"/>
    <w:rsid w:val="00777C0C"/>
    <w:rsid w:val="00777D26"/>
    <w:rsid w:val="0078030B"/>
    <w:rsid w:val="00780DB8"/>
    <w:rsid w:val="00781DF5"/>
    <w:rsid w:val="00782B6F"/>
    <w:rsid w:val="00782DC4"/>
    <w:rsid w:val="00783636"/>
    <w:rsid w:val="007839AC"/>
    <w:rsid w:val="00783D4B"/>
    <w:rsid w:val="00785F74"/>
    <w:rsid w:val="00787D8A"/>
    <w:rsid w:val="007917BA"/>
    <w:rsid w:val="007918CA"/>
    <w:rsid w:val="00791ECD"/>
    <w:rsid w:val="007924B1"/>
    <w:rsid w:val="00792D19"/>
    <w:rsid w:val="00793ECD"/>
    <w:rsid w:val="00795C86"/>
    <w:rsid w:val="00796F8B"/>
    <w:rsid w:val="00797F07"/>
    <w:rsid w:val="007A07EE"/>
    <w:rsid w:val="007A0C85"/>
    <w:rsid w:val="007A0CEF"/>
    <w:rsid w:val="007A0DF6"/>
    <w:rsid w:val="007A1430"/>
    <w:rsid w:val="007A26A0"/>
    <w:rsid w:val="007A26F8"/>
    <w:rsid w:val="007A2BA1"/>
    <w:rsid w:val="007A4DAB"/>
    <w:rsid w:val="007A567F"/>
    <w:rsid w:val="007A5831"/>
    <w:rsid w:val="007A66BC"/>
    <w:rsid w:val="007A67B7"/>
    <w:rsid w:val="007A70C3"/>
    <w:rsid w:val="007B01C8"/>
    <w:rsid w:val="007B1C94"/>
    <w:rsid w:val="007B3026"/>
    <w:rsid w:val="007B3915"/>
    <w:rsid w:val="007B4163"/>
    <w:rsid w:val="007B41BD"/>
    <w:rsid w:val="007B49AE"/>
    <w:rsid w:val="007B5266"/>
    <w:rsid w:val="007B548F"/>
    <w:rsid w:val="007B62C2"/>
    <w:rsid w:val="007B6882"/>
    <w:rsid w:val="007B6D21"/>
    <w:rsid w:val="007C0686"/>
    <w:rsid w:val="007C0913"/>
    <w:rsid w:val="007C0E30"/>
    <w:rsid w:val="007C2D48"/>
    <w:rsid w:val="007C32D1"/>
    <w:rsid w:val="007C538F"/>
    <w:rsid w:val="007C619F"/>
    <w:rsid w:val="007C65E4"/>
    <w:rsid w:val="007D05E7"/>
    <w:rsid w:val="007D1337"/>
    <w:rsid w:val="007D15C9"/>
    <w:rsid w:val="007D28A9"/>
    <w:rsid w:val="007D3C2A"/>
    <w:rsid w:val="007D3DEF"/>
    <w:rsid w:val="007D5778"/>
    <w:rsid w:val="007D5990"/>
    <w:rsid w:val="007D5F7A"/>
    <w:rsid w:val="007D65AC"/>
    <w:rsid w:val="007D747B"/>
    <w:rsid w:val="007D7D47"/>
    <w:rsid w:val="007E1808"/>
    <w:rsid w:val="007E1B53"/>
    <w:rsid w:val="007E1BA9"/>
    <w:rsid w:val="007E1C4B"/>
    <w:rsid w:val="007E354C"/>
    <w:rsid w:val="007E4A8F"/>
    <w:rsid w:val="007E519D"/>
    <w:rsid w:val="007E6A2F"/>
    <w:rsid w:val="007E71AE"/>
    <w:rsid w:val="007F033A"/>
    <w:rsid w:val="007F100C"/>
    <w:rsid w:val="007F1D46"/>
    <w:rsid w:val="007F1D6B"/>
    <w:rsid w:val="007F2437"/>
    <w:rsid w:val="007F2E14"/>
    <w:rsid w:val="007F42B6"/>
    <w:rsid w:val="007F6344"/>
    <w:rsid w:val="007F6AC3"/>
    <w:rsid w:val="007F78AA"/>
    <w:rsid w:val="007F79FF"/>
    <w:rsid w:val="008006D3"/>
    <w:rsid w:val="0080196B"/>
    <w:rsid w:val="00802587"/>
    <w:rsid w:val="00803245"/>
    <w:rsid w:val="008040C5"/>
    <w:rsid w:val="00804EB2"/>
    <w:rsid w:val="00807025"/>
    <w:rsid w:val="008076B3"/>
    <w:rsid w:val="00807902"/>
    <w:rsid w:val="008102AB"/>
    <w:rsid w:val="00810651"/>
    <w:rsid w:val="008108E3"/>
    <w:rsid w:val="00810921"/>
    <w:rsid w:val="0081188E"/>
    <w:rsid w:val="00811B3C"/>
    <w:rsid w:val="00811DC4"/>
    <w:rsid w:val="00811DF9"/>
    <w:rsid w:val="00812A30"/>
    <w:rsid w:val="00813E8C"/>
    <w:rsid w:val="00814DA6"/>
    <w:rsid w:val="008152B8"/>
    <w:rsid w:val="00815CCF"/>
    <w:rsid w:val="008167C8"/>
    <w:rsid w:val="00817D66"/>
    <w:rsid w:val="008205E3"/>
    <w:rsid w:val="0082088C"/>
    <w:rsid w:val="00820963"/>
    <w:rsid w:val="00821E4A"/>
    <w:rsid w:val="00821F25"/>
    <w:rsid w:val="0082215E"/>
    <w:rsid w:val="00822D9A"/>
    <w:rsid w:val="00823CA3"/>
    <w:rsid w:val="008261BF"/>
    <w:rsid w:val="0082664B"/>
    <w:rsid w:val="00826C27"/>
    <w:rsid w:val="00827052"/>
    <w:rsid w:val="00827089"/>
    <w:rsid w:val="00827AFD"/>
    <w:rsid w:val="0083046E"/>
    <w:rsid w:val="0083319E"/>
    <w:rsid w:val="00833425"/>
    <w:rsid w:val="008357AE"/>
    <w:rsid w:val="0083590E"/>
    <w:rsid w:val="00835D21"/>
    <w:rsid w:val="00836DFE"/>
    <w:rsid w:val="00841EEB"/>
    <w:rsid w:val="00843E40"/>
    <w:rsid w:val="0084508A"/>
    <w:rsid w:val="008458C5"/>
    <w:rsid w:val="00845DA6"/>
    <w:rsid w:val="00845DB8"/>
    <w:rsid w:val="00846518"/>
    <w:rsid w:val="00850538"/>
    <w:rsid w:val="00852517"/>
    <w:rsid w:val="00852841"/>
    <w:rsid w:val="00853578"/>
    <w:rsid w:val="0085388B"/>
    <w:rsid w:val="00853DC8"/>
    <w:rsid w:val="00854385"/>
    <w:rsid w:val="00856333"/>
    <w:rsid w:val="008569DF"/>
    <w:rsid w:val="00856B26"/>
    <w:rsid w:val="00857A8E"/>
    <w:rsid w:val="008611F8"/>
    <w:rsid w:val="0086184C"/>
    <w:rsid w:val="00863B76"/>
    <w:rsid w:val="008647E9"/>
    <w:rsid w:val="008660B8"/>
    <w:rsid w:val="0087014A"/>
    <w:rsid w:val="00870416"/>
    <w:rsid w:val="00870FFF"/>
    <w:rsid w:val="008710AB"/>
    <w:rsid w:val="008712D2"/>
    <w:rsid w:val="008714ED"/>
    <w:rsid w:val="00872FAC"/>
    <w:rsid w:val="00874146"/>
    <w:rsid w:val="008741FF"/>
    <w:rsid w:val="008753AF"/>
    <w:rsid w:val="008759B6"/>
    <w:rsid w:val="00877391"/>
    <w:rsid w:val="008773B3"/>
    <w:rsid w:val="008811BC"/>
    <w:rsid w:val="00883347"/>
    <w:rsid w:val="008834F9"/>
    <w:rsid w:val="00883FD1"/>
    <w:rsid w:val="008846A9"/>
    <w:rsid w:val="00884712"/>
    <w:rsid w:val="00885CEC"/>
    <w:rsid w:val="0088672B"/>
    <w:rsid w:val="00886967"/>
    <w:rsid w:val="008873AF"/>
    <w:rsid w:val="00890284"/>
    <w:rsid w:val="00891991"/>
    <w:rsid w:val="00891E71"/>
    <w:rsid w:val="008924A6"/>
    <w:rsid w:val="0089250E"/>
    <w:rsid w:val="00892D82"/>
    <w:rsid w:val="00894044"/>
    <w:rsid w:val="008944A6"/>
    <w:rsid w:val="00894733"/>
    <w:rsid w:val="0089495F"/>
    <w:rsid w:val="008952C2"/>
    <w:rsid w:val="008972A5"/>
    <w:rsid w:val="00897A52"/>
    <w:rsid w:val="008A0F47"/>
    <w:rsid w:val="008A1387"/>
    <w:rsid w:val="008A19E1"/>
    <w:rsid w:val="008A24D1"/>
    <w:rsid w:val="008A36E1"/>
    <w:rsid w:val="008A3996"/>
    <w:rsid w:val="008A4020"/>
    <w:rsid w:val="008A54AF"/>
    <w:rsid w:val="008A6BD6"/>
    <w:rsid w:val="008A6EBB"/>
    <w:rsid w:val="008B13A2"/>
    <w:rsid w:val="008B2BC9"/>
    <w:rsid w:val="008B3657"/>
    <w:rsid w:val="008B47DC"/>
    <w:rsid w:val="008B52E8"/>
    <w:rsid w:val="008C0081"/>
    <w:rsid w:val="008C0AAC"/>
    <w:rsid w:val="008C2683"/>
    <w:rsid w:val="008C3093"/>
    <w:rsid w:val="008C3D4E"/>
    <w:rsid w:val="008C4000"/>
    <w:rsid w:val="008C4157"/>
    <w:rsid w:val="008C4EB8"/>
    <w:rsid w:val="008C596D"/>
    <w:rsid w:val="008C5ACB"/>
    <w:rsid w:val="008C5F9D"/>
    <w:rsid w:val="008C624E"/>
    <w:rsid w:val="008C669F"/>
    <w:rsid w:val="008C6D8C"/>
    <w:rsid w:val="008C7B54"/>
    <w:rsid w:val="008D36EC"/>
    <w:rsid w:val="008D37DB"/>
    <w:rsid w:val="008D4267"/>
    <w:rsid w:val="008D449D"/>
    <w:rsid w:val="008D4BFE"/>
    <w:rsid w:val="008D4C51"/>
    <w:rsid w:val="008D5766"/>
    <w:rsid w:val="008D7422"/>
    <w:rsid w:val="008D789B"/>
    <w:rsid w:val="008E07D9"/>
    <w:rsid w:val="008E0F58"/>
    <w:rsid w:val="008E1258"/>
    <w:rsid w:val="008E1877"/>
    <w:rsid w:val="008E20C4"/>
    <w:rsid w:val="008E318D"/>
    <w:rsid w:val="008E42BE"/>
    <w:rsid w:val="008E437B"/>
    <w:rsid w:val="008E44B1"/>
    <w:rsid w:val="008E65D4"/>
    <w:rsid w:val="008E68E4"/>
    <w:rsid w:val="008E6C3A"/>
    <w:rsid w:val="008E7D35"/>
    <w:rsid w:val="008E7E12"/>
    <w:rsid w:val="008F1341"/>
    <w:rsid w:val="008F2FA1"/>
    <w:rsid w:val="008F31D4"/>
    <w:rsid w:val="008F4282"/>
    <w:rsid w:val="008F46F1"/>
    <w:rsid w:val="008F4720"/>
    <w:rsid w:val="008F4C49"/>
    <w:rsid w:val="008F5F9B"/>
    <w:rsid w:val="008F68EE"/>
    <w:rsid w:val="008F6E0A"/>
    <w:rsid w:val="00900E5B"/>
    <w:rsid w:val="00900F4F"/>
    <w:rsid w:val="00900F78"/>
    <w:rsid w:val="0090101E"/>
    <w:rsid w:val="009020C4"/>
    <w:rsid w:val="00902E34"/>
    <w:rsid w:val="009047E7"/>
    <w:rsid w:val="00904ACB"/>
    <w:rsid w:val="00904B17"/>
    <w:rsid w:val="00904BB3"/>
    <w:rsid w:val="00905B38"/>
    <w:rsid w:val="00906221"/>
    <w:rsid w:val="00907DE5"/>
    <w:rsid w:val="0091007A"/>
    <w:rsid w:val="0091155B"/>
    <w:rsid w:val="00911C16"/>
    <w:rsid w:val="0091221A"/>
    <w:rsid w:val="009123E4"/>
    <w:rsid w:val="00912449"/>
    <w:rsid w:val="00912A32"/>
    <w:rsid w:val="0091465B"/>
    <w:rsid w:val="00914B95"/>
    <w:rsid w:val="0091505F"/>
    <w:rsid w:val="0091540D"/>
    <w:rsid w:val="009163CD"/>
    <w:rsid w:val="00916A1E"/>
    <w:rsid w:val="00916B2B"/>
    <w:rsid w:val="00916DAD"/>
    <w:rsid w:val="009176F8"/>
    <w:rsid w:val="009176FC"/>
    <w:rsid w:val="00920BF1"/>
    <w:rsid w:val="00920EB3"/>
    <w:rsid w:val="009211BF"/>
    <w:rsid w:val="00921404"/>
    <w:rsid w:val="00922092"/>
    <w:rsid w:val="0092353D"/>
    <w:rsid w:val="009235C8"/>
    <w:rsid w:val="00923A5C"/>
    <w:rsid w:val="0092490C"/>
    <w:rsid w:val="00925C5A"/>
    <w:rsid w:val="009270FC"/>
    <w:rsid w:val="00930D19"/>
    <w:rsid w:val="00931773"/>
    <w:rsid w:val="00935518"/>
    <w:rsid w:val="009356D4"/>
    <w:rsid w:val="00940532"/>
    <w:rsid w:val="00940DDF"/>
    <w:rsid w:val="009417FA"/>
    <w:rsid w:val="00941CE4"/>
    <w:rsid w:val="0094207F"/>
    <w:rsid w:val="0094264B"/>
    <w:rsid w:val="009435DC"/>
    <w:rsid w:val="00943B8C"/>
    <w:rsid w:val="00943F5C"/>
    <w:rsid w:val="0094410E"/>
    <w:rsid w:val="00944F09"/>
    <w:rsid w:val="00945297"/>
    <w:rsid w:val="00946F40"/>
    <w:rsid w:val="00947186"/>
    <w:rsid w:val="00947230"/>
    <w:rsid w:val="00947C86"/>
    <w:rsid w:val="009500BC"/>
    <w:rsid w:val="0095208E"/>
    <w:rsid w:val="00952846"/>
    <w:rsid w:val="0095286E"/>
    <w:rsid w:val="0095372D"/>
    <w:rsid w:val="009537D9"/>
    <w:rsid w:val="009551D2"/>
    <w:rsid w:val="00955216"/>
    <w:rsid w:val="00955C00"/>
    <w:rsid w:val="00955E7C"/>
    <w:rsid w:val="009570A6"/>
    <w:rsid w:val="00960935"/>
    <w:rsid w:val="00960A47"/>
    <w:rsid w:val="0096118A"/>
    <w:rsid w:val="00962A54"/>
    <w:rsid w:val="00962D3D"/>
    <w:rsid w:val="009636BC"/>
    <w:rsid w:val="00963AB8"/>
    <w:rsid w:val="0096425F"/>
    <w:rsid w:val="00964CDB"/>
    <w:rsid w:val="0096674B"/>
    <w:rsid w:val="00966A2A"/>
    <w:rsid w:val="00966D05"/>
    <w:rsid w:val="00966E93"/>
    <w:rsid w:val="0096769B"/>
    <w:rsid w:val="00970A91"/>
    <w:rsid w:val="00971057"/>
    <w:rsid w:val="00971833"/>
    <w:rsid w:val="00971921"/>
    <w:rsid w:val="009720A5"/>
    <w:rsid w:val="0097258C"/>
    <w:rsid w:val="00972A41"/>
    <w:rsid w:val="00973522"/>
    <w:rsid w:val="00974CF3"/>
    <w:rsid w:val="009758F5"/>
    <w:rsid w:val="00976274"/>
    <w:rsid w:val="009763D8"/>
    <w:rsid w:val="00976DE7"/>
    <w:rsid w:val="00976EEF"/>
    <w:rsid w:val="009773BE"/>
    <w:rsid w:val="00977CCA"/>
    <w:rsid w:val="009835C0"/>
    <w:rsid w:val="00983ACA"/>
    <w:rsid w:val="00985096"/>
    <w:rsid w:val="0098535F"/>
    <w:rsid w:val="00987218"/>
    <w:rsid w:val="00987751"/>
    <w:rsid w:val="00987DBB"/>
    <w:rsid w:val="009903C6"/>
    <w:rsid w:val="009906F1"/>
    <w:rsid w:val="00990F8C"/>
    <w:rsid w:val="00990FBF"/>
    <w:rsid w:val="009927B7"/>
    <w:rsid w:val="00993169"/>
    <w:rsid w:val="00993373"/>
    <w:rsid w:val="00996703"/>
    <w:rsid w:val="00997652"/>
    <w:rsid w:val="00997A7B"/>
    <w:rsid w:val="009A07E1"/>
    <w:rsid w:val="009A08B6"/>
    <w:rsid w:val="009A09FF"/>
    <w:rsid w:val="009A0E61"/>
    <w:rsid w:val="009A10CB"/>
    <w:rsid w:val="009A17DA"/>
    <w:rsid w:val="009A25F6"/>
    <w:rsid w:val="009A42E1"/>
    <w:rsid w:val="009A4934"/>
    <w:rsid w:val="009A4D69"/>
    <w:rsid w:val="009A51BA"/>
    <w:rsid w:val="009A5546"/>
    <w:rsid w:val="009A6189"/>
    <w:rsid w:val="009A69F8"/>
    <w:rsid w:val="009A6CEB"/>
    <w:rsid w:val="009A73C7"/>
    <w:rsid w:val="009A7A64"/>
    <w:rsid w:val="009B0BF1"/>
    <w:rsid w:val="009B16AD"/>
    <w:rsid w:val="009B1739"/>
    <w:rsid w:val="009B2CBA"/>
    <w:rsid w:val="009B3077"/>
    <w:rsid w:val="009B33D7"/>
    <w:rsid w:val="009B37A1"/>
    <w:rsid w:val="009B51DA"/>
    <w:rsid w:val="009B580E"/>
    <w:rsid w:val="009B5A50"/>
    <w:rsid w:val="009B62AC"/>
    <w:rsid w:val="009B67BE"/>
    <w:rsid w:val="009B72D9"/>
    <w:rsid w:val="009B7329"/>
    <w:rsid w:val="009B74AE"/>
    <w:rsid w:val="009B7C12"/>
    <w:rsid w:val="009B7EC7"/>
    <w:rsid w:val="009C1163"/>
    <w:rsid w:val="009C19E3"/>
    <w:rsid w:val="009C1A26"/>
    <w:rsid w:val="009C1FF3"/>
    <w:rsid w:val="009C2175"/>
    <w:rsid w:val="009C24E5"/>
    <w:rsid w:val="009C2DF4"/>
    <w:rsid w:val="009C46D5"/>
    <w:rsid w:val="009C4BF9"/>
    <w:rsid w:val="009C56CC"/>
    <w:rsid w:val="009C74DD"/>
    <w:rsid w:val="009C7DE7"/>
    <w:rsid w:val="009C7E39"/>
    <w:rsid w:val="009D0723"/>
    <w:rsid w:val="009D1324"/>
    <w:rsid w:val="009D48DD"/>
    <w:rsid w:val="009D505B"/>
    <w:rsid w:val="009D5837"/>
    <w:rsid w:val="009D5D15"/>
    <w:rsid w:val="009D678A"/>
    <w:rsid w:val="009D6E83"/>
    <w:rsid w:val="009D7FAD"/>
    <w:rsid w:val="009E0AC8"/>
    <w:rsid w:val="009E2133"/>
    <w:rsid w:val="009E2A11"/>
    <w:rsid w:val="009E2C9F"/>
    <w:rsid w:val="009E31B9"/>
    <w:rsid w:val="009E3594"/>
    <w:rsid w:val="009E3679"/>
    <w:rsid w:val="009E3AEA"/>
    <w:rsid w:val="009E3C9C"/>
    <w:rsid w:val="009E4030"/>
    <w:rsid w:val="009E5272"/>
    <w:rsid w:val="009E542C"/>
    <w:rsid w:val="009E652D"/>
    <w:rsid w:val="009E6E55"/>
    <w:rsid w:val="009E75BB"/>
    <w:rsid w:val="009E7A30"/>
    <w:rsid w:val="009E7A69"/>
    <w:rsid w:val="009F07A6"/>
    <w:rsid w:val="009F0BAC"/>
    <w:rsid w:val="009F0E56"/>
    <w:rsid w:val="009F1E64"/>
    <w:rsid w:val="009F36B9"/>
    <w:rsid w:val="009F5018"/>
    <w:rsid w:val="009F6078"/>
    <w:rsid w:val="009F61EC"/>
    <w:rsid w:val="009F77EA"/>
    <w:rsid w:val="009F7F27"/>
    <w:rsid w:val="009F7F2C"/>
    <w:rsid w:val="00A0008D"/>
    <w:rsid w:val="00A002C5"/>
    <w:rsid w:val="00A0050E"/>
    <w:rsid w:val="00A00611"/>
    <w:rsid w:val="00A00B29"/>
    <w:rsid w:val="00A017A2"/>
    <w:rsid w:val="00A021DD"/>
    <w:rsid w:val="00A02E30"/>
    <w:rsid w:val="00A02F39"/>
    <w:rsid w:val="00A02FB7"/>
    <w:rsid w:val="00A03641"/>
    <w:rsid w:val="00A03686"/>
    <w:rsid w:val="00A054F7"/>
    <w:rsid w:val="00A05531"/>
    <w:rsid w:val="00A05D9A"/>
    <w:rsid w:val="00A063BE"/>
    <w:rsid w:val="00A0692B"/>
    <w:rsid w:val="00A1240A"/>
    <w:rsid w:val="00A12C78"/>
    <w:rsid w:val="00A1383F"/>
    <w:rsid w:val="00A143A3"/>
    <w:rsid w:val="00A14D50"/>
    <w:rsid w:val="00A15297"/>
    <w:rsid w:val="00A20E33"/>
    <w:rsid w:val="00A21114"/>
    <w:rsid w:val="00A2136F"/>
    <w:rsid w:val="00A226B8"/>
    <w:rsid w:val="00A25110"/>
    <w:rsid w:val="00A26942"/>
    <w:rsid w:val="00A27E4F"/>
    <w:rsid w:val="00A3060B"/>
    <w:rsid w:val="00A3069E"/>
    <w:rsid w:val="00A3181A"/>
    <w:rsid w:val="00A31C46"/>
    <w:rsid w:val="00A32C85"/>
    <w:rsid w:val="00A336A0"/>
    <w:rsid w:val="00A36933"/>
    <w:rsid w:val="00A36A9B"/>
    <w:rsid w:val="00A36C8D"/>
    <w:rsid w:val="00A370F2"/>
    <w:rsid w:val="00A4148D"/>
    <w:rsid w:val="00A41AE0"/>
    <w:rsid w:val="00A42B54"/>
    <w:rsid w:val="00A433C4"/>
    <w:rsid w:val="00A43A7C"/>
    <w:rsid w:val="00A51294"/>
    <w:rsid w:val="00A514A5"/>
    <w:rsid w:val="00A52941"/>
    <w:rsid w:val="00A55AF1"/>
    <w:rsid w:val="00A55B7F"/>
    <w:rsid w:val="00A5717F"/>
    <w:rsid w:val="00A5785C"/>
    <w:rsid w:val="00A57B28"/>
    <w:rsid w:val="00A604B5"/>
    <w:rsid w:val="00A60820"/>
    <w:rsid w:val="00A60F14"/>
    <w:rsid w:val="00A62DA1"/>
    <w:rsid w:val="00A63844"/>
    <w:rsid w:val="00A63AB1"/>
    <w:rsid w:val="00A64882"/>
    <w:rsid w:val="00A6596F"/>
    <w:rsid w:val="00A65FF7"/>
    <w:rsid w:val="00A6679D"/>
    <w:rsid w:val="00A66CAD"/>
    <w:rsid w:val="00A66CF7"/>
    <w:rsid w:val="00A66D87"/>
    <w:rsid w:val="00A66D90"/>
    <w:rsid w:val="00A70196"/>
    <w:rsid w:val="00A702E0"/>
    <w:rsid w:val="00A706B2"/>
    <w:rsid w:val="00A71736"/>
    <w:rsid w:val="00A719D2"/>
    <w:rsid w:val="00A71D3D"/>
    <w:rsid w:val="00A7200A"/>
    <w:rsid w:val="00A720A9"/>
    <w:rsid w:val="00A72989"/>
    <w:rsid w:val="00A72CC5"/>
    <w:rsid w:val="00A72DEC"/>
    <w:rsid w:val="00A735AE"/>
    <w:rsid w:val="00A736FD"/>
    <w:rsid w:val="00A748F6"/>
    <w:rsid w:val="00A7531C"/>
    <w:rsid w:val="00A76182"/>
    <w:rsid w:val="00A80B10"/>
    <w:rsid w:val="00A80EDC"/>
    <w:rsid w:val="00A8127A"/>
    <w:rsid w:val="00A8236B"/>
    <w:rsid w:val="00A82691"/>
    <w:rsid w:val="00A82938"/>
    <w:rsid w:val="00A838C2"/>
    <w:rsid w:val="00A83965"/>
    <w:rsid w:val="00A848D5"/>
    <w:rsid w:val="00A84C9B"/>
    <w:rsid w:val="00A851A2"/>
    <w:rsid w:val="00A854E1"/>
    <w:rsid w:val="00A85880"/>
    <w:rsid w:val="00A859FD"/>
    <w:rsid w:val="00A861FF"/>
    <w:rsid w:val="00A87670"/>
    <w:rsid w:val="00A87CEF"/>
    <w:rsid w:val="00A9032B"/>
    <w:rsid w:val="00A918D3"/>
    <w:rsid w:val="00A92880"/>
    <w:rsid w:val="00A94B20"/>
    <w:rsid w:val="00A9511D"/>
    <w:rsid w:val="00A95210"/>
    <w:rsid w:val="00A954A8"/>
    <w:rsid w:val="00A956DF"/>
    <w:rsid w:val="00A964AA"/>
    <w:rsid w:val="00A967AA"/>
    <w:rsid w:val="00A9708F"/>
    <w:rsid w:val="00A97AC9"/>
    <w:rsid w:val="00A97BA3"/>
    <w:rsid w:val="00AA1CC9"/>
    <w:rsid w:val="00AA2A38"/>
    <w:rsid w:val="00AA2CAD"/>
    <w:rsid w:val="00AA3011"/>
    <w:rsid w:val="00AA3114"/>
    <w:rsid w:val="00AA4366"/>
    <w:rsid w:val="00AA648B"/>
    <w:rsid w:val="00AA671D"/>
    <w:rsid w:val="00AA6808"/>
    <w:rsid w:val="00AA7750"/>
    <w:rsid w:val="00AA77D1"/>
    <w:rsid w:val="00AA7B87"/>
    <w:rsid w:val="00AB033B"/>
    <w:rsid w:val="00AB0E81"/>
    <w:rsid w:val="00AB3150"/>
    <w:rsid w:val="00AB5030"/>
    <w:rsid w:val="00AB6F09"/>
    <w:rsid w:val="00AB74AC"/>
    <w:rsid w:val="00AC19F6"/>
    <w:rsid w:val="00AC2B62"/>
    <w:rsid w:val="00AC4F56"/>
    <w:rsid w:val="00AC5161"/>
    <w:rsid w:val="00AC5DAB"/>
    <w:rsid w:val="00AC5F9F"/>
    <w:rsid w:val="00AC5FB3"/>
    <w:rsid w:val="00AC705E"/>
    <w:rsid w:val="00AC724B"/>
    <w:rsid w:val="00AC7ACF"/>
    <w:rsid w:val="00AD1B8B"/>
    <w:rsid w:val="00AD255F"/>
    <w:rsid w:val="00AD2E18"/>
    <w:rsid w:val="00AD3295"/>
    <w:rsid w:val="00AD3E67"/>
    <w:rsid w:val="00AD3E6B"/>
    <w:rsid w:val="00AD4051"/>
    <w:rsid w:val="00AD50E7"/>
    <w:rsid w:val="00AD70D1"/>
    <w:rsid w:val="00AE0555"/>
    <w:rsid w:val="00AE0E0E"/>
    <w:rsid w:val="00AE19BC"/>
    <w:rsid w:val="00AE26B5"/>
    <w:rsid w:val="00AE3375"/>
    <w:rsid w:val="00AE3A34"/>
    <w:rsid w:val="00AE3AAE"/>
    <w:rsid w:val="00AE61B3"/>
    <w:rsid w:val="00AE7915"/>
    <w:rsid w:val="00AE7C96"/>
    <w:rsid w:val="00AF05CF"/>
    <w:rsid w:val="00AF0606"/>
    <w:rsid w:val="00AF1456"/>
    <w:rsid w:val="00AF1630"/>
    <w:rsid w:val="00AF1A3D"/>
    <w:rsid w:val="00AF37FF"/>
    <w:rsid w:val="00AF3BA9"/>
    <w:rsid w:val="00AF3CA6"/>
    <w:rsid w:val="00AF3E48"/>
    <w:rsid w:val="00AF46F8"/>
    <w:rsid w:val="00AF47A4"/>
    <w:rsid w:val="00AF589A"/>
    <w:rsid w:val="00AF5C69"/>
    <w:rsid w:val="00AF6CB0"/>
    <w:rsid w:val="00B00ABD"/>
    <w:rsid w:val="00B00BEA"/>
    <w:rsid w:val="00B010EC"/>
    <w:rsid w:val="00B01C14"/>
    <w:rsid w:val="00B026C7"/>
    <w:rsid w:val="00B02D15"/>
    <w:rsid w:val="00B040C1"/>
    <w:rsid w:val="00B048D1"/>
    <w:rsid w:val="00B04C50"/>
    <w:rsid w:val="00B052FC"/>
    <w:rsid w:val="00B07234"/>
    <w:rsid w:val="00B07B69"/>
    <w:rsid w:val="00B104A2"/>
    <w:rsid w:val="00B109EF"/>
    <w:rsid w:val="00B11A5C"/>
    <w:rsid w:val="00B12679"/>
    <w:rsid w:val="00B1278E"/>
    <w:rsid w:val="00B12B8E"/>
    <w:rsid w:val="00B13FE9"/>
    <w:rsid w:val="00B14F30"/>
    <w:rsid w:val="00B15742"/>
    <w:rsid w:val="00B16B1D"/>
    <w:rsid w:val="00B1706A"/>
    <w:rsid w:val="00B17541"/>
    <w:rsid w:val="00B178E0"/>
    <w:rsid w:val="00B179FD"/>
    <w:rsid w:val="00B17ED5"/>
    <w:rsid w:val="00B20EF9"/>
    <w:rsid w:val="00B22A30"/>
    <w:rsid w:val="00B23046"/>
    <w:rsid w:val="00B242D3"/>
    <w:rsid w:val="00B24675"/>
    <w:rsid w:val="00B24E01"/>
    <w:rsid w:val="00B2535D"/>
    <w:rsid w:val="00B25C06"/>
    <w:rsid w:val="00B262EF"/>
    <w:rsid w:val="00B2680F"/>
    <w:rsid w:val="00B2686A"/>
    <w:rsid w:val="00B314A4"/>
    <w:rsid w:val="00B31752"/>
    <w:rsid w:val="00B3181F"/>
    <w:rsid w:val="00B31947"/>
    <w:rsid w:val="00B32A2C"/>
    <w:rsid w:val="00B331AF"/>
    <w:rsid w:val="00B336B9"/>
    <w:rsid w:val="00B33936"/>
    <w:rsid w:val="00B33CD7"/>
    <w:rsid w:val="00B34442"/>
    <w:rsid w:val="00B34C02"/>
    <w:rsid w:val="00B36D96"/>
    <w:rsid w:val="00B3752C"/>
    <w:rsid w:val="00B37EE3"/>
    <w:rsid w:val="00B40299"/>
    <w:rsid w:val="00B40E05"/>
    <w:rsid w:val="00B40FA4"/>
    <w:rsid w:val="00B42370"/>
    <w:rsid w:val="00B4275A"/>
    <w:rsid w:val="00B42820"/>
    <w:rsid w:val="00B42F8A"/>
    <w:rsid w:val="00B4315C"/>
    <w:rsid w:val="00B4390A"/>
    <w:rsid w:val="00B44160"/>
    <w:rsid w:val="00B4490C"/>
    <w:rsid w:val="00B46382"/>
    <w:rsid w:val="00B4743B"/>
    <w:rsid w:val="00B47E15"/>
    <w:rsid w:val="00B503A8"/>
    <w:rsid w:val="00B503FC"/>
    <w:rsid w:val="00B506A8"/>
    <w:rsid w:val="00B5150B"/>
    <w:rsid w:val="00B51796"/>
    <w:rsid w:val="00B517C1"/>
    <w:rsid w:val="00B5204F"/>
    <w:rsid w:val="00B52F89"/>
    <w:rsid w:val="00B5412A"/>
    <w:rsid w:val="00B54551"/>
    <w:rsid w:val="00B54EBF"/>
    <w:rsid w:val="00B550C4"/>
    <w:rsid w:val="00B55576"/>
    <w:rsid w:val="00B556A6"/>
    <w:rsid w:val="00B55DE7"/>
    <w:rsid w:val="00B55F92"/>
    <w:rsid w:val="00B56931"/>
    <w:rsid w:val="00B56AD8"/>
    <w:rsid w:val="00B56E1B"/>
    <w:rsid w:val="00B60A1E"/>
    <w:rsid w:val="00B60B79"/>
    <w:rsid w:val="00B613C6"/>
    <w:rsid w:val="00B62D98"/>
    <w:rsid w:val="00B63744"/>
    <w:rsid w:val="00B63858"/>
    <w:rsid w:val="00B64BB8"/>
    <w:rsid w:val="00B65720"/>
    <w:rsid w:val="00B66142"/>
    <w:rsid w:val="00B663D7"/>
    <w:rsid w:val="00B66CFA"/>
    <w:rsid w:val="00B70862"/>
    <w:rsid w:val="00B717EA"/>
    <w:rsid w:val="00B7181F"/>
    <w:rsid w:val="00B723E6"/>
    <w:rsid w:val="00B72893"/>
    <w:rsid w:val="00B732CF"/>
    <w:rsid w:val="00B73679"/>
    <w:rsid w:val="00B73EE1"/>
    <w:rsid w:val="00B74950"/>
    <w:rsid w:val="00B74C04"/>
    <w:rsid w:val="00B751E5"/>
    <w:rsid w:val="00B752B7"/>
    <w:rsid w:val="00B75F8E"/>
    <w:rsid w:val="00B76D19"/>
    <w:rsid w:val="00B76D5B"/>
    <w:rsid w:val="00B7774E"/>
    <w:rsid w:val="00B8076B"/>
    <w:rsid w:val="00B810F9"/>
    <w:rsid w:val="00B81BE3"/>
    <w:rsid w:val="00B82083"/>
    <w:rsid w:val="00B8280D"/>
    <w:rsid w:val="00B82C8D"/>
    <w:rsid w:val="00B82C9A"/>
    <w:rsid w:val="00B836DD"/>
    <w:rsid w:val="00B83762"/>
    <w:rsid w:val="00B83B22"/>
    <w:rsid w:val="00B852A8"/>
    <w:rsid w:val="00B859C4"/>
    <w:rsid w:val="00B86014"/>
    <w:rsid w:val="00B86849"/>
    <w:rsid w:val="00B86F2D"/>
    <w:rsid w:val="00B879E6"/>
    <w:rsid w:val="00B90076"/>
    <w:rsid w:val="00B90532"/>
    <w:rsid w:val="00B90F98"/>
    <w:rsid w:val="00B91CE8"/>
    <w:rsid w:val="00B91D73"/>
    <w:rsid w:val="00B930B8"/>
    <w:rsid w:val="00B9356D"/>
    <w:rsid w:val="00B93C2D"/>
    <w:rsid w:val="00B9455F"/>
    <w:rsid w:val="00B9477C"/>
    <w:rsid w:val="00B94A61"/>
    <w:rsid w:val="00B94F84"/>
    <w:rsid w:val="00B95112"/>
    <w:rsid w:val="00B95315"/>
    <w:rsid w:val="00B95420"/>
    <w:rsid w:val="00B958AC"/>
    <w:rsid w:val="00B96443"/>
    <w:rsid w:val="00B96BFF"/>
    <w:rsid w:val="00B979C5"/>
    <w:rsid w:val="00BA2324"/>
    <w:rsid w:val="00BA2B13"/>
    <w:rsid w:val="00BA3546"/>
    <w:rsid w:val="00BA4705"/>
    <w:rsid w:val="00BA5CF4"/>
    <w:rsid w:val="00BA6092"/>
    <w:rsid w:val="00BA68DC"/>
    <w:rsid w:val="00BA6AF6"/>
    <w:rsid w:val="00BB077D"/>
    <w:rsid w:val="00BB1B08"/>
    <w:rsid w:val="00BB2670"/>
    <w:rsid w:val="00BB2FA4"/>
    <w:rsid w:val="00BB38EC"/>
    <w:rsid w:val="00BB6CEA"/>
    <w:rsid w:val="00BC0CA2"/>
    <w:rsid w:val="00BC185A"/>
    <w:rsid w:val="00BC1BB8"/>
    <w:rsid w:val="00BC223A"/>
    <w:rsid w:val="00BC3DB0"/>
    <w:rsid w:val="00BC4B7F"/>
    <w:rsid w:val="00BC4DFF"/>
    <w:rsid w:val="00BC58FB"/>
    <w:rsid w:val="00BC6165"/>
    <w:rsid w:val="00BC660D"/>
    <w:rsid w:val="00BC7271"/>
    <w:rsid w:val="00BD0D02"/>
    <w:rsid w:val="00BD16B0"/>
    <w:rsid w:val="00BD1D93"/>
    <w:rsid w:val="00BD2344"/>
    <w:rsid w:val="00BD29DB"/>
    <w:rsid w:val="00BD3149"/>
    <w:rsid w:val="00BD3B82"/>
    <w:rsid w:val="00BD3F7C"/>
    <w:rsid w:val="00BD4672"/>
    <w:rsid w:val="00BD48A2"/>
    <w:rsid w:val="00BD4B40"/>
    <w:rsid w:val="00BD5FE9"/>
    <w:rsid w:val="00BD62F0"/>
    <w:rsid w:val="00BD6BFC"/>
    <w:rsid w:val="00BD6E25"/>
    <w:rsid w:val="00BD73F7"/>
    <w:rsid w:val="00BD78CE"/>
    <w:rsid w:val="00BD7BBB"/>
    <w:rsid w:val="00BE1F60"/>
    <w:rsid w:val="00BE2258"/>
    <w:rsid w:val="00BE2F98"/>
    <w:rsid w:val="00BE3019"/>
    <w:rsid w:val="00BE4385"/>
    <w:rsid w:val="00BE4EFB"/>
    <w:rsid w:val="00BE5478"/>
    <w:rsid w:val="00BE5E84"/>
    <w:rsid w:val="00BE5F90"/>
    <w:rsid w:val="00BE6120"/>
    <w:rsid w:val="00BE6183"/>
    <w:rsid w:val="00BE75D7"/>
    <w:rsid w:val="00BF03D6"/>
    <w:rsid w:val="00BF1E71"/>
    <w:rsid w:val="00BF261B"/>
    <w:rsid w:val="00BF34F0"/>
    <w:rsid w:val="00BF3648"/>
    <w:rsid w:val="00BF3A7A"/>
    <w:rsid w:val="00BF3DFD"/>
    <w:rsid w:val="00BF3EF6"/>
    <w:rsid w:val="00BF4082"/>
    <w:rsid w:val="00BF4460"/>
    <w:rsid w:val="00BF65AD"/>
    <w:rsid w:val="00BF6834"/>
    <w:rsid w:val="00BF7AE0"/>
    <w:rsid w:val="00BF7DA7"/>
    <w:rsid w:val="00C001FF"/>
    <w:rsid w:val="00C008FC"/>
    <w:rsid w:val="00C01A2C"/>
    <w:rsid w:val="00C02DC5"/>
    <w:rsid w:val="00C040A0"/>
    <w:rsid w:val="00C0432E"/>
    <w:rsid w:val="00C05633"/>
    <w:rsid w:val="00C056E7"/>
    <w:rsid w:val="00C057A5"/>
    <w:rsid w:val="00C0655E"/>
    <w:rsid w:val="00C070A0"/>
    <w:rsid w:val="00C12C9A"/>
    <w:rsid w:val="00C130EE"/>
    <w:rsid w:val="00C1313F"/>
    <w:rsid w:val="00C131AF"/>
    <w:rsid w:val="00C136C8"/>
    <w:rsid w:val="00C1517C"/>
    <w:rsid w:val="00C15DBC"/>
    <w:rsid w:val="00C167CF"/>
    <w:rsid w:val="00C17C00"/>
    <w:rsid w:val="00C2029F"/>
    <w:rsid w:val="00C205AD"/>
    <w:rsid w:val="00C21BAA"/>
    <w:rsid w:val="00C23631"/>
    <w:rsid w:val="00C23888"/>
    <w:rsid w:val="00C249C9"/>
    <w:rsid w:val="00C25246"/>
    <w:rsid w:val="00C26886"/>
    <w:rsid w:val="00C27CFB"/>
    <w:rsid w:val="00C302B8"/>
    <w:rsid w:val="00C3036B"/>
    <w:rsid w:val="00C30EF3"/>
    <w:rsid w:val="00C313C2"/>
    <w:rsid w:val="00C31563"/>
    <w:rsid w:val="00C317A1"/>
    <w:rsid w:val="00C322F6"/>
    <w:rsid w:val="00C324A7"/>
    <w:rsid w:val="00C32E47"/>
    <w:rsid w:val="00C336CA"/>
    <w:rsid w:val="00C33728"/>
    <w:rsid w:val="00C33EA9"/>
    <w:rsid w:val="00C34EC7"/>
    <w:rsid w:val="00C359F4"/>
    <w:rsid w:val="00C364F1"/>
    <w:rsid w:val="00C36A69"/>
    <w:rsid w:val="00C36C78"/>
    <w:rsid w:val="00C40497"/>
    <w:rsid w:val="00C415D7"/>
    <w:rsid w:val="00C418EA"/>
    <w:rsid w:val="00C419DE"/>
    <w:rsid w:val="00C41A29"/>
    <w:rsid w:val="00C42351"/>
    <w:rsid w:val="00C43008"/>
    <w:rsid w:val="00C43275"/>
    <w:rsid w:val="00C44BC4"/>
    <w:rsid w:val="00C44F56"/>
    <w:rsid w:val="00C46767"/>
    <w:rsid w:val="00C5019D"/>
    <w:rsid w:val="00C505BA"/>
    <w:rsid w:val="00C52360"/>
    <w:rsid w:val="00C52B48"/>
    <w:rsid w:val="00C52B7E"/>
    <w:rsid w:val="00C53020"/>
    <w:rsid w:val="00C5321E"/>
    <w:rsid w:val="00C53C1B"/>
    <w:rsid w:val="00C53D65"/>
    <w:rsid w:val="00C53EC8"/>
    <w:rsid w:val="00C54513"/>
    <w:rsid w:val="00C56798"/>
    <w:rsid w:val="00C57FAF"/>
    <w:rsid w:val="00C61EA7"/>
    <w:rsid w:val="00C624CE"/>
    <w:rsid w:val="00C6291B"/>
    <w:rsid w:val="00C62CEB"/>
    <w:rsid w:val="00C636DE"/>
    <w:rsid w:val="00C64274"/>
    <w:rsid w:val="00C65611"/>
    <w:rsid w:val="00C6606F"/>
    <w:rsid w:val="00C66443"/>
    <w:rsid w:val="00C70625"/>
    <w:rsid w:val="00C70A80"/>
    <w:rsid w:val="00C71844"/>
    <w:rsid w:val="00C7415C"/>
    <w:rsid w:val="00C7502D"/>
    <w:rsid w:val="00C81E5F"/>
    <w:rsid w:val="00C82FBD"/>
    <w:rsid w:val="00C841EF"/>
    <w:rsid w:val="00C84641"/>
    <w:rsid w:val="00C85988"/>
    <w:rsid w:val="00C877F9"/>
    <w:rsid w:val="00C91050"/>
    <w:rsid w:val="00C91461"/>
    <w:rsid w:val="00C91614"/>
    <w:rsid w:val="00C91D5C"/>
    <w:rsid w:val="00C920E8"/>
    <w:rsid w:val="00C92D3B"/>
    <w:rsid w:val="00C92F3D"/>
    <w:rsid w:val="00C94FD0"/>
    <w:rsid w:val="00C95B35"/>
    <w:rsid w:val="00C977BF"/>
    <w:rsid w:val="00CA0884"/>
    <w:rsid w:val="00CA1EE7"/>
    <w:rsid w:val="00CA2E94"/>
    <w:rsid w:val="00CA482E"/>
    <w:rsid w:val="00CA499C"/>
    <w:rsid w:val="00CB00BC"/>
    <w:rsid w:val="00CB1E74"/>
    <w:rsid w:val="00CB45E2"/>
    <w:rsid w:val="00CB6054"/>
    <w:rsid w:val="00CB64A9"/>
    <w:rsid w:val="00CB674D"/>
    <w:rsid w:val="00CC0419"/>
    <w:rsid w:val="00CC11A3"/>
    <w:rsid w:val="00CC4BE4"/>
    <w:rsid w:val="00CC5196"/>
    <w:rsid w:val="00CC51CF"/>
    <w:rsid w:val="00CC7520"/>
    <w:rsid w:val="00CC792C"/>
    <w:rsid w:val="00CD2621"/>
    <w:rsid w:val="00CD27E6"/>
    <w:rsid w:val="00CD32A9"/>
    <w:rsid w:val="00CD3CA0"/>
    <w:rsid w:val="00CD450E"/>
    <w:rsid w:val="00CD4882"/>
    <w:rsid w:val="00CD6C6D"/>
    <w:rsid w:val="00CD6F1A"/>
    <w:rsid w:val="00CD721F"/>
    <w:rsid w:val="00CE04B0"/>
    <w:rsid w:val="00CE0F77"/>
    <w:rsid w:val="00CE0FC3"/>
    <w:rsid w:val="00CE25B0"/>
    <w:rsid w:val="00CE2FC8"/>
    <w:rsid w:val="00CE34BF"/>
    <w:rsid w:val="00CE4110"/>
    <w:rsid w:val="00CE4183"/>
    <w:rsid w:val="00CE4F2E"/>
    <w:rsid w:val="00CE5345"/>
    <w:rsid w:val="00CE5C6B"/>
    <w:rsid w:val="00CE6806"/>
    <w:rsid w:val="00CE6A25"/>
    <w:rsid w:val="00CE7590"/>
    <w:rsid w:val="00CE795F"/>
    <w:rsid w:val="00CF1082"/>
    <w:rsid w:val="00CF18D7"/>
    <w:rsid w:val="00CF21A2"/>
    <w:rsid w:val="00CF2958"/>
    <w:rsid w:val="00CF2E6B"/>
    <w:rsid w:val="00CF39FD"/>
    <w:rsid w:val="00CF3E27"/>
    <w:rsid w:val="00CF5429"/>
    <w:rsid w:val="00CF554B"/>
    <w:rsid w:val="00CF5574"/>
    <w:rsid w:val="00CF6F33"/>
    <w:rsid w:val="00CF745D"/>
    <w:rsid w:val="00D00984"/>
    <w:rsid w:val="00D012BD"/>
    <w:rsid w:val="00D01DC6"/>
    <w:rsid w:val="00D0416A"/>
    <w:rsid w:val="00D05F56"/>
    <w:rsid w:val="00D07C08"/>
    <w:rsid w:val="00D108D8"/>
    <w:rsid w:val="00D11FCD"/>
    <w:rsid w:val="00D130F3"/>
    <w:rsid w:val="00D144DF"/>
    <w:rsid w:val="00D14988"/>
    <w:rsid w:val="00D14B59"/>
    <w:rsid w:val="00D1504E"/>
    <w:rsid w:val="00D172B8"/>
    <w:rsid w:val="00D1783D"/>
    <w:rsid w:val="00D17926"/>
    <w:rsid w:val="00D20A9E"/>
    <w:rsid w:val="00D2185A"/>
    <w:rsid w:val="00D22791"/>
    <w:rsid w:val="00D23D53"/>
    <w:rsid w:val="00D24342"/>
    <w:rsid w:val="00D25D0A"/>
    <w:rsid w:val="00D2651A"/>
    <w:rsid w:val="00D26E17"/>
    <w:rsid w:val="00D27A08"/>
    <w:rsid w:val="00D302F5"/>
    <w:rsid w:val="00D31E4F"/>
    <w:rsid w:val="00D322B9"/>
    <w:rsid w:val="00D33C47"/>
    <w:rsid w:val="00D33DF7"/>
    <w:rsid w:val="00D344F3"/>
    <w:rsid w:val="00D346B8"/>
    <w:rsid w:val="00D34B2F"/>
    <w:rsid w:val="00D34F3A"/>
    <w:rsid w:val="00D35EDE"/>
    <w:rsid w:val="00D4089A"/>
    <w:rsid w:val="00D40C50"/>
    <w:rsid w:val="00D4175D"/>
    <w:rsid w:val="00D421CD"/>
    <w:rsid w:val="00D42362"/>
    <w:rsid w:val="00D4252A"/>
    <w:rsid w:val="00D42534"/>
    <w:rsid w:val="00D438E6"/>
    <w:rsid w:val="00D4431C"/>
    <w:rsid w:val="00D4523B"/>
    <w:rsid w:val="00D45C33"/>
    <w:rsid w:val="00D45EF0"/>
    <w:rsid w:val="00D46640"/>
    <w:rsid w:val="00D46EAC"/>
    <w:rsid w:val="00D50293"/>
    <w:rsid w:val="00D52BDE"/>
    <w:rsid w:val="00D52E13"/>
    <w:rsid w:val="00D53526"/>
    <w:rsid w:val="00D54F72"/>
    <w:rsid w:val="00D55B1E"/>
    <w:rsid w:val="00D567E8"/>
    <w:rsid w:val="00D57313"/>
    <w:rsid w:val="00D600FD"/>
    <w:rsid w:val="00D60AAF"/>
    <w:rsid w:val="00D60BDE"/>
    <w:rsid w:val="00D63087"/>
    <w:rsid w:val="00D63166"/>
    <w:rsid w:val="00D63429"/>
    <w:rsid w:val="00D640C4"/>
    <w:rsid w:val="00D643FC"/>
    <w:rsid w:val="00D647AD"/>
    <w:rsid w:val="00D64A1C"/>
    <w:rsid w:val="00D65544"/>
    <w:rsid w:val="00D65905"/>
    <w:rsid w:val="00D667D9"/>
    <w:rsid w:val="00D668A7"/>
    <w:rsid w:val="00D701C8"/>
    <w:rsid w:val="00D729DF"/>
    <w:rsid w:val="00D7345D"/>
    <w:rsid w:val="00D73D29"/>
    <w:rsid w:val="00D74284"/>
    <w:rsid w:val="00D74706"/>
    <w:rsid w:val="00D74AF5"/>
    <w:rsid w:val="00D75320"/>
    <w:rsid w:val="00D75B4C"/>
    <w:rsid w:val="00D75CEC"/>
    <w:rsid w:val="00D7605F"/>
    <w:rsid w:val="00D76413"/>
    <w:rsid w:val="00D76AB0"/>
    <w:rsid w:val="00D76B62"/>
    <w:rsid w:val="00D7729C"/>
    <w:rsid w:val="00D77603"/>
    <w:rsid w:val="00D77934"/>
    <w:rsid w:val="00D77E4D"/>
    <w:rsid w:val="00D815C7"/>
    <w:rsid w:val="00D83D55"/>
    <w:rsid w:val="00D83DE9"/>
    <w:rsid w:val="00D83F81"/>
    <w:rsid w:val="00D84060"/>
    <w:rsid w:val="00D8433B"/>
    <w:rsid w:val="00D86DA2"/>
    <w:rsid w:val="00D87224"/>
    <w:rsid w:val="00D87569"/>
    <w:rsid w:val="00D87D19"/>
    <w:rsid w:val="00D9073A"/>
    <w:rsid w:val="00D91480"/>
    <w:rsid w:val="00D92230"/>
    <w:rsid w:val="00D922B3"/>
    <w:rsid w:val="00D92FF6"/>
    <w:rsid w:val="00D9563A"/>
    <w:rsid w:val="00D95840"/>
    <w:rsid w:val="00D962AC"/>
    <w:rsid w:val="00D97D68"/>
    <w:rsid w:val="00DA0227"/>
    <w:rsid w:val="00DA0338"/>
    <w:rsid w:val="00DA0452"/>
    <w:rsid w:val="00DA0DE3"/>
    <w:rsid w:val="00DA115F"/>
    <w:rsid w:val="00DA2D1C"/>
    <w:rsid w:val="00DA394B"/>
    <w:rsid w:val="00DA3CA2"/>
    <w:rsid w:val="00DA3CE4"/>
    <w:rsid w:val="00DA43D3"/>
    <w:rsid w:val="00DA4952"/>
    <w:rsid w:val="00DA5114"/>
    <w:rsid w:val="00DA5D1B"/>
    <w:rsid w:val="00DB0BEE"/>
    <w:rsid w:val="00DB0CA3"/>
    <w:rsid w:val="00DB176B"/>
    <w:rsid w:val="00DB1E57"/>
    <w:rsid w:val="00DB2FD7"/>
    <w:rsid w:val="00DB3881"/>
    <w:rsid w:val="00DB4760"/>
    <w:rsid w:val="00DB4DAA"/>
    <w:rsid w:val="00DB50FA"/>
    <w:rsid w:val="00DB525D"/>
    <w:rsid w:val="00DB560A"/>
    <w:rsid w:val="00DB5766"/>
    <w:rsid w:val="00DB5D21"/>
    <w:rsid w:val="00DB5EFB"/>
    <w:rsid w:val="00DB7E53"/>
    <w:rsid w:val="00DC0675"/>
    <w:rsid w:val="00DC2427"/>
    <w:rsid w:val="00DC32B0"/>
    <w:rsid w:val="00DC3881"/>
    <w:rsid w:val="00DC6177"/>
    <w:rsid w:val="00DC6348"/>
    <w:rsid w:val="00DC669E"/>
    <w:rsid w:val="00DD03DB"/>
    <w:rsid w:val="00DD1025"/>
    <w:rsid w:val="00DD13E6"/>
    <w:rsid w:val="00DD1444"/>
    <w:rsid w:val="00DD1C77"/>
    <w:rsid w:val="00DD1FD0"/>
    <w:rsid w:val="00DD319C"/>
    <w:rsid w:val="00DD4132"/>
    <w:rsid w:val="00DD53C5"/>
    <w:rsid w:val="00DD7725"/>
    <w:rsid w:val="00DE0E3C"/>
    <w:rsid w:val="00DE1190"/>
    <w:rsid w:val="00DE16B4"/>
    <w:rsid w:val="00DE27F5"/>
    <w:rsid w:val="00DE28EB"/>
    <w:rsid w:val="00DE3291"/>
    <w:rsid w:val="00DE37DC"/>
    <w:rsid w:val="00DE3F8C"/>
    <w:rsid w:val="00DE455B"/>
    <w:rsid w:val="00DE468D"/>
    <w:rsid w:val="00DE515B"/>
    <w:rsid w:val="00DE5250"/>
    <w:rsid w:val="00DE53C2"/>
    <w:rsid w:val="00DE66EC"/>
    <w:rsid w:val="00DE6CA1"/>
    <w:rsid w:val="00DE7200"/>
    <w:rsid w:val="00DE7A79"/>
    <w:rsid w:val="00DF17E9"/>
    <w:rsid w:val="00DF1A27"/>
    <w:rsid w:val="00DF1C04"/>
    <w:rsid w:val="00DF278D"/>
    <w:rsid w:val="00DF3194"/>
    <w:rsid w:val="00DF33D8"/>
    <w:rsid w:val="00DF3414"/>
    <w:rsid w:val="00DF4F88"/>
    <w:rsid w:val="00DF5550"/>
    <w:rsid w:val="00DF5754"/>
    <w:rsid w:val="00DF7DA4"/>
    <w:rsid w:val="00E00CD5"/>
    <w:rsid w:val="00E017E1"/>
    <w:rsid w:val="00E03074"/>
    <w:rsid w:val="00E03E2F"/>
    <w:rsid w:val="00E04523"/>
    <w:rsid w:val="00E04CB1"/>
    <w:rsid w:val="00E04F55"/>
    <w:rsid w:val="00E05747"/>
    <w:rsid w:val="00E057C5"/>
    <w:rsid w:val="00E0602E"/>
    <w:rsid w:val="00E074E3"/>
    <w:rsid w:val="00E076C2"/>
    <w:rsid w:val="00E07F17"/>
    <w:rsid w:val="00E1013F"/>
    <w:rsid w:val="00E10A74"/>
    <w:rsid w:val="00E1105A"/>
    <w:rsid w:val="00E12A78"/>
    <w:rsid w:val="00E1381F"/>
    <w:rsid w:val="00E13B3B"/>
    <w:rsid w:val="00E166E2"/>
    <w:rsid w:val="00E20EDB"/>
    <w:rsid w:val="00E21B26"/>
    <w:rsid w:val="00E22DFB"/>
    <w:rsid w:val="00E23215"/>
    <w:rsid w:val="00E23EE7"/>
    <w:rsid w:val="00E2402F"/>
    <w:rsid w:val="00E257B8"/>
    <w:rsid w:val="00E25BA8"/>
    <w:rsid w:val="00E26E77"/>
    <w:rsid w:val="00E27CCD"/>
    <w:rsid w:val="00E3004F"/>
    <w:rsid w:val="00E319D9"/>
    <w:rsid w:val="00E33796"/>
    <w:rsid w:val="00E34C31"/>
    <w:rsid w:val="00E35D11"/>
    <w:rsid w:val="00E365C6"/>
    <w:rsid w:val="00E36923"/>
    <w:rsid w:val="00E377D7"/>
    <w:rsid w:val="00E379B1"/>
    <w:rsid w:val="00E37A5B"/>
    <w:rsid w:val="00E40161"/>
    <w:rsid w:val="00E4022A"/>
    <w:rsid w:val="00E40516"/>
    <w:rsid w:val="00E40C87"/>
    <w:rsid w:val="00E426ED"/>
    <w:rsid w:val="00E43A18"/>
    <w:rsid w:val="00E440BE"/>
    <w:rsid w:val="00E44108"/>
    <w:rsid w:val="00E441A3"/>
    <w:rsid w:val="00E4511A"/>
    <w:rsid w:val="00E463E6"/>
    <w:rsid w:val="00E47342"/>
    <w:rsid w:val="00E50058"/>
    <w:rsid w:val="00E506F8"/>
    <w:rsid w:val="00E5116D"/>
    <w:rsid w:val="00E5175A"/>
    <w:rsid w:val="00E51F37"/>
    <w:rsid w:val="00E557BF"/>
    <w:rsid w:val="00E5624C"/>
    <w:rsid w:val="00E566B9"/>
    <w:rsid w:val="00E5682E"/>
    <w:rsid w:val="00E572AB"/>
    <w:rsid w:val="00E57E13"/>
    <w:rsid w:val="00E600AD"/>
    <w:rsid w:val="00E60B49"/>
    <w:rsid w:val="00E612C8"/>
    <w:rsid w:val="00E61510"/>
    <w:rsid w:val="00E61A28"/>
    <w:rsid w:val="00E62BEF"/>
    <w:rsid w:val="00E62DD1"/>
    <w:rsid w:val="00E64B73"/>
    <w:rsid w:val="00E64CB9"/>
    <w:rsid w:val="00E64F34"/>
    <w:rsid w:val="00E652A3"/>
    <w:rsid w:val="00E65E4C"/>
    <w:rsid w:val="00E7051F"/>
    <w:rsid w:val="00E70C88"/>
    <w:rsid w:val="00E70F88"/>
    <w:rsid w:val="00E72466"/>
    <w:rsid w:val="00E7289B"/>
    <w:rsid w:val="00E73A41"/>
    <w:rsid w:val="00E73DE0"/>
    <w:rsid w:val="00E73F0D"/>
    <w:rsid w:val="00E74675"/>
    <w:rsid w:val="00E74ECA"/>
    <w:rsid w:val="00E75A56"/>
    <w:rsid w:val="00E769EF"/>
    <w:rsid w:val="00E76CC6"/>
    <w:rsid w:val="00E777E1"/>
    <w:rsid w:val="00E77E90"/>
    <w:rsid w:val="00E8090A"/>
    <w:rsid w:val="00E8173F"/>
    <w:rsid w:val="00E818A4"/>
    <w:rsid w:val="00E820E2"/>
    <w:rsid w:val="00E82902"/>
    <w:rsid w:val="00E82AAA"/>
    <w:rsid w:val="00E82B0F"/>
    <w:rsid w:val="00E82D40"/>
    <w:rsid w:val="00E842C3"/>
    <w:rsid w:val="00E85A8E"/>
    <w:rsid w:val="00E9022F"/>
    <w:rsid w:val="00E912B3"/>
    <w:rsid w:val="00E91F6E"/>
    <w:rsid w:val="00E93751"/>
    <w:rsid w:val="00E93A0A"/>
    <w:rsid w:val="00E93DA9"/>
    <w:rsid w:val="00E940EA"/>
    <w:rsid w:val="00E94785"/>
    <w:rsid w:val="00E94CC2"/>
    <w:rsid w:val="00E94E49"/>
    <w:rsid w:val="00E952E5"/>
    <w:rsid w:val="00E957AE"/>
    <w:rsid w:val="00E96247"/>
    <w:rsid w:val="00E97760"/>
    <w:rsid w:val="00E977DE"/>
    <w:rsid w:val="00EA001E"/>
    <w:rsid w:val="00EA1031"/>
    <w:rsid w:val="00EA1059"/>
    <w:rsid w:val="00EA1B02"/>
    <w:rsid w:val="00EA2020"/>
    <w:rsid w:val="00EA2A18"/>
    <w:rsid w:val="00EA3305"/>
    <w:rsid w:val="00EA4714"/>
    <w:rsid w:val="00EA49C3"/>
    <w:rsid w:val="00EA626B"/>
    <w:rsid w:val="00EA64D1"/>
    <w:rsid w:val="00EA7034"/>
    <w:rsid w:val="00EB2B0C"/>
    <w:rsid w:val="00EB2C19"/>
    <w:rsid w:val="00EB30D2"/>
    <w:rsid w:val="00EB30F2"/>
    <w:rsid w:val="00EB3663"/>
    <w:rsid w:val="00EB37C0"/>
    <w:rsid w:val="00EB3ABF"/>
    <w:rsid w:val="00EB3AEF"/>
    <w:rsid w:val="00EB4115"/>
    <w:rsid w:val="00EB46FD"/>
    <w:rsid w:val="00EB4D4D"/>
    <w:rsid w:val="00EB597C"/>
    <w:rsid w:val="00EB5ADC"/>
    <w:rsid w:val="00EC0561"/>
    <w:rsid w:val="00EC06DA"/>
    <w:rsid w:val="00EC0ED4"/>
    <w:rsid w:val="00EC1302"/>
    <w:rsid w:val="00EC1A1B"/>
    <w:rsid w:val="00EC31E3"/>
    <w:rsid w:val="00EC3F81"/>
    <w:rsid w:val="00EC5006"/>
    <w:rsid w:val="00EC605B"/>
    <w:rsid w:val="00EC686F"/>
    <w:rsid w:val="00EC6F52"/>
    <w:rsid w:val="00EC7004"/>
    <w:rsid w:val="00EC74A1"/>
    <w:rsid w:val="00EC7DBB"/>
    <w:rsid w:val="00EC7E7F"/>
    <w:rsid w:val="00ED08B9"/>
    <w:rsid w:val="00ED090C"/>
    <w:rsid w:val="00ED107A"/>
    <w:rsid w:val="00ED1942"/>
    <w:rsid w:val="00ED3928"/>
    <w:rsid w:val="00ED4E94"/>
    <w:rsid w:val="00ED4F71"/>
    <w:rsid w:val="00ED5907"/>
    <w:rsid w:val="00ED6513"/>
    <w:rsid w:val="00ED7085"/>
    <w:rsid w:val="00ED71CB"/>
    <w:rsid w:val="00EE0D2F"/>
    <w:rsid w:val="00EE0EB0"/>
    <w:rsid w:val="00EE2256"/>
    <w:rsid w:val="00EE3669"/>
    <w:rsid w:val="00EE3B39"/>
    <w:rsid w:val="00EE4ACA"/>
    <w:rsid w:val="00EE52D9"/>
    <w:rsid w:val="00EE5466"/>
    <w:rsid w:val="00EE55B0"/>
    <w:rsid w:val="00EE6298"/>
    <w:rsid w:val="00EE6D6E"/>
    <w:rsid w:val="00EE7CCD"/>
    <w:rsid w:val="00EF2838"/>
    <w:rsid w:val="00EF2C6C"/>
    <w:rsid w:val="00EF2C89"/>
    <w:rsid w:val="00EF2E53"/>
    <w:rsid w:val="00EF3CBE"/>
    <w:rsid w:val="00EF4254"/>
    <w:rsid w:val="00EF426E"/>
    <w:rsid w:val="00EF5E57"/>
    <w:rsid w:val="00EF5F2E"/>
    <w:rsid w:val="00EF6ED0"/>
    <w:rsid w:val="00EF6FEF"/>
    <w:rsid w:val="00EF76F8"/>
    <w:rsid w:val="00EF7B45"/>
    <w:rsid w:val="00F0107D"/>
    <w:rsid w:val="00F0163D"/>
    <w:rsid w:val="00F02625"/>
    <w:rsid w:val="00F02E61"/>
    <w:rsid w:val="00F03161"/>
    <w:rsid w:val="00F042AC"/>
    <w:rsid w:val="00F05158"/>
    <w:rsid w:val="00F05A03"/>
    <w:rsid w:val="00F05B26"/>
    <w:rsid w:val="00F05F28"/>
    <w:rsid w:val="00F065CE"/>
    <w:rsid w:val="00F10879"/>
    <w:rsid w:val="00F1157B"/>
    <w:rsid w:val="00F11885"/>
    <w:rsid w:val="00F12513"/>
    <w:rsid w:val="00F13306"/>
    <w:rsid w:val="00F13382"/>
    <w:rsid w:val="00F13BBB"/>
    <w:rsid w:val="00F13BBF"/>
    <w:rsid w:val="00F14158"/>
    <w:rsid w:val="00F14846"/>
    <w:rsid w:val="00F153B2"/>
    <w:rsid w:val="00F15AAE"/>
    <w:rsid w:val="00F1659D"/>
    <w:rsid w:val="00F179C6"/>
    <w:rsid w:val="00F17F3A"/>
    <w:rsid w:val="00F202D7"/>
    <w:rsid w:val="00F216EF"/>
    <w:rsid w:val="00F21B42"/>
    <w:rsid w:val="00F227DF"/>
    <w:rsid w:val="00F2329E"/>
    <w:rsid w:val="00F2407A"/>
    <w:rsid w:val="00F246CD"/>
    <w:rsid w:val="00F24747"/>
    <w:rsid w:val="00F25C23"/>
    <w:rsid w:val="00F25C2F"/>
    <w:rsid w:val="00F26917"/>
    <w:rsid w:val="00F271FF"/>
    <w:rsid w:val="00F273E2"/>
    <w:rsid w:val="00F27C2A"/>
    <w:rsid w:val="00F305DC"/>
    <w:rsid w:val="00F30E90"/>
    <w:rsid w:val="00F31838"/>
    <w:rsid w:val="00F32D51"/>
    <w:rsid w:val="00F334BD"/>
    <w:rsid w:val="00F337EB"/>
    <w:rsid w:val="00F33F5A"/>
    <w:rsid w:val="00F34B54"/>
    <w:rsid w:val="00F35718"/>
    <w:rsid w:val="00F35810"/>
    <w:rsid w:val="00F3662E"/>
    <w:rsid w:val="00F37461"/>
    <w:rsid w:val="00F37EC1"/>
    <w:rsid w:val="00F40639"/>
    <w:rsid w:val="00F41BF1"/>
    <w:rsid w:val="00F4212B"/>
    <w:rsid w:val="00F43E59"/>
    <w:rsid w:val="00F45676"/>
    <w:rsid w:val="00F45CDC"/>
    <w:rsid w:val="00F46081"/>
    <w:rsid w:val="00F46F08"/>
    <w:rsid w:val="00F50AC7"/>
    <w:rsid w:val="00F50F00"/>
    <w:rsid w:val="00F518F3"/>
    <w:rsid w:val="00F52E99"/>
    <w:rsid w:val="00F5308A"/>
    <w:rsid w:val="00F53593"/>
    <w:rsid w:val="00F5396A"/>
    <w:rsid w:val="00F5445F"/>
    <w:rsid w:val="00F5457C"/>
    <w:rsid w:val="00F54872"/>
    <w:rsid w:val="00F54AC3"/>
    <w:rsid w:val="00F55D14"/>
    <w:rsid w:val="00F560F6"/>
    <w:rsid w:val="00F60680"/>
    <w:rsid w:val="00F609BD"/>
    <w:rsid w:val="00F61C47"/>
    <w:rsid w:val="00F62046"/>
    <w:rsid w:val="00F62263"/>
    <w:rsid w:val="00F622F0"/>
    <w:rsid w:val="00F62C4A"/>
    <w:rsid w:val="00F634D0"/>
    <w:rsid w:val="00F63B59"/>
    <w:rsid w:val="00F64E27"/>
    <w:rsid w:val="00F6557C"/>
    <w:rsid w:val="00F65599"/>
    <w:rsid w:val="00F659B2"/>
    <w:rsid w:val="00F66FD2"/>
    <w:rsid w:val="00F6757A"/>
    <w:rsid w:val="00F70978"/>
    <w:rsid w:val="00F70B89"/>
    <w:rsid w:val="00F711D5"/>
    <w:rsid w:val="00F71448"/>
    <w:rsid w:val="00F73A66"/>
    <w:rsid w:val="00F747A5"/>
    <w:rsid w:val="00F75C53"/>
    <w:rsid w:val="00F75D29"/>
    <w:rsid w:val="00F75EFB"/>
    <w:rsid w:val="00F778D2"/>
    <w:rsid w:val="00F77EEE"/>
    <w:rsid w:val="00F818F2"/>
    <w:rsid w:val="00F8223F"/>
    <w:rsid w:val="00F825FA"/>
    <w:rsid w:val="00F82FFE"/>
    <w:rsid w:val="00F83C4B"/>
    <w:rsid w:val="00F83CFA"/>
    <w:rsid w:val="00F84978"/>
    <w:rsid w:val="00F851A5"/>
    <w:rsid w:val="00F85CB5"/>
    <w:rsid w:val="00F86F25"/>
    <w:rsid w:val="00F87946"/>
    <w:rsid w:val="00F87CB0"/>
    <w:rsid w:val="00F91063"/>
    <w:rsid w:val="00F910A4"/>
    <w:rsid w:val="00F9164D"/>
    <w:rsid w:val="00F9290D"/>
    <w:rsid w:val="00F92AA5"/>
    <w:rsid w:val="00F93333"/>
    <w:rsid w:val="00F94EB6"/>
    <w:rsid w:val="00F95496"/>
    <w:rsid w:val="00F95745"/>
    <w:rsid w:val="00F973E1"/>
    <w:rsid w:val="00FA03DF"/>
    <w:rsid w:val="00FA09F0"/>
    <w:rsid w:val="00FA2639"/>
    <w:rsid w:val="00FA3431"/>
    <w:rsid w:val="00FA377C"/>
    <w:rsid w:val="00FA395D"/>
    <w:rsid w:val="00FA3DC7"/>
    <w:rsid w:val="00FA3F1D"/>
    <w:rsid w:val="00FA5764"/>
    <w:rsid w:val="00FA5AB8"/>
    <w:rsid w:val="00FA6FEE"/>
    <w:rsid w:val="00FA716C"/>
    <w:rsid w:val="00FA73C7"/>
    <w:rsid w:val="00FB04DD"/>
    <w:rsid w:val="00FB092E"/>
    <w:rsid w:val="00FB1034"/>
    <w:rsid w:val="00FB1687"/>
    <w:rsid w:val="00FB532A"/>
    <w:rsid w:val="00FB537F"/>
    <w:rsid w:val="00FB627C"/>
    <w:rsid w:val="00FB64B4"/>
    <w:rsid w:val="00FB6AA7"/>
    <w:rsid w:val="00FB6B5F"/>
    <w:rsid w:val="00FB77D5"/>
    <w:rsid w:val="00FC08B8"/>
    <w:rsid w:val="00FC0DD3"/>
    <w:rsid w:val="00FC0EA9"/>
    <w:rsid w:val="00FC1705"/>
    <w:rsid w:val="00FC2D6B"/>
    <w:rsid w:val="00FC3658"/>
    <w:rsid w:val="00FC4BFB"/>
    <w:rsid w:val="00FC4D3E"/>
    <w:rsid w:val="00FC5EF7"/>
    <w:rsid w:val="00FC6C64"/>
    <w:rsid w:val="00FC6F00"/>
    <w:rsid w:val="00FC722C"/>
    <w:rsid w:val="00FC7B6E"/>
    <w:rsid w:val="00FD057E"/>
    <w:rsid w:val="00FD167E"/>
    <w:rsid w:val="00FD237E"/>
    <w:rsid w:val="00FD3267"/>
    <w:rsid w:val="00FD3A81"/>
    <w:rsid w:val="00FD3C02"/>
    <w:rsid w:val="00FD466A"/>
    <w:rsid w:val="00FD564B"/>
    <w:rsid w:val="00FD63C0"/>
    <w:rsid w:val="00FD6D66"/>
    <w:rsid w:val="00FD6EB2"/>
    <w:rsid w:val="00FD7B1C"/>
    <w:rsid w:val="00FE429A"/>
    <w:rsid w:val="00FE42E5"/>
    <w:rsid w:val="00FE67B6"/>
    <w:rsid w:val="00FE7384"/>
    <w:rsid w:val="00FE75F2"/>
    <w:rsid w:val="00FE7C3A"/>
    <w:rsid w:val="00FE7CED"/>
    <w:rsid w:val="00FE7EE4"/>
    <w:rsid w:val="00FF0315"/>
    <w:rsid w:val="00FF0A4F"/>
    <w:rsid w:val="00FF0CDD"/>
    <w:rsid w:val="00FF1C29"/>
    <w:rsid w:val="00FF1E60"/>
    <w:rsid w:val="00FF217F"/>
    <w:rsid w:val="00FF27EE"/>
    <w:rsid w:val="00FF3168"/>
    <w:rsid w:val="00FF353D"/>
    <w:rsid w:val="00FF37B5"/>
    <w:rsid w:val="00FF53B3"/>
    <w:rsid w:val="00FF5644"/>
    <w:rsid w:val="00FF5EC2"/>
    <w:rsid w:val="00FF61C7"/>
    <w:rsid w:val="00FF6263"/>
    <w:rsid w:val="00FF6604"/>
    <w:rsid w:val="00FF698F"/>
    <w:rsid w:val="00FF6F90"/>
  </w:rsids>
  <m:mathPr>
    <m:mathFont m:val="Cambria Math"/>
    <m:brkBin m:val="before"/>
    <m:brkBinSub m:val="--"/>
    <m:smallFrac m:val="0"/>
    <m:dispDef/>
    <m:lMargin m:val="0"/>
    <m:rMargin m:val="0"/>
    <m:defJc m:val="centerGroup"/>
    <m:wrapIndent m:val="1440"/>
    <m:intLim m:val="subSup"/>
    <m:naryLim m:val="undOvr"/>
  </m:mathPr>
  <w:themeFontLang w:val="es-E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76335E"/>
  <w15:docId w15:val="{A532BE54-D648-42CA-9C6F-52DAE26B8C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s-ES" w:eastAsia="es-E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character" w:styleId="CommentReference">
    <w:name w:val="annotation reference"/>
    <w:basedOn w:val="DefaultParagraphFont"/>
    <w:uiPriority w:val="99"/>
    <w:semiHidden/>
    <w:unhideWhenUsed/>
    <w:rsid w:val="007B4163"/>
    <w:rPr>
      <w:sz w:val="16"/>
      <w:szCs w:val="16"/>
    </w:rPr>
  </w:style>
  <w:style w:type="paragraph" w:styleId="CommentText">
    <w:name w:val="annotation text"/>
    <w:basedOn w:val="Normal"/>
    <w:link w:val="CommentTextChar"/>
    <w:uiPriority w:val="99"/>
    <w:unhideWhenUsed/>
    <w:rsid w:val="007B4163"/>
    <w:pPr>
      <w:spacing w:line="240" w:lineRule="auto"/>
    </w:pPr>
    <w:rPr>
      <w:sz w:val="20"/>
      <w:szCs w:val="20"/>
    </w:rPr>
  </w:style>
  <w:style w:type="character" w:customStyle="1" w:styleId="CommentTextChar">
    <w:name w:val="Comment Text Char"/>
    <w:basedOn w:val="DefaultParagraphFont"/>
    <w:link w:val="CommentText"/>
    <w:uiPriority w:val="99"/>
    <w:rsid w:val="007B4163"/>
    <w:rPr>
      <w:sz w:val="20"/>
      <w:szCs w:val="20"/>
    </w:rPr>
  </w:style>
  <w:style w:type="paragraph" w:styleId="CommentSubject">
    <w:name w:val="annotation subject"/>
    <w:basedOn w:val="CommentText"/>
    <w:next w:val="CommentText"/>
    <w:link w:val="CommentSubjectChar"/>
    <w:uiPriority w:val="99"/>
    <w:semiHidden/>
    <w:unhideWhenUsed/>
    <w:rsid w:val="007B4163"/>
    <w:rPr>
      <w:b/>
      <w:bCs/>
    </w:rPr>
  </w:style>
  <w:style w:type="character" w:customStyle="1" w:styleId="CommentSubjectChar">
    <w:name w:val="Comment Subject Char"/>
    <w:basedOn w:val="CommentTextChar"/>
    <w:link w:val="CommentSubject"/>
    <w:uiPriority w:val="99"/>
    <w:semiHidden/>
    <w:rsid w:val="007B4163"/>
    <w:rPr>
      <w:b/>
      <w:bCs/>
      <w:sz w:val="20"/>
      <w:szCs w:val="20"/>
    </w:rPr>
  </w:style>
  <w:style w:type="paragraph" w:styleId="ListParagraph">
    <w:name w:val="List Paragraph"/>
    <w:basedOn w:val="Normal"/>
    <w:uiPriority w:val="34"/>
    <w:qFormat/>
    <w:rsid w:val="00F747A5"/>
    <w:pPr>
      <w:ind w:left="720"/>
      <w:contextualSpacing/>
    </w:pPr>
  </w:style>
  <w:style w:type="paragraph" w:styleId="Revision">
    <w:name w:val="Revision"/>
    <w:hidden/>
    <w:uiPriority w:val="99"/>
    <w:semiHidden/>
    <w:rsid w:val="00710E58"/>
    <w:pPr>
      <w:spacing w:after="0" w:line="240" w:lineRule="auto"/>
    </w:pPr>
  </w:style>
  <w:style w:type="character" w:styleId="Hyperlink">
    <w:name w:val="Hyperlink"/>
    <w:basedOn w:val="DefaultParagraphFont"/>
    <w:unhideWhenUsed/>
    <w:rsid w:val="00175F1F"/>
    <w:rPr>
      <w:color w:val="0000FF" w:themeColor="hyperlink"/>
      <w:u w:val="single"/>
    </w:rPr>
  </w:style>
  <w:style w:type="character" w:styleId="UnresolvedMention">
    <w:name w:val="Unresolved Mention"/>
    <w:basedOn w:val="DefaultParagraphFont"/>
    <w:uiPriority w:val="99"/>
    <w:semiHidden/>
    <w:unhideWhenUsed/>
    <w:rsid w:val="00175F1F"/>
    <w:rPr>
      <w:color w:val="605E5C"/>
      <w:shd w:val="clear" w:color="auto" w:fill="E1DFDD"/>
    </w:rPr>
  </w:style>
  <w:style w:type="character" w:customStyle="1" w:styleId="ao">
    <w:name w:val="ao"/>
    <w:basedOn w:val="DefaultParagraphFont"/>
    <w:rsid w:val="00F273E2"/>
  </w:style>
  <w:style w:type="paragraph" w:styleId="NormalWeb">
    <w:name w:val="Normal (Web)"/>
    <w:basedOn w:val="Normal"/>
    <w:uiPriority w:val="99"/>
    <w:rsid w:val="009E4030"/>
    <w:pPr>
      <w:spacing w:before="100" w:after="100" w:line="240" w:lineRule="auto"/>
    </w:pPr>
    <w:rPr>
      <w:rFonts w:ascii="Times New Roman" w:eastAsia="Times New Roman" w:hAnsi="Times New Roman"/>
      <w:sz w:val="24"/>
      <w:szCs w:val="24"/>
    </w:rPr>
  </w:style>
  <w:style w:type="paragraph" w:styleId="Header">
    <w:name w:val="header"/>
    <w:basedOn w:val="Normal"/>
    <w:link w:val="HeaderChar"/>
    <w:uiPriority w:val="99"/>
    <w:unhideWhenUsed/>
    <w:rsid w:val="004E43DA"/>
    <w:pPr>
      <w:tabs>
        <w:tab w:val="center" w:pos="4513"/>
        <w:tab w:val="right" w:pos="9026"/>
      </w:tabs>
      <w:spacing w:after="0" w:line="240" w:lineRule="auto"/>
    </w:pPr>
  </w:style>
  <w:style w:type="character" w:customStyle="1" w:styleId="HeaderChar">
    <w:name w:val="Header Char"/>
    <w:basedOn w:val="DefaultParagraphFont"/>
    <w:link w:val="Header"/>
    <w:uiPriority w:val="99"/>
    <w:rsid w:val="004B1E77"/>
  </w:style>
  <w:style w:type="paragraph" w:styleId="Footer">
    <w:name w:val="footer"/>
    <w:basedOn w:val="Normal"/>
    <w:link w:val="FooterChar"/>
    <w:uiPriority w:val="99"/>
    <w:unhideWhenUsed/>
    <w:rsid w:val="004E43DA"/>
    <w:pPr>
      <w:tabs>
        <w:tab w:val="center" w:pos="4513"/>
        <w:tab w:val="right" w:pos="9026"/>
      </w:tabs>
      <w:spacing w:after="0" w:line="240" w:lineRule="auto"/>
    </w:pPr>
  </w:style>
  <w:style w:type="character" w:customStyle="1" w:styleId="FooterChar">
    <w:name w:val="Footer Char"/>
    <w:basedOn w:val="DefaultParagraphFont"/>
    <w:link w:val="Footer"/>
    <w:uiPriority w:val="99"/>
    <w:rsid w:val="004B1E77"/>
  </w:style>
  <w:style w:type="character" w:styleId="Strong">
    <w:name w:val="Strong"/>
    <w:basedOn w:val="DefaultParagraphFont"/>
    <w:uiPriority w:val="22"/>
    <w:qFormat/>
    <w:rsid w:val="00E62DD1"/>
    <w:rPr>
      <w:b/>
      <w:bCs/>
    </w:rPr>
  </w:style>
  <w:style w:type="character" w:customStyle="1" w:styleId="apple-converted-space">
    <w:name w:val="apple-converted-space"/>
    <w:basedOn w:val="DefaultParagraphFont"/>
    <w:rsid w:val="00E62DD1"/>
  </w:style>
  <w:style w:type="character" w:customStyle="1" w:styleId="whitespace-normal">
    <w:name w:val="whitespace-normal"/>
    <w:basedOn w:val="DefaultParagraphFont"/>
    <w:rsid w:val="00540963"/>
  </w:style>
  <w:style w:type="paragraph" w:styleId="FootnoteText">
    <w:name w:val="footnote text"/>
    <w:basedOn w:val="Normal"/>
    <w:link w:val="FootnoteTextChar"/>
    <w:uiPriority w:val="99"/>
    <w:semiHidden/>
    <w:unhideWhenUsed/>
    <w:rsid w:val="00177B1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177B1D"/>
    <w:rPr>
      <w:sz w:val="20"/>
      <w:szCs w:val="20"/>
    </w:rPr>
  </w:style>
  <w:style w:type="character" w:styleId="FootnoteReference">
    <w:name w:val="footnote reference"/>
    <w:basedOn w:val="DefaultParagraphFont"/>
    <w:uiPriority w:val="99"/>
    <w:semiHidden/>
    <w:unhideWhenUsed/>
    <w:rsid w:val="00177B1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712863">
      <w:bodyDiv w:val="1"/>
      <w:marLeft w:val="0"/>
      <w:marRight w:val="0"/>
      <w:marTop w:val="0"/>
      <w:marBottom w:val="0"/>
      <w:divBdr>
        <w:top w:val="none" w:sz="0" w:space="0" w:color="auto"/>
        <w:left w:val="none" w:sz="0" w:space="0" w:color="auto"/>
        <w:bottom w:val="none" w:sz="0" w:space="0" w:color="auto"/>
        <w:right w:val="none" w:sz="0" w:space="0" w:color="auto"/>
      </w:divBdr>
    </w:div>
    <w:div w:id="84695193">
      <w:bodyDiv w:val="1"/>
      <w:marLeft w:val="0"/>
      <w:marRight w:val="0"/>
      <w:marTop w:val="0"/>
      <w:marBottom w:val="0"/>
      <w:divBdr>
        <w:top w:val="none" w:sz="0" w:space="0" w:color="auto"/>
        <w:left w:val="none" w:sz="0" w:space="0" w:color="auto"/>
        <w:bottom w:val="none" w:sz="0" w:space="0" w:color="auto"/>
        <w:right w:val="none" w:sz="0" w:space="0" w:color="auto"/>
      </w:divBdr>
      <w:divsChild>
        <w:div w:id="95062751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2160933">
      <w:bodyDiv w:val="1"/>
      <w:marLeft w:val="0"/>
      <w:marRight w:val="0"/>
      <w:marTop w:val="0"/>
      <w:marBottom w:val="0"/>
      <w:divBdr>
        <w:top w:val="none" w:sz="0" w:space="0" w:color="auto"/>
        <w:left w:val="none" w:sz="0" w:space="0" w:color="auto"/>
        <w:bottom w:val="none" w:sz="0" w:space="0" w:color="auto"/>
        <w:right w:val="none" w:sz="0" w:space="0" w:color="auto"/>
      </w:divBdr>
    </w:div>
    <w:div w:id="176042927">
      <w:bodyDiv w:val="1"/>
      <w:marLeft w:val="0"/>
      <w:marRight w:val="0"/>
      <w:marTop w:val="0"/>
      <w:marBottom w:val="0"/>
      <w:divBdr>
        <w:top w:val="none" w:sz="0" w:space="0" w:color="auto"/>
        <w:left w:val="none" w:sz="0" w:space="0" w:color="auto"/>
        <w:bottom w:val="none" w:sz="0" w:space="0" w:color="auto"/>
        <w:right w:val="none" w:sz="0" w:space="0" w:color="auto"/>
      </w:divBdr>
      <w:divsChild>
        <w:div w:id="128457941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10433193">
      <w:bodyDiv w:val="1"/>
      <w:marLeft w:val="0"/>
      <w:marRight w:val="0"/>
      <w:marTop w:val="0"/>
      <w:marBottom w:val="0"/>
      <w:divBdr>
        <w:top w:val="none" w:sz="0" w:space="0" w:color="auto"/>
        <w:left w:val="none" w:sz="0" w:space="0" w:color="auto"/>
        <w:bottom w:val="none" w:sz="0" w:space="0" w:color="auto"/>
        <w:right w:val="none" w:sz="0" w:space="0" w:color="auto"/>
      </w:divBdr>
    </w:div>
    <w:div w:id="632447227">
      <w:bodyDiv w:val="1"/>
      <w:marLeft w:val="0"/>
      <w:marRight w:val="0"/>
      <w:marTop w:val="0"/>
      <w:marBottom w:val="0"/>
      <w:divBdr>
        <w:top w:val="none" w:sz="0" w:space="0" w:color="auto"/>
        <w:left w:val="none" w:sz="0" w:space="0" w:color="auto"/>
        <w:bottom w:val="none" w:sz="0" w:space="0" w:color="auto"/>
        <w:right w:val="none" w:sz="0" w:space="0" w:color="auto"/>
      </w:divBdr>
      <w:divsChild>
        <w:div w:id="611937715">
          <w:blockQuote w:val="1"/>
          <w:marLeft w:val="150"/>
          <w:marRight w:val="150"/>
          <w:marTop w:val="0"/>
          <w:marBottom w:val="0"/>
          <w:divBdr>
            <w:top w:val="none" w:sz="0" w:space="0" w:color="auto"/>
            <w:left w:val="none" w:sz="0" w:space="0" w:color="auto"/>
            <w:bottom w:val="none" w:sz="0" w:space="0" w:color="auto"/>
            <w:right w:val="none" w:sz="0" w:space="0" w:color="auto"/>
          </w:divBdr>
          <w:divsChild>
            <w:div w:id="370420536">
              <w:marLeft w:val="0"/>
              <w:marRight w:val="0"/>
              <w:marTop w:val="0"/>
              <w:marBottom w:val="0"/>
              <w:divBdr>
                <w:top w:val="none" w:sz="0" w:space="0" w:color="auto"/>
                <w:left w:val="none" w:sz="0" w:space="0" w:color="auto"/>
                <w:bottom w:val="none" w:sz="0" w:space="0" w:color="auto"/>
                <w:right w:val="none" w:sz="0" w:space="0" w:color="auto"/>
              </w:divBdr>
              <w:divsChild>
                <w:div w:id="847867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8729637">
      <w:bodyDiv w:val="1"/>
      <w:marLeft w:val="0"/>
      <w:marRight w:val="0"/>
      <w:marTop w:val="0"/>
      <w:marBottom w:val="0"/>
      <w:divBdr>
        <w:top w:val="none" w:sz="0" w:space="0" w:color="auto"/>
        <w:left w:val="none" w:sz="0" w:space="0" w:color="auto"/>
        <w:bottom w:val="none" w:sz="0" w:space="0" w:color="auto"/>
        <w:right w:val="none" w:sz="0" w:space="0" w:color="auto"/>
      </w:divBdr>
      <w:divsChild>
        <w:div w:id="142194613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18690526">
      <w:bodyDiv w:val="1"/>
      <w:marLeft w:val="0"/>
      <w:marRight w:val="0"/>
      <w:marTop w:val="0"/>
      <w:marBottom w:val="0"/>
      <w:divBdr>
        <w:top w:val="none" w:sz="0" w:space="0" w:color="auto"/>
        <w:left w:val="none" w:sz="0" w:space="0" w:color="auto"/>
        <w:bottom w:val="none" w:sz="0" w:space="0" w:color="auto"/>
        <w:right w:val="none" w:sz="0" w:space="0" w:color="auto"/>
      </w:divBdr>
    </w:div>
    <w:div w:id="931206830">
      <w:bodyDiv w:val="1"/>
      <w:marLeft w:val="0"/>
      <w:marRight w:val="0"/>
      <w:marTop w:val="0"/>
      <w:marBottom w:val="0"/>
      <w:divBdr>
        <w:top w:val="none" w:sz="0" w:space="0" w:color="auto"/>
        <w:left w:val="none" w:sz="0" w:space="0" w:color="auto"/>
        <w:bottom w:val="none" w:sz="0" w:space="0" w:color="auto"/>
        <w:right w:val="none" w:sz="0" w:space="0" w:color="auto"/>
      </w:divBdr>
    </w:div>
    <w:div w:id="1106147222">
      <w:bodyDiv w:val="1"/>
      <w:marLeft w:val="0"/>
      <w:marRight w:val="0"/>
      <w:marTop w:val="0"/>
      <w:marBottom w:val="0"/>
      <w:divBdr>
        <w:top w:val="none" w:sz="0" w:space="0" w:color="auto"/>
        <w:left w:val="none" w:sz="0" w:space="0" w:color="auto"/>
        <w:bottom w:val="none" w:sz="0" w:space="0" w:color="auto"/>
        <w:right w:val="none" w:sz="0" w:space="0" w:color="auto"/>
      </w:divBdr>
      <w:divsChild>
        <w:div w:id="152505371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12231582">
      <w:bodyDiv w:val="1"/>
      <w:marLeft w:val="0"/>
      <w:marRight w:val="0"/>
      <w:marTop w:val="0"/>
      <w:marBottom w:val="0"/>
      <w:divBdr>
        <w:top w:val="none" w:sz="0" w:space="0" w:color="auto"/>
        <w:left w:val="none" w:sz="0" w:space="0" w:color="auto"/>
        <w:bottom w:val="none" w:sz="0" w:space="0" w:color="auto"/>
        <w:right w:val="none" w:sz="0" w:space="0" w:color="auto"/>
      </w:divBdr>
      <w:divsChild>
        <w:div w:id="137727154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52875881">
      <w:bodyDiv w:val="1"/>
      <w:marLeft w:val="0"/>
      <w:marRight w:val="0"/>
      <w:marTop w:val="0"/>
      <w:marBottom w:val="0"/>
      <w:divBdr>
        <w:top w:val="none" w:sz="0" w:space="0" w:color="auto"/>
        <w:left w:val="none" w:sz="0" w:space="0" w:color="auto"/>
        <w:bottom w:val="none" w:sz="0" w:space="0" w:color="auto"/>
        <w:right w:val="none" w:sz="0" w:space="0" w:color="auto"/>
      </w:divBdr>
    </w:div>
    <w:div w:id="1682924727">
      <w:bodyDiv w:val="1"/>
      <w:marLeft w:val="0"/>
      <w:marRight w:val="0"/>
      <w:marTop w:val="0"/>
      <w:marBottom w:val="0"/>
      <w:divBdr>
        <w:top w:val="none" w:sz="0" w:space="0" w:color="auto"/>
        <w:left w:val="none" w:sz="0" w:space="0" w:color="auto"/>
        <w:bottom w:val="none" w:sz="0" w:space="0" w:color="auto"/>
        <w:right w:val="none" w:sz="0" w:space="0" w:color="auto"/>
      </w:divBdr>
      <w:divsChild>
        <w:div w:id="19308116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NeinorHomes@h-advisors.global" TargetMode="Externa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mailto:investor.relations@neinorhomes.com"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neinorhomes.com/en/corporate/investors/market-notifications/other-relevant-information/" TargetMode="Externa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hyperlink" Target="https://www.neinorhomes.com/en/accionistas-inversores/" TargetMode="Externa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2scy1izoxzZ/ZeJmgfsPob2mKQQ==">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</go:docsCustomData>
</go:gDocsCustomXmlDataStorage>
</file>

<file path=customXml/itemProps1.xml><?xml version="1.0" encoding="utf-8"?>
<ds:datastoreItem xmlns:ds="http://schemas.openxmlformats.org/officeDocument/2006/customXml" ds:itemID="{5C516572-C1BA-D144-922B-64CB7C57190F}">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1602</TotalTime>
  <Pages>1</Pages>
  <Words>1886</Words>
  <Characters>10751</Characters>
  <Application>Microsoft Office Word</Application>
  <DocSecurity>4</DocSecurity>
  <Lines>89</Lines>
  <Paragraphs>25</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12612</CharactersWithSpaces>
  <SharedDoc>false</SharedDoc>
  <HLinks>
    <vt:vector size="24" baseType="variant">
      <vt:variant>
        <vt:i4>5111852</vt:i4>
      </vt:variant>
      <vt:variant>
        <vt:i4>9</vt:i4>
      </vt:variant>
      <vt:variant>
        <vt:i4>0</vt:i4>
      </vt:variant>
      <vt:variant>
        <vt:i4>5</vt:i4>
      </vt:variant>
      <vt:variant>
        <vt:lpwstr>mailto:NeinorHomes@h-advisors.global</vt:lpwstr>
      </vt:variant>
      <vt:variant>
        <vt:lpwstr/>
      </vt:variant>
      <vt:variant>
        <vt:i4>4063308</vt:i4>
      </vt:variant>
      <vt:variant>
        <vt:i4>6</vt:i4>
      </vt:variant>
      <vt:variant>
        <vt:i4>0</vt:i4>
      </vt:variant>
      <vt:variant>
        <vt:i4>5</vt:i4>
      </vt:variant>
      <vt:variant>
        <vt:lpwstr>mailto:investor.relations@neinorhomes.com</vt:lpwstr>
      </vt:variant>
      <vt:variant>
        <vt:lpwstr/>
      </vt:variant>
      <vt:variant>
        <vt:i4>7471150</vt:i4>
      </vt:variant>
      <vt:variant>
        <vt:i4>3</vt:i4>
      </vt:variant>
      <vt:variant>
        <vt:i4>0</vt:i4>
      </vt:variant>
      <vt:variant>
        <vt:i4>5</vt:i4>
      </vt:variant>
      <vt:variant>
        <vt:lpwstr>https://www.neinorhomes.com/en/corporate/investors/market-notifications/other-relevant-information/</vt:lpwstr>
      </vt:variant>
      <vt:variant>
        <vt:lpwstr/>
      </vt:variant>
      <vt:variant>
        <vt:i4>7340088</vt:i4>
      </vt:variant>
      <vt:variant>
        <vt:i4>0</vt:i4>
      </vt:variant>
      <vt:variant>
        <vt:i4>0</vt:i4>
      </vt:variant>
      <vt:variant>
        <vt:i4>5</vt:i4>
      </vt:variant>
      <vt:variant>
        <vt:lpwstr>https://www.neinorhomes.com/en/accionistas-inversores/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Jose Cravo</dc:creator>
  <cp:keywords/>
  <dc:description/>
  <cp:lastModifiedBy>Jose Cravo</cp:lastModifiedBy>
  <cp:revision>466</cp:revision>
  <cp:lastPrinted>2024-01-18T12:08:00Z</cp:lastPrinted>
  <dcterms:created xsi:type="dcterms:W3CDTF">2025-12-12T22:41:00Z</dcterms:created>
  <dcterms:modified xsi:type="dcterms:W3CDTF">2026-01-19T21:59:00Z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3a01afc5946527dfedb4b65353565715bbe72a360e8d90f275bb936d86ca05ab</vt:lpwstr>
  </property>
</Properties>
</file>