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28E9F" w14:textId="2284F14A" w:rsidR="00592EB7" w:rsidRPr="00356672" w:rsidRDefault="00356672" w:rsidP="00592EB7">
      <w:pPr>
        <w:jc w:val="center"/>
        <w:rPr>
          <w:lang w:val="en-GB"/>
        </w:rPr>
      </w:pPr>
      <w:r w:rsidRPr="00356672">
        <w:rPr>
          <w:rFonts w:ascii="Arial" w:eastAsia="Arial" w:hAnsi="Arial" w:cs="Arial"/>
          <w:sz w:val="20"/>
          <w:szCs w:val="20"/>
          <w:lang w:val="en-GB"/>
        </w:rPr>
        <w:t>Press release</w:t>
      </w:r>
    </w:p>
    <w:p w14:paraId="0726C8F6" w14:textId="10AE030B" w:rsidR="000C49E7" w:rsidRPr="00356672" w:rsidRDefault="000C49E7" w:rsidP="005C2385">
      <w:pPr>
        <w:jc w:val="center"/>
        <w:rPr>
          <w:rFonts w:ascii="Arial" w:eastAsia="Arial" w:hAnsi="Arial" w:cs="Arial"/>
          <w:sz w:val="20"/>
          <w:szCs w:val="20"/>
          <w:lang w:val="en-GB"/>
        </w:rPr>
      </w:pPr>
      <w:r w:rsidRPr="00356672">
        <w:rPr>
          <w:rFonts w:ascii="Arial" w:eastAsia="Arial" w:hAnsi="Arial" w:cs="Arial"/>
          <w:sz w:val="20"/>
          <w:szCs w:val="20"/>
          <w:lang w:val="en-GB"/>
        </w:rPr>
        <w:t>202</w:t>
      </w:r>
      <w:r w:rsidR="000F2EBC" w:rsidRPr="00356672">
        <w:rPr>
          <w:rFonts w:ascii="Arial" w:eastAsia="Arial" w:hAnsi="Arial" w:cs="Arial"/>
          <w:sz w:val="20"/>
          <w:szCs w:val="20"/>
          <w:lang w:val="en-GB"/>
        </w:rPr>
        <w:t>5</w:t>
      </w:r>
      <w:r w:rsidRPr="00356672">
        <w:rPr>
          <w:rFonts w:ascii="Arial" w:eastAsia="Arial" w:hAnsi="Arial" w:cs="Arial"/>
          <w:sz w:val="20"/>
          <w:szCs w:val="20"/>
          <w:lang w:val="en-GB"/>
        </w:rPr>
        <w:t>-</w:t>
      </w:r>
      <w:r w:rsidR="008F7EA9" w:rsidRPr="00356672">
        <w:rPr>
          <w:rFonts w:ascii="Arial" w:eastAsia="Arial" w:hAnsi="Arial" w:cs="Arial"/>
          <w:sz w:val="20"/>
          <w:szCs w:val="20"/>
          <w:lang w:val="en-GB"/>
        </w:rPr>
        <w:t>08</w:t>
      </w:r>
      <w:r w:rsidRPr="00356672">
        <w:rPr>
          <w:rFonts w:ascii="Arial" w:eastAsia="Arial" w:hAnsi="Arial" w:cs="Arial"/>
          <w:sz w:val="20"/>
          <w:szCs w:val="20"/>
          <w:lang w:val="en-GB"/>
        </w:rPr>
        <w:t>-</w:t>
      </w:r>
      <w:r w:rsidR="00486099" w:rsidRPr="00356672">
        <w:rPr>
          <w:rFonts w:ascii="Arial" w:eastAsia="Arial" w:hAnsi="Arial" w:cs="Arial"/>
          <w:sz w:val="20"/>
          <w:szCs w:val="20"/>
          <w:lang w:val="en-GB"/>
        </w:rPr>
        <w:t>0</w:t>
      </w:r>
      <w:r w:rsidR="008F7EA9" w:rsidRPr="00356672">
        <w:rPr>
          <w:rFonts w:ascii="Arial" w:eastAsia="Arial" w:hAnsi="Arial" w:cs="Arial"/>
          <w:sz w:val="20"/>
          <w:szCs w:val="20"/>
          <w:lang w:val="en-GB"/>
        </w:rPr>
        <w:t>8</w:t>
      </w:r>
    </w:p>
    <w:p w14:paraId="15C91344" w14:textId="0B9BA3FE" w:rsidR="00356672" w:rsidRPr="00356672" w:rsidRDefault="00356672" w:rsidP="00356672">
      <w:pPr>
        <w:jc w:val="center"/>
        <w:rPr>
          <w:rFonts w:ascii="Arial" w:eastAsia="Times New Roman" w:hAnsi="Arial" w:cs="Arial"/>
          <w:b/>
          <w:bCs/>
          <w:sz w:val="24"/>
          <w:szCs w:val="24"/>
          <w:lang w:val="en-GB" w:eastAsia="en-GB"/>
        </w:rPr>
      </w:pPr>
      <w:r w:rsidRPr="00356672">
        <w:rPr>
          <w:rFonts w:ascii="Arial" w:eastAsia="Times New Roman" w:hAnsi="Arial" w:cs="Arial"/>
          <w:b/>
          <w:bCs/>
          <w:sz w:val="24"/>
          <w:szCs w:val="24"/>
          <w:lang w:val="en-GB" w:eastAsia="en-GB"/>
        </w:rPr>
        <w:t>Litgrid first half results: strategic energy independence projects continue to be successfully implemented</w:t>
      </w:r>
    </w:p>
    <w:p w14:paraId="5DF4CACD" w14:textId="7499362A" w:rsidR="00356672" w:rsidRPr="00356672" w:rsidRDefault="00356672" w:rsidP="00356672">
      <w:pPr>
        <w:jc w:val="both"/>
        <w:rPr>
          <w:rFonts w:ascii="Arial" w:eastAsia="Times New Roman" w:hAnsi="Arial" w:cs="Arial"/>
          <w:b/>
          <w:bCs/>
          <w:lang w:val="en-GB" w:eastAsia="en-GB"/>
        </w:rPr>
      </w:pPr>
      <w:r w:rsidRPr="00356672">
        <w:rPr>
          <w:rFonts w:ascii="Arial" w:eastAsia="Times New Roman" w:hAnsi="Arial" w:cs="Arial"/>
          <w:b/>
          <w:bCs/>
          <w:lang w:val="en-GB" w:eastAsia="en-GB"/>
        </w:rPr>
        <w:t xml:space="preserve">In the second quarter of this year, Litgrid, the Lithuanian electricity transmission system operator, continued to </w:t>
      </w:r>
      <w:r w:rsidR="008070E9">
        <w:rPr>
          <w:rFonts w:ascii="Arial" w:eastAsia="Times New Roman" w:hAnsi="Arial" w:cs="Arial"/>
          <w:b/>
          <w:bCs/>
          <w:lang w:val="en-GB" w:eastAsia="en-GB"/>
        </w:rPr>
        <w:t>provide seamless</w:t>
      </w:r>
      <w:r w:rsidRPr="00356672">
        <w:rPr>
          <w:rFonts w:ascii="Arial" w:eastAsia="Times New Roman" w:hAnsi="Arial" w:cs="Arial"/>
          <w:b/>
          <w:bCs/>
          <w:lang w:val="en-GB" w:eastAsia="en-GB"/>
        </w:rPr>
        <w:t xml:space="preserve"> operat</w:t>
      </w:r>
      <w:r w:rsidR="008070E9">
        <w:rPr>
          <w:rFonts w:ascii="Arial" w:eastAsia="Times New Roman" w:hAnsi="Arial" w:cs="Arial"/>
          <w:b/>
          <w:bCs/>
          <w:lang w:val="en-GB" w:eastAsia="en-GB"/>
        </w:rPr>
        <w:t>ion of</w:t>
      </w:r>
      <w:r w:rsidRPr="00356672">
        <w:rPr>
          <w:rFonts w:ascii="Arial" w:eastAsia="Times New Roman" w:hAnsi="Arial" w:cs="Arial"/>
          <w:b/>
          <w:bCs/>
          <w:lang w:val="en-GB" w:eastAsia="en-GB"/>
        </w:rPr>
        <w:t xml:space="preserve"> the electricity system in the </w:t>
      </w:r>
      <w:r w:rsidR="0008280A">
        <w:rPr>
          <w:rFonts w:ascii="Arial" w:eastAsia="Times New Roman" w:hAnsi="Arial" w:cs="Arial"/>
          <w:b/>
          <w:bCs/>
          <w:lang w:val="en-GB" w:eastAsia="en-GB"/>
        </w:rPr>
        <w:t>C</w:t>
      </w:r>
      <w:r w:rsidRPr="00356672">
        <w:rPr>
          <w:rFonts w:ascii="Arial" w:eastAsia="Times New Roman" w:hAnsi="Arial" w:cs="Arial"/>
          <w:b/>
          <w:bCs/>
          <w:lang w:val="en-GB" w:eastAsia="en-GB"/>
        </w:rPr>
        <w:t>ontinental Europe</w:t>
      </w:r>
      <w:r w:rsidR="0008280A">
        <w:rPr>
          <w:rFonts w:ascii="Arial" w:eastAsia="Times New Roman" w:hAnsi="Arial" w:cs="Arial"/>
          <w:b/>
          <w:bCs/>
          <w:lang w:val="en-GB" w:eastAsia="en-GB"/>
        </w:rPr>
        <w:t xml:space="preserve"> Synchronous Area</w:t>
      </w:r>
      <w:r w:rsidRPr="00356672">
        <w:rPr>
          <w:rFonts w:ascii="Arial" w:eastAsia="Times New Roman" w:hAnsi="Arial" w:cs="Arial"/>
          <w:b/>
          <w:bCs/>
          <w:lang w:val="en-GB" w:eastAsia="en-GB"/>
        </w:rPr>
        <w:t>, which Lithuania joined in February together with the other Baltic countries. Strategic projects ensuring Lithuania's energy independence were also completed in April–June. Litgrid continued to ensure the reliability of electricity supply. Due to temporary factors affecting the electricity balancing market, the company incurred a loss in the first half of the year, but the adjusted financial results were stable compared to the same period last year.</w:t>
      </w:r>
    </w:p>
    <w:p w14:paraId="13151608" w14:textId="74E57D97" w:rsidR="00356672" w:rsidRPr="00356672" w:rsidRDefault="00AC5E7F" w:rsidP="00356672">
      <w:pPr>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t>“</w:t>
      </w:r>
      <w:r w:rsidR="00356672" w:rsidRPr="00356672">
        <w:rPr>
          <w:rFonts w:ascii="Arial" w:eastAsia="Times New Roman" w:hAnsi="Arial" w:cs="Arial"/>
          <w:sz w:val="20"/>
          <w:szCs w:val="20"/>
          <w:lang w:val="en-GB" w:eastAsia="en-GB"/>
        </w:rPr>
        <w:t xml:space="preserve">It has been six months since we severed ties with the Russian-controlled electricity system without any disruptions and have been operating smoothly with our partners in the </w:t>
      </w:r>
      <w:r>
        <w:rPr>
          <w:rFonts w:ascii="Arial" w:eastAsia="Times New Roman" w:hAnsi="Arial" w:cs="Arial"/>
          <w:sz w:val="20"/>
          <w:szCs w:val="20"/>
          <w:lang w:val="en-GB" w:eastAsia="en-GB"/>
        </w:rPr>
        <w:t>C</w:t>
      </w:r>
      <w:r w:rsidR="00356672" w:rsidRPr="00356672">
        <w:rPr>
          <w:rFonts w:ascii="Arial" w:eastAsia="Times New Roman" w:hAnsi="Arial" w:cs="Arial"/>
          <w:sz w:val="20"/>
          <w:szCs w:val="20"/>
          <w:lang w:val="en-GB" w:eastAsia="en-GB"/>
        </w:rPr>
        <w:t>ontinental European electricity system. In the second quarter, we completed projects important for energy independence as part of the synchroni</w:t>
      </w:r>
      <w:r>
        <w:rPr>
          <w:rFonts w:ascii="Arial" w:eastAsia="Times New Roman" w:hAnsi="Arial" w:cs="Arial"/>
          <w:sz w:val="20"/>
          <w:szCs w:val="20"/>
          <w:lang w:val="en-GB" w:eastAsia="en-GB"/>
        </w:rPr>
        <w:t>s</w:t>
      </w:r>
      <w:r w:rsidR="00356672" w:rsidRPr="00356672">
        <w:rPr>
          <w:rFonts w:ascii="Arial" w:eastAsia="Times New Roman" w:hAnsi="Arial" w:cs="Arial"/>
          <w:sz w:val="20"/>
          <w:szCs w:val="20"/>
          <w:lang w:val="en-GB" w:eastAsia="en-GB"/>
        </w:rPr>
        <w:t>ation program</w:t>
      </w:r>
      <w:r>
        <w:rPr>
          <w:rFonts w:ascii="Arial" w:eastAsia="Times New Roman" w:hAnsi="Arial" w:cs="Arial"/>
          <w:sz w:val="20"/>
          <w:szCs w:val="20"/>
          <w:lang w:val="en-GB" w:eastAsia="en-GB"/>
        </w:rPr>
        <w:t>me</w:t>
      </w:r>
      <w:r w:rsidR="00356672" w:rsidRPr="00356672">
        <w:rPr>
          <w:rFonts w:ascii="Arial" w:eastAsia="Times New Roman" w:hAnsi="Arial" w:cs="Arial"/>
          <w:sz w:val="20"/>
          <w:szCs w:val="20"/>
          <w:lang w:val="en-GB" w:eastAsia="en-GB"/>
        </w:rPr>
        <w:t xml:space="preserve">: we launched the third synchronous </w:t>
      </w:r>
      <w:r>
        <w:rPr>
          <w:rFonts w:ascii="Arial" w:eastAsia="Times New Roman" w:hAnsi="Arial" w:cs="Arial"/>
          <w:sz w:val="20"/>
          <w:szCs w:val="20"/>
          <w:lang w:val="en-GB" w:eastAsia="en-GB"/>
        </w:rPr>
        <w:t>condenser</w:t>
      </w:r>
      <w:r w:rsidR="00356672" w:rsidRPr="00356672">
        <w:rPr>
          <w:rFonts w:ascii="Arial" w:eastAsia="Times New Roman" w:hAnsi="Arial" w:cs="Arial"/>
          <w:sz w:val="20"/>
          <w:szCs w:val="20"/>
          <w:lang w:val="en-GB" w:eastAsia="en-GB"/>
        </w:rPr>
        <w:t>, completed the reconstruction of the Neris substation and the construction of the Vilnius</w:t>
      </w:r>
      <w:r>
        <w:rPr>
          <w:rFonts w:ascii="Arial" w:eastAsia="Times New Roman" w:hAnsi="Arial" w:cs="Arial"/>
          <w:sz w:val="20"/>
          <w:szCs w:val="20"/>
          <w:lang w:val="en-GB" w:eastAsia="en-GB"/>
        </w:rPr>
        <w:t>–</w:t>
      </w:r>
      <w:r w:rsidR="00356672" w:rsidRPr="00356672">
        <w:rPr>
          <w:rFonts w:ascii="Arial" w:eastAsia="Times New Roman" w:hAnsi="Arial" w:cs="Arial"/>
          <w:sz w:val="20"/>
          <w:szCs w:val="20"/>
          <w:lang w:val="en-GB" w:eastAsia="en-GB"/>
        </w:rPr>
        <w:t>Neris line, thereby strengthening the electricity transmission network in the Vilnius region. We also completed the Kruonio HAE–Bitėnai power line project," said Rokas Masiulis, CEO of Litgrid.</w:t>
      </w:r>
    </w:p>
    <w:p w14:paraId="2AFAF88A" w14:textId="23A81621" w:rsidR="00356672" w:rsidRPr="00356672" w:rsidRDefault="00356672" w:rsidP="00356672">
      <w:pPr>
        <w:jc w:val="both"/>
        <w:rPr>
          <w:rFonts w:ascii="Arial" w:eastAsia="Times New Roman" w:hAnsi="Arial" w:cs="Arial"/>
          <w:sz w:val="20"/>
          <w:szCs w:val="20"/>
          <w:lang w:val="en-GB" w:eastAsia="en-GB"/>
        </w:rPr>
      </w:pPr>
      <w:r w:rsidRPr="00356672">
        <w:rPr>
          <w:rFonts w:ascii="Arial" w:eastAsia="Times New Roman" w:hAnsi="Arial" w:cs="Arial"/>
          <w:sz w:val="20"/>
          <w:szCs w:val="20"/>
          <w:lang w:val="en-GB" w:eastAsia="en-GB"/>
        </w:rPr>
        <w:t xml:space="preserve">According to him, work on the new Harmony Link </w:t>
      </w:r>
      <w:r w:rsidR="00AC5E7F">
        <w:rPr>
          <w:rFonts w:ascii="Arial" w:eastAsia="Times New Roman" w:hAnsi="Arial" w:cs="Arial"/>
          <w:sz w:val="20"/>
          <w:szCs w:val="20"/>
          <w:lang w:val="en-GB" w:eastAsia="en-GB"/>
        </w:rPr>
        <w:t>onshore</w:t>
      </w:r>
      <w:r w:rsidRPr="00356672">
        <w:rPr>
          <w:rFonts w:ascii="Arial" w:eastAsia="Times New Roman" w:hAnsi="Arial" w:cs="Arial"/>
          <w:sz w:val="20"/>
          <w:szCs w:val="20"/>
          <w:lang w:val="en-GB" w:eastAsia="en-GB"/>
        </w:rPr>
        <w:t xml:space="preserve"> </w:t>
      </w:r>
      <w:r w:rsidR="00AC5E7F">
        <w:rPr>
          <w:rFonts w:ascii="Arial" w:eastAsia="Times New Roman" w:hAnsi="Arial" w:cs="Arial"/>
          <w:sz w:val="20"/>
          <w:szCs w:val="20"/>
          <w:lang w:val="en-GB" w:eastAsia="en-GB"/>
        </w:rPr>
        <w:t>interconnector</w:t>
      </w:r>
      <w:r w:rsidRPr="00356672">
        <w:rPr>
          <w:rFonts w:ascii="Arial" w:eastAsia="Times New Roman" w:hAnsi="Arial" w:cs="Arial"/>
          <w:sz w:val="20"/>
          <w:szCs w:val="20"/>
          <w:lang w:val="en-GB" w:eastAsia="en-GB"/>
        </w:rPr>
        <w:t xml:space="preserve"> with Poland is also progressing rapidly: in the second quarter, the concept for the project's engineering infrastructure development plan was approved, and Litgrid began design work on the line and the purchase of </w:t>
      </w:r>
      <w:r w:rsidR="00577F01">
        <w:rPr>
          <w:rFonts w:ascii="Arial" w:eastAsia="Times New Roman" w:hAnsi="Arial" w:cs="Arial"/>
          <w:sz w:val="20"/>
          <w:szCs w:val="20"/>
          <w:lang w:val="en-GB" w:eastAsia="en-GB"/>
        </w:rPr>
        <w:t>variable</w:t>
      </w:r>
      <w:r w:rsidRPr="00356672">
        <w:rPr>
          <w:rFonts w:ascii="Arial" w:eastAsia="Times New Roman" w:hAnsi="Arial" w:cs="Arial"/>
          <w:sz w:val="20"/>
          <w:szCs w:val="20"/>
          <w:lang w:val="en-GB" w:eastAsia="en-GB"/>
        </w:rPr>
        <w:t xml:space="preserve"> shunt reactors.</w:t>
      </w:r>
    </w:p>
    <w:p w14:paraId="791D927B" w14:textId="181E36FD" w:rsidR="00356672" w:rsidRPr="00356672" w:rsidRDefault="00577F01" w:rsidP="00356672">
      <w:pPr>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t>“</w:t>
      </w:r>
      <w:r w:rsidR="00356672" w:rsidRPr="00356672">
        <w:rPr>
          <w:rFonts w:ascii="Arial" w:eastAsia="Times New Roman" w:hAnsi="Arial" w:cs="Arial"/>
          <w:sz w:val="20"/>
          <w:szCs w:val="20"/>
          <w:lang w:val="en-GB" w:eastAsia="en-GB"/>
        </w:rPr>
        <w:t xml:space="preserve">In April, we reached a symbolic milestone in the development of renewable energy sources: solar and wind power plants in Lithuania exceeded 4 GW of capacity, and we expect to reach 5 GW by the end of the year. In the second quarter, more than 90% of Lithuania's electricity demand was met by local power plants, with renewable power plants alone accounting for almost two-thirds. Laying the foundations for the future development of renewable resources, we have started the first works on a hybrid offshore power link project together with German and Latvian operators and are implementing innovative </w:t>
      </w:r>
      <w:r>
        <w:rPr>
          <w:rFonts w:ascii="Arial" w:eastAsia="Times New Roman" w:hAnsi="Arial" w:cs="Arial"/>
          <w:sz w:val="20"/>
          <w:szCs w:val="20"/>
          <w:lang w:val="en-GB" w:eastAsia="en-GB"/>
        </w:rPr>
        <w:t>dynamic</w:t>
      </w:r>
      <w:r w:rsidR="00356672" w:rsidRPr="00356672">
        <w:rPr>
          <w:rFonts w:ascii="Arial" w:eastAsia="Times New Roman" w:hAnsi="Arial" w:cs="Arial"/>
          <w:sz w:val="20"/>
          <w:szCs w:val="20"/>
          <w:lang w:val="en-GB" w:eastAsia="en-GB"/>
        </w:rPr>
        <w:t xml:space="preserve"> line </w:t>
      </w:r>
      <w:r>
        <w:rPr>
          <w:rFonts w:ascii="Arial" w:eastAsia="Times New Roman" w:hAnsi="Arial" w:cs="Arial"/>
          <w:sz w:val="20"/>
          <w:szCs w:val="20"/>
          <w:lang w:val="en-GB" w:eastAsia="en-GB"/>
        </w:rPr>
        <w:t>rating</w:t>
      </w:r>
      <w:r w:rsidR="00356672" w:rsidRPr="00356672">
        <w:rPr>
          <w:rFonts w:ascii="Arial" w:eastAsia="Times New Roman" w:hAnsi="Arial" w:cs="Arial"/>
          <w:sz w:val="20"/>
          <w:szCs w:val="20"/>
          <w:lang w:val="en-GB" w:eastAsia="en-GB"/>
        </w:rPr>
        <w:t xml:space="preserve"> technology,</w:t>
      </w:r>
      <w:r>
        <w:rPr>
          <w:rFonts w:ascii="Arial" w:eastAsia="Times New Roman" w:hAnsi="Arial" w:cs="Arial"/>
          <w:sz w:val="20"/>
          <w:szCs w:val="20"/>
          <w:lang w:val="en-GB" w:eastAsia="en-GB"/>
        </w:rPr>
        <w:t>”</w:t>
      </w:r>
      <w:r w:rsidR="00356672" w:rsidRPr="00356672">
        <w:rPr>
          <w:rFonts w:ascii="Arial" w:eastAsia="Times New Roman" w:hAnsi="Arial" w:cs="Arial"/>
          <w:sz w:val="20"/>
          <w:szCs w:val="20"/>
          <w:lang w:val="en-GB" w:eastAsia="en-GB"/>
        </w:rPr>
        <w:t xml:space="preserve"> says the </w:t>
      </w:r>
      <w:r>
        <w:rPr>
          <w:rFonts w:ascii="Arial" w:eastAsia="Times New Roman" w:hAnsi="Arial" w:cs="Arial"/>
          <w:sz w:val="20"/>
          <w:szCs w:val="20"/>
          <w:lang w:val="en-GB" w:eastAsia="en-GB"/>
        </w:rPr>
        <w:t>CEO</w:t>
      </w:r>
      <w:r w:rsidR="00356672" w:rsidRPr="00356672">
        <w:rPr>
          <w:rFonts w:ascii="Arial" w:eastAsia="Times New Roman" w:hAnsi="Arial" w:cs="Arial"/>
          <w:sz w:val="20"/>
          <w:szCs w:val="20"/>
          <w:lang w:val="en-GB" w:eastAsia="en-GB"/>
        </w:rPr>
        <w:t xml:space="preserve"> of Litgrid.</w:t>
      </w:r>
    </w:p>
    <w:p w14:paraId="7E897C67" w14:textId="77777777" w:rsidR="00356672" w:rsidRPr="00577F01" w:rsidRDefault="00356672" w:rsidP="00356672">
      <w:pPr>
        <w:jc w:val="both"/>
        <w:rPr>
          <w:rFonts w:ascii="Arial" w:eastAsia="Times New Roman" w:hAnsi="Arial" w:cs="Arial"/>
          <w:b/>
          <w:bCs/>
          <w:sz w:val="20"/>
          <w:szCs w:val="20"/>
          <w:lang w:val="en-GB" w:eastAsia="en-GB"/>
        </w:rPr>
      </w:pPr>
      <w:r w:rsidRPr="00577F01">
        <w:rPr>
          <w:rFonts w:ascii="Arial" w:eastAsia="Times New Roman" w:hAnsi="Arial" w:cs="Arial"/>
          <w:b/>
          <w:bCs/>
          <w:sz w:val="20"/>
          <w:szCs w:val="20"/>
          <w:lang w:val="en-GB" w:eastAsia="en-GB"/>
        </w:rPr>
        <w:t>Supply reliability</w:t>
      </w:r>
    </w:p>
    <w:p w14:paraId="7B768834" w14:textId="20DB563E" w:rsidR="00356672" w:rsidRPr="00356672" w:rsidRDefault="00356672" w:rsidP="00356672">
      <w:pPr>
        <w:jc w:val="both"/>
        <w:rPr>
          <w:rFonts w:ascii="Arial" w:eastAsia="Times New Roman" w:hAnsi="Arial" w:cs="Arial"/>
          <w:sz w:val="20"/>
          <w:szCs w:val="20"/>
          <w:lang w:val="en-GB" w:eastAsia="en-GB"/>
        </w:rPr>
      </w:pPr>
      <w:r w:rsidRPr="00356672">
        <w:rPr>
          <w:rFonts w:ascii="Arial" w:eastAsia="Times New Roman" w:hAnsi="Arial" w:cs="Arial"/>
          <w:sz w:val="20"/>
          <w:szCs w:val="20"/>
          <w:lang w:val="en-GB" w:eastAsia="en-GB"/>
        </w:rPr>
        <w:t xml:space="preserve">The amount of electricity transmitted through Lithuania's transmission </w:t>
      </w:r>
      <w:r w:rsidR="00577F01">
        <w:rPr>
          <w:rFonts w:ascii="Arial" w:eastAsia="Times New Roman" w:hAnsi="Arial" w:cs="Arial"/>
          <w:sz w:val="20"/>
          <w:szCs w:val="20"/>
          <w:lang w:val="en-GB" w:eastAsia="en-GB"/>
        </w:rPr>
        <w:t>grid</w:t>
      </w:r>
      <w:r w:rsidRPr="00356672">
        <w:rPr>
          <w:rFonts w:ascii="Arial" w:eastAsia="Times New Roman" w:hAnsi="Arial" w:cs="Arial"/>
          <w:sz w:val="20"/>
          <w:szCs w:val="20"/>
          <w:lang w:val="en-GB" w:eastAsia="en-GB"/>
        </w:rPr>
        <w:t xml:space="preserve"> decreased in the first half of the year. In January–June 2025, the amount of electricity transmitted to meet the country's needs reached 4.459 TWh, which is 5.9% less than in the same period in 2024, when 4.739 TWh was transmitted.</w:t>
      </w:r>
    </w:p>
    <w:p w14:paraId="0D543EC9" w14:textId="306EE165" w:rsidR="00356672" w:rsidRPr="00356672" w:rsidRDefault="00356672" w:rsidP="00356672">
      <w:pPr>
        <w:jc w:val="both"/>
        <w:rPr>
          <w:rFonts w:ascii="Arial" w:eastAsia="Times New Roman" w:hAnsi="Arial" w:cs="Arial"/>
          <w:sz w:val="20"/>
          <w:szCs w:val="20"/>
          <w:lang w:val="en-GB" w:eastAsia="en-GB"/>
        </w:rPr>
      </w:pPr>
      <w:r w:rsidRPr="00356672">
        <w:rPr>
          <w:rFonts w:ascii="Arial" w:eastAsia="Times New Roman" w:hAnsi="Arial" w:cs="Arial"/>
          <w:sz w:val="20"/>
          <w:szCs w:val="20"/>
          <w:lang w:val="en-GB" w:eastAsia="en-GB"/>
        </w:rPr>
        <w:t>Litgrid continued to implement its planned electricity supply reliability targets while supervising and managing the electricity transmission system. In the first half of 2025, the average interruption time (AIT) was 0.225 minutes, and the energy not supplied (ENS) indicator was 5.735 MWh. By comparison, the National Energy Regulatory Council (</w:t>
      </w:r>
      <w:r w:rsidR="009C7D21">
        <w:rPr>
          <w:rFonts w:ascii="Arial" w:eastAsia="Times New Roman" w:hAnsi="Arial" w:cs="Arial"/>
          <w:sz w:val="20"/>
          <w:szCs w:val="20"/>
          <w:lang w:val="en-GB" w:eastAsia="en-GB"/>
        </w:rPr>
        <w:t>NERC</w:t>
      </w:r>
      <w:r w:rsidRPr="00356672">
        <w:rPr>
          <w:rFonts w:ascii="Arial" w:eastAsia="Times New Roman" w:hAnsi="Arial" w:cs="Arial"/>
          <w:sz w:val="20"/>
          <w:szCs w:val="20"/>
          <w:lang w:val="en-GB" w:eastAsia="en-GB"/>
        </w:rPr>
        <w:t>) has set a target of 0.934 minutes for the AIT and 27.251 MWh for the ENS for the whole year.</w:t>
      </w:r>
    </w:p>
    <w:p w14:paraId="73F95D4A" w14:textId="5AE0D97B" w:rsidR="00356672" w:rsidRPr="00356672" w:rsidRDefault="00356672" w:rsidP="00356672">
      <w:pPr>
        <w:jc w:val="both"/>
        <w:rPr>
          <w:rFonts w:ascii="Arial" w:eastAsia="Times New Roman" w:hAnsi="Arial" w:cs="Arial"/>
          <w:sz w:val="20"/>
          <w:szCs w:val="20"/>
          <w:lang w:val="en-GB" w:eastAsia="en-GB"/>
        </w:rPr>
      </w:pPr>
      <w:r w:rsidRPr="00356672">
        <w:rPr>
          <w:rFonts w:ascii="Arial" w:eastAsia="Times New Roman" w:hAnsi="Arial" w:cs="Arial"/>
          <w:sz w:val="20"/>
          <w:szCs w:val="20"/>
          <w:lang w:val="en-GB" w:eastAsia="en-GB"/>
        </w:rPr>
        <w:t xml:space="preserve">The overall availability of the NordBalt interconnector with Sweden in the first half of 2025 was 97.4%. The unavailability was mainly due to emergency disconnections on the Swedish side. From January 1 to February 9, 2025, the availability of the LitPol Link interconnection was 99.1%. Since February 9, LitPol Link has been operating in </w:t>
      </w:r>
      <w:r w:rsidR="00881B90">
        <w:rPr>
          <w:rFonts w:ascii="Arial" w:eastAsia="Times New Roman" w:hAnsi="Arial" w:cs="Arial"/>
          <w:sz w:val="20"/>
          <w:szCs w:val="20"/>
          <w:lang w:val="en-GB" w:eastAsia="en-GB"/>
        </w:rPr>
        <w:t>AC</w:t>
      </w:r>
      <w:r w:rsidRPr="00356672">
        <w:rPr>
          <w:rFonts w:ascii="Arial" w:eastAsia="Times New Roman" w:hAnsi="Arial" w:cs="Arial"/>
          <w:sz w:val="20"/>
          <w:szCs w:val="20"/>
          <w:lang w:val="en-GB" w:eastAsia="en-GB"/>
        </w:rPr>
        <w:t xml:space="preserve"> mode, with the interconnection's market capacity assessed on the basis of </w:t>
      </w:r>
      <w:r w:rsidRPr="00356672">
        <w:rPr>
          <w:rFonts w:ascii="Arial" w:eastAsia="Times New Roman" w:hAnsi="Arial" w:cs="Arial"/>
          <w:sz w:val="20"/>
          <w:szCs w:val="20"/>
          <w:lang w:val="en-GB" w:eastAsia="en-GB"/>
        </w:rPr>
        <w:lastRenderedPageBreak/>
        <w:t>frequency stability in order to ensure the reliability of the Baltic countries' electricity systems. From February 9 to June 30, the capacity of the Poland-Lithuania section dedicated to the market (at least 70% of capacity) was 99.3%, while that of the Lithuania-Poland section was 100%. The unavailability of LitPol Link was mainly due to scheduled maintenance work and balancing reserve volumes.</w:t>
      </w:r>
    </w:p>
    <w:p w14:paraId="407CC988" w14:textId="77777777" w:rsidR="00356672" w:rsidRPr="00881B90" w:rsidRDefault="00356672" w:rsidP="00356672">
      <w:pPr>
        <w:jc w:val="both"/>
        <w:rPr>
          <w:rFonts w:ascii="Arial" w:eastAsia="Times New Roman" w:hAnsi="Arial" w:cs="Arial"/>
          <w:b/>
          <w:bCs/>
          <w:sz w:val="20"/>
          <w:szCs w:val="20"/>
          <w:lang w:val="en-GB" w:eastAsia="en-GB"/>
        </w:rPr>
      </w:pPr>
      <w:r w:rsidRPr="00881B90">
        <w:rPr>
          <w:rFonts w:ascii="Arial" w:eastAsia="Times New Roman" w:hAnsi="Arial" w:cs="Arial"/>
          <w:b/>
          <w:bCs/>
          <w:sz w:val="20"/>
          <w:szCs w:val="20"/>
          <w:lang w:val="en-GB" w:eastAsia="en-GB"/>
        </w:rPr>
        <w:t>Financial results</w:t>
      </w:r>
    </w:p>
    <w:p w14:paraId="0E4C44BF" w14:textId="42FB4D0A" w:rsidR="00356672" w:rsidRPr="00356672" w:rsidRDefault="00356672" w:rsidP="00356672">
      <w:pPr>
        <w:jc w:val="both"/>
        <w:rPr>
          <w:rFonts w:ascii="Arial" w:eastAsia="Times New Roman" w:hAnsi="Arial" w:cs="Arial"/>
          <w:sz w:val="20"/>
          <w:szCs w:val="20"/>
          <w:lang w:val="en-GB" w:eastAsia="en-GB"/>
        </w:rPr>
      </w:pPr>
      <w:r w:rsidRPr="00356672">
        <w:rPr>
          <w:rFonts w:ascii="Arial" w:eastAsia="Times New Roman" w:hAnsi="Arial" w:cs="Arial"/>
          <w:sz w:val="20"/>
          <w:szCs w:val="20"/>
          <w:lang w:val="en-GB" w:eastAsia="en-GB"/>
        </w:rPr>
        <w:t xml:space="preserve">According to unaudited data, Litgrid's revenue for the first half of 2025 amounted to EUR 209 million. Compared to the same period last year, </w:t>
      </w:r>
      <w:r w:rsidR="00881B90">
        <w:rPr>
          <w:rFonts w:ascii="Arial" w:eastAsia="Times New Roman" w:hAnsi="Arial" w:cs="Arial"/>
          <w:sz w:val="20"/>
          <w:szCs w:val="20"/>
          <w:lang w:val="en-GB" w:eastAsia="en-GB"/>
        </w:rPr>
        <w:t>it was</w:t>
      </w:r>
      <w:r w:rsidRPr="00356672">
        <w:rPr>
          <w:rFonts w:ascii="Arial" w:eastAsia="Times New Roman" w:hAnsi="Arial" w:cs="Arial"/>
          <w:sz w:val="20"/>
          <w:szCs w:val="20"/>
          <w:lang w:val="en-GB" w:eastAsia="en-GB"/>
        </w:rPr>
        <w:t xml:space="preserve"> 6% higher.</w:t>
      </w:r>
    </w:p>
    <w:p w14:paraId="1EF5FACD" w14:textId="77777777" w:rsidR="00356672" w:rsidRPr="00356672" w:rsidRDefault="00356672" w:rsidP="00356672">
      <w:pPr>
        <w:jc w:val="both"/>
        <w:rPr>
          <w:rFonts w:ascii="Arial" w:eastAsia="Times New Roman" w:hAnsi="Arial" w:cs="Arial"/>
          <w:sz w:val="20"/>
          <w:szCs w:val="20"/>
          <w:lang w:val="en-GB" w:eastAsia="en-GB"/>
        </w:rPr>
      </w:pPr>
      <w:r w:rsidRPr="00356672">
        <w:rPr>
          <w:rFonts w:ascii="Arial" w:eastAsia="Times New Roman" w:hAnsi="Arial" w:cs="Arial"/>
          <w:sz w:val="20"/>
          <w:szCs w:val="20"/>
          <w:lang w:val="en-GB" w:eastAsia="en-GB"/>
        </w:rPr>
        <w:t>Revenue from electricity transmission (including EUR 17.2 million in congestion management revenue used for tariff reductions in 2025) increased by 2% to EUR 66.2 million.</w:t>
      </w:r>
    </w:p>
    <w:p w14:paraId="5DA352C7" w14:textId="5734D0DC" w:rsidR="00356672" w:rsidRPr="00356672" w:rsidRDefault="00356672" w:rsidP="00356672">
      <w:pPr>
        <w:jc w:val="both"/>
        <w:rPr>
          <w:rFonts w:ascii="Arial" w:eastAsia="Times New Roman" w:hAnsi="Arial" w:cs="Arial"/>
          <w:sz w:val="20"/>
          <w:szCs w:val="20"/>
          <w:lang w:val="en-GB" w:eastAsia="en-GB"/>
        </w:rPr>
      </w:pPr>
      <w:r w:rsidRPr="00356672">
        <w:rPr>
          <w:rFonts w:ascii="Arial" w:eastAsia="Times New Roman" w:hAnsi="Arial" w:cs="Arial"/>
          <w:sz w:val="20"/>
          <w:szCs w:val="20"/>
          <w:lang w:val="en-GB" w:eastAsia="en-GB"/>
        </w:rPr>
        <w:t xml:space="preserve">Revenue from additional services increased by 25% to EUR 89.9 million. Revenue was increased by a 28% higher component of additional services in the transmission price set by </w:t>
      </w:r>
      <w:r w:rsidR="00881B90">
        <w:rPr>
          <w:rFonts w:ascii="Arial" w:eastAsia="Times New Roman" w:hAnsi="Arial" w:cs="Arial"/>
          <w:sz w:val="20"/>
          <w:szCs w:val="20"/>
          <w:lang w:val="en-GB" w:eastAsia="en-GB"/>
        </w:rPr>
        <w:t>NERC</w:t>
      </w:r>
      <w:r w:rsidRPr="00356672">
        <w:rPr>
          <w:rFonts w:ascii="Arial" w:eastAsia="Times New Roman" w:hAnsi="Arial" w:cs="Arial"/>
          <w:sz w:val="20"/>
          <w:szCs w:val="20"/>
          <w:lang w:val="en-GB" w:eastAsia="en-GB"/>
        </w:rPr>
        <w:t>, while the volume of services provided decreased by 4%.</w:t>
      </w:r>
    </w:p>
    <w:p w14:paraId="5DAB80FF" w14:textId="77777777" w:rsidR="00356672" w:rsidRPr="00356672" w:rsidRDefault="00356672" w:rsidP="00356672">
      <w:pPr>
        <w:jc w:val="both"/>
        <w:rPr>
          <w:rFonts w:ascii="Arial" w:eastAsia="Times New Roman" w:hAnsi="Arial" w:cs="Arial"/>
          <w:sz w:val="20"/>
          <w:szCs w:val="20"/>
          <w:lang w:val="en-GB" w:eastAsia="en-GB"/>
        </w:rPr>
      </w:pPr>
      <w:r w:rsidRPr="00356672">
        <w:rPr>
          <w:rFonts w:ascii="Arial" w:eastAsia="Times New Roman" w:hAnsi="Arial" w:cs="Arial"/>
          <w:sz w:val="20"/>
          <w:szCs w:val="20"/>
          <w:lang w:val="en-GB" w:eastAsia="en-GB"/>
        </w:rPr>
        <w:t>Income from imbalance and balancing decreased by 16.5% to EUR 48.2 million due to a 39% decrease in the average sales price, while the volume increased by 36%. The system balancing service provided by Litgrid is zero-profit in the long term, i.e. changes in revenue do not affect the amount of profit (loss) as this revenue only covers the actual costs incurred.</w:t>
      </w:r>
    </w:p>
    <w:p w14:paraId="17809546" w14:textId="53B6FE56" w:rsidR="00356672" w:rsidRPr="00356672" w:rsidRDefault="00CE3047" w:rsidP="00356672">
      <w:pPr>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t>Earnings</w:t>
      </w:r>
      <w:r w:rsidR="00356672" w:rsidRPr="00356672">
        <w:rPr>
          <w:rFonts w:ascii="Arial" w:eastAsia="Times New Roman" w:hAnsi="Arial" w:cs="Arial"/>
          <w:sz w:val="20"/>
          <w:szCs w:val="20"/>
          <w:lang w:val="en-GB" w:eastAsia="en-GB"/>
        </w:rPr>
        <w:t xml:space="preserve"> before interest, taxes, depreciation and amortization (EBITDA) for the first half of 2025, after adjustments for temporary regulatory deviations from the amounts approved by </w:t>
      </w:r>
      <w:r>
        <w:rPr>
          <w:rFonts w:ascii="Arial" w:eastAsia="Times New Roman" w:hAnsi="Arial" w:cs="Arial"/>
          <w:sz w:val="20"/>
          <w:szCs w:val="20"/>
          <w:lang w:val="en-GB" w:eastAsia="en-GB"/>
        </w:rPr>
        <w:t>NERC</w:t>
      </w:r>
      <w:r w:rsidR="00356672" w:rsidRPr="00356672">
        <w:rPr>
          <w:rFonts w:ascii="Arial" w:eastAsia="Times New Roman" w:hAnsi="Arial" w:cs="Arial"/>
          <w:sz w:val="20"/>
          <w:szCs w:val="20"/>
          <w:lang w:val="en-GB" w:eastAsia="en-GB"/>
        </w:rPr>
        <w:t xml:space="preserve"> and elimination of other non-recurring income or losses, amounted to EUR 26.8 million. In comparison, adjusted EBITDA for the first half of 2024 was EUR 24.5 million. Adjusted net profit for the first half of 2025 amounted to EUR 14.4 million and was equal to adjusted net profit for the same period in 2024. Adjusted EBITDA was mainly driven by higher capital costs due to an increase in the value of regulated assets, while the adjusted profit indicator remained unchanged due to higher depreciation costs, a weaker financial performance and income tax calculations.</w:t>
      </w:r>
    </w:p>
    <w:p w14:paraId="3AEB61B7" w14:textId="634524D1" w:rsidR="00356672" w:rsidRPr="00356672" w:rsidRDefault="00356672" w:rsidP="00356672">
      <w:pPr>
        <w:jc w:val="both"/>
        <w:rPr>
          <w:rFonts w:ascii="Arial" w:eastAsia="Times New Roman" w:hAnsi="Arial" w:cs="Arial"/>
          <w:sz w:val="20"/>
          <w:szCs w:val="20"/>
          <w:lang w:val="en-GB" w:eastAsia="en-GB"/>
        </w:rPr>
      </w:pPr>
      <w:r w:rsidRPr="00356672">
        <w:rPr>
          <w:rFonts w:ascii="Arial" w:eastAsia="Times New Roman" w:hAnsi="Arial" w:cs="Arial"/>
          <w:sz w:val="20"/>
          <w:szCs w:val="20"/>
          <w:lang w:val="en-GB" w:eastAsia="en-GB"/>
        </w:rPr>
        <w:t xml:space="preserve">The company's unadjusted EBITDA for the first half of 2025 was negative </w:t>
      </w:r>
      <w:r w:rsidR="00EA2083">
        <w:rPr>
          <w:rFonts w:ascii="Arial" w:eastAsia="Times New Roman" w:hAnsi="Arial" w:cs="Arial"/>
          <w:sz w:val="20"/>
          <w:szCs w:val="20"/>
          <w:lang w:val="en-GB" w:eastAsia="en-GB"/>
        </w:rPr>
        <w:t xml:space="preserve">EUR </w:t>
      </w:r>
      <w:r w:rsidRPr="00356672">
        <w:rPr>
          <w:rFonts w:ascii="Arial" w:eastAsia="Times New Roman" w:hAnsi="Arial" w:cs="Arial"/>
          <w:sz w:val="20"/>
          <w:szCs w:val="20"/>
          <w:lang w:val="en-GB" w:eastAsia="en-GB"/>
        </w:rPr>
        <w:t xml:space="preserve">(-40.3) million. At the same time last year, unadjusted EBITDA amounted to </w:t>
      </w:r>
      <w:r w:rsidR="0092509D">
        <w:rPr>
          <w:rFonts w:ascii="Arial" w:eastAsia="Times New Roman" w:hAnsi="Arial" w:cs="Arial"/>
          <w:sz w:val="20"/>
          <w:szCs w:val="20"/>
          <w:lang w:val="en-GB" w:eastAsia="en-GB"/>
        </w:rPr>
        <w:t xml:space="preserve">EUR </w:t>
      </w:r>
      <w:r w:rsidRPr="00356672">
        <w:rPr>
          <w:rFonts w:ascii="Arial" w:eastAsia="Times New Roman" w:hAnsi="Arial" w:cs="Arial"/>
          <w:sz w:val="20"/>
          <w:szCs w:val="20"/>
          <w:lang w:val="en-GB" w:eastAsia="en-GB"/>
        </w:rPr>
        <w:t xml:space="preserve">40.6 million. The unadjusted net loss for the first half of 2025 amounted to EUR (-41.9) million, while in January-June 2024, the net profit amounted to EUR 28.1 million. The negative unadjusted profit indicators were mainly due to higher costs of additional services related to balancing reserves. On June 27, 2025, </w:t>
      </w:r>
      <w:r w:rsidR="00EA2083">
        <w:rPr>
          <w:rFonts w:ascii="Arial" w:eastAsia="Times New Roman" w:hAnsi="Arial" w:cs="Arial"/>
          <w:sz w:val="20"/>
          <w:szCs w:val="20"/>
          <w:lang w:val="en-GB" w:eastAsia="en-GB"/>
        </w:rPr>
        <w:t>NERC</w:t>
      </w:r>
      <w:r w:rsidRPr="00356672">
        <w:rPr>
          <w:rFonts w:ascii="Arial" w:eastAsia="Times New Roman" w:hAnsi="Arial" w:cs="Arial"/>
          <w:sz w:val="20"/>
          <w:szCs w:val="20"/>
          <w:lang w:val="en-GB" w:eastAsia="en-GB"/>
        </w:rPr>
        <w:t xml:space="preserve"> adopted a decision to reduce the upper limit of the prices for isolated electricity system operation services provided by AB Ignitis gamyba, effective from August 1, 2025, to December 31, 2025. This decision should reduce Litgrid's additional service costs by EUR 87 million in the second half of 2025.</w:t>
      </w:r>
    </w:p>
    <w:p w14:paraId="731087AA" w14:textId="77777777" w:rsidR="00356672" w:rsidRPr="00356672" w:rsidRDefault="00356672" w:rsidP="00356672">
      <w:pPr>
        <w:jc w:val="both"/>
        <w:rPr>
          <w:rFonts w:ascii="Arial" w:eastAsia="Times New Roman" w:hAnsi="Arial" w:cs="Arial"/>
          <w:sz w:val="20"/>
          <w:szCs w:val="20"/>
          <w:lang w:val="en-GB" w:eastAsia="en-GB"/>
        </w:rPr>
      </w:pPr>
      <w:r w:rsidRPr="00356672">
        <w:rPr>
          <w:rFonts w:ascii="Arial" w:eastAsia="Times New Roman" w:hAnsi="Arial" w:cs="Arial"/>
          <w:sz w:val="20"/>
          <w:szCs w:val="20"/>
          <w:lang w:val="en-GB" w:eastAsia="en-GB"/>
        </w:rPr>
        <w:t>Litgrid's investments in the first half of 2025 amounted to EUR 73.3 million, of which 38% was allocated to strategic and nationally important electricity projects and 62% to the reconstruction and expansion of the transmission network and operational maintenance.</w:t>
      </w:r>
    </w:p>
    <w:p w14:paraId="02D15DFF" w14:textId="5C316AF5" w:rsidR="007A55E9" w:rsidRPr="00356672" w:rsidRDefault="00356672" w:rsidP="00356672">
      <w:pPr>
        <w:jc w:val="both"/>
        <w:rPr>
          <w:sz w:val="20"/>
          <w:szCs w:val="20"/>
          <w:lang w:val="en-GB"/>
        </w:rPr>
      </w:pPr>
      <w:r w:rsidRPr="00356672">
        <w:rPr>
          <w:rFonts w:ascii="Arial" w:eastAsia="Times New Roman" w:hAnsi="Arial" w:cs="Arial"/>
          <w:sz w:val="20"/>
          <w:szCs w:val="20"/>
          <w:lang w:val="en-GB" w:eastAsia="en-GB"/>
        </w:rPr>
        <w:t>In the first half of 2025, congestion management revenues amounted to EUR 48 million, which was 9.5% less than in the same period last year. Congestion management revenues are not recognized as income and do not directly affect Litgrid's operating results. their use is regulated by Regulation (EU) 2019/943 of the European Parliament and of the Council and the methodology approved by the Agency for the Cooperation of Energy Regulators (ACER). Income from congestion management is mainly used to partially finance the company's investments in increasing the capacity of interconnections.</w:t>
      </w:r>
    </w:p>
    <w:sectPr w:rsidR="007A55E9" w:rsidRPr="0035667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B3B95" w14:textId="77777777" w:rsidR="008F5885" w:rsidRDefault="008F5885" w:rsidP="0071396B">
      <w:pPr>
        <w:spacing w:after="0" w:line="240" w:lineRule="auto"/>
      </w:pPr>
      <w:r>
        <w:separator/>
      </w:r>
    </w:p>
  </w:endnote>
  <w:endnote w:type="continuationSeparator" w:id="0">
    <w:p w14:paraId="201632A2" w14:textId="77777777" w:rsidR="008F5885" w:rsidRDefault="008F5885" w:rsidP="0071396B">
      <w:pPr>
        <w:spacing w:after="0" w:line="240" w:lineRule="auto"/>
      </w:pPr>
      <w:r>
        <w:continuationSeparator/>
      </w:r>
    </w:p>
  </w:endnote>
  <w:endnote w:type="continuationNotice" w:id="1">
    <w:p w14:paraId="570CBB69" w14:textId="77777777" w:rsidR="008F5885" w:rsidRDefault="008F58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F3337" w14:textId="77777777" w:rsidR="008F5885" w:rsidRDefault="008F5885" w:rsidP="0071396B">
      <w:pPr>
        <w:spacing w:after="0" w:line="240" w:lineRule="auto"/>
      </w:pPr>
      <w:r>
        <w:separator/>
      </w:r>
    </w:p>
  </w:footnote>
  <w:footnote w:type="continuationSeparator" w:id="0">
    <w:p w14:paraId="2B5000C6" w14:textId="77777777" w:rsidR="008F5885" w:rsidRDefault="008F5885" w:rsidP="0071396B">
      <w:pPr>
        <w:spacing w:after="0" w:line="240" w:lineRule="auto"/>
      </w:pPr>
      <w:r>
        <w:continuationSeparator/>
      </w:r>
    </w:p>
  </w:footnote>
  <w:footnote w:type="continuationNotice" w:id="1">
    <w:p w14:paraId="5AE5AB57" w14:textId="77777777" w:rsidR="008F5885" w:rsidRDefault="008F58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AFBF5" w14:textId="5848076A" w:rsidR="0071396B" w:rsidRDefault="008E38CE">
    <w:pPr>
      <w:pStyle w:val="Header"/>
    </w:pPr>
    <w:r>
      <w:rPr>
        <w:noProof/>
      </w:rPr>
      <w:drawing>
        <wp:inline distT="0" distB="0" distL="0" distR="0" wp14:anchorId="13988461" wp14:editId="5E514CF7">
          <wp:extent cx="1692411" cy="621115"/>
          <wp:effectExtent l="0" t="0" r="3175" b="762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92411" cy="621115"/>
                  </a:xfrm>
                  <a:prstGeom prst="rect">
                    <a:avLst/>
                  </a:prstGeom>
                  <a:noFill/>
                  <a:ln>
                    <a:noFill/>
                  </a:ln>
                </pic:spPr>
              </pic:pic>
            </a:graphicData>
          </a:graphic>
        </wp:inline>
      </w:drawing>
    </w:r>
  </w:p>
  <w:p w14:paraId="43CD65E4" w14:textId="77777777" w:rsidR="00177989" w:rsidRDefault="001779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77E6880"/>
    <w:lvl w:ilvl="0">
      <w:start w:val="1"/>
      <w:numFmt w:val="decimal"/>
      <w:lvlText w:val="%1."/>
      <w:lvlJc w:val="left"/>
      <w:pPr>
        <w:ind w:left="502" w:hanging="360"/>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egacy w:legacy="1" w:legacySpace="113" w:legacyIndent="0"/>
      <w:lvlJc w:val="left"/>
      <w:pPr>
        <w:ind w:left="0" w:firstLine="0"/>
      </w:pPr>
      <w:rPr>
        <w:b/>
        <w:bCs/>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13" w:legacyIndent="0"/>
      <w:lvlJc w:val="left"/>
      <w:pPr>
        <w:ind w:left="0" w:firstLine="0"/>
      </w:pPr>
      <w:rPr>
        <w:b/>
        <w:bCs/>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113" w:legacyIndent="0"/>
      <w:lvlJc w:val="left"/>
      <w:pPr>
        <w:ind w:left="0" w:firstLine="0"/>
      </w:pPr>
    </w:lvl>
    <w:lvl w:ilvl="4">
      <w:start w:val="1"/>
      <w:numFmt w:val="decimal"/>
      <w:lvlText w:val="%1.%2.%3.%4.%5."/>
      <w:legacy w:legacy="1" w:legacySpace="113" w:legacyIndent="0"/>
      <w:lvlJc w:val="left"/>
      <w:pPr>
        <w:ind w:left="0" w:firstLine="0"/>
      </w:pPr>
    </w:lvl>
    <w:lvl w:ilvl="5">
      <w:start w:val="1"/>
      <w:numFmt w:val="decimal"/>
      <w:lvlText w:val="%6)"/>
      <w:legacy w:legacy="1" w:legacySpace="113" w:legacyIndent="0"/>
      <w:lvlJc w:val="left"/>
      <w:pPr>
        <w:ind w:left="0" w:firstLine="0"/>
      </w:pPr>
    </w:lvl>
    <w:lvl w:ilvl="6">
      <w:start w:val="1"/>
      <w:numFmt w:val="lowerLetter"/>
      <w:lvlText w:val="%7)"/>
      <w:legacy w:legacy="1" w:legacySpace="113" w:legacyIndent="0"/>
      <w:lvlJc w:val="left"/>
      <w:pPr>
        <w:ind w:left="0" w:firstLine="0"/>
      </w:pPr>
    </w:lvl>
    <w:lvl w:ilvl="7">
      <w:start w:val="1"/>
      <w:numFmt w:val="none"/>
      <w:lvlText w:val=""/>
      <w:legacy w:legacy="1" w:legacySpace="113" w:legacyIndent="0"/>
      <w:lvlJc w:val="left"/>
      <w:pPr>
        <w:ind w:left="0" w:firstLine="0"/>
      </w:pPr>
      <w:rPr>
        <w:rFonts w:ascii="Symbol" w:hAnsi="Symbol" w:cs="Times New Roman" w:hint="default"/>
      </w:rPr>
    </w:lvl>
    <w:lvl w:ilvl="8">
      <w:start w:val="1"/>
      <w:numFmt w:val="none"/>
      <w:suff w:val="nothing"/>
      <w:lvlText w:val=""/>
      <w:lvlJc w:val="left"/>
      <w:pPr>
        <w:ind w:left="0" w:firstLine="0"/>
      </w:pPr>
    </w:lvl>
  </w:abstractNum>
  <w:abstractNum w:abstractNumId="1" w15:restartNumberingAfterBreak="0">
    <w:nsid w:val="1A126731"/>
    <w:multiLevelType w:val="hybridMultilevel"/>
    <w:tmpl w:val="B68CAF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942D50"/>
    <w:multiLevelType w:val="hybridMultilevel"/>
    <w:tmpl w:val="3F82B9B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74E2063"/>
    <w:multiLevelType w:val="hybridMultilevel"/>
    <w:tmpl w:val="66BCC9D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6285052"/>
    <w:multiLevelType w:val="hybridMultilevel"/>
    <w:tmpl w:val="287A50F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40C51082"/>
    <w:multiLevelType w:val="hybridMultilevel"/>
    <w:tmpl w:val="5B74E8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412C7511"/>
    <w:multiLevelType w:val="hybridMultilevel"/>
    <w:tmpl w:val="5CC8C0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77972FF"/>
    <w:multiLevelType w:val="hybridMultilevel"/>
    <w:tmpl w:val="E96C6238"/>
    <w:lvl w:ilvl="0" w:tplc="0427000F">
      <w:start w:val="1"/>
      <w:numFmt w:val="decimal"/>
      <w:lvlText w:val="%1."/>
      <w:lvlJc w:val="left"/>
      <w:pPr>
        <w:ind w:left="2016" w:hanging="360"/>
      </w:pPr>
    </w:lvl>
    <w:lvl w:ilvl="1" w:tplc="04270019">
      <w:start w:val="1"/>
      <w:numFmt w:val="lowerLetter"/>
      <w:lvlText w:val="%2."/>
      <w:lvlJc w:val="left"/>
      <w:pPr>
        <w:ind w:left="2736" w:hanging="360"/>
      </w:pPr>
    </w:lvl>
    <w:lvl w:ilvl="2" w:tplc="0427001B">
      <w:start w:val="1"/>
      <w:numFmt w:val="lowerRoman"/>
      <w:lvlText w:val="%3."/>
      <w:lvlJc w:val="right"/>
      <w:pPr>
        <w:ind w:left="3456" w:hanging="180"/>
      </w:pPr>
    </w:lvl>
    <w:lvl w:ilvl="3" w:tplc="0427000F">
      <w:start w:val="1"/>
      <w:numFmt w:val="decimal"/>
      <w:lvlText w:val="%4."/>
      <w:lvlJc w:val="left"/>
      <w:pPr>
        <w:ind w:left="4176" w:hanging="360"/>
      </w:pPr>
    </w:lvl>
    <w:lvl w:ilvl="4" w:tplc="04270019">
      <w:start w:val="1"/>
      <w:numFmt w:val="lowerLetter"/>
      <w:lvlText w:val="%5."/>
      <w:lvlJc w:val="left"/>
      <w:pPr>
        <w:ind w:left="4896" w:hanging="360"/>
      </w:pPr>
    </w:lvl>
    <w:lvl w:ilvl="5" w:tplc="0427001B">
      <w:start w:val="1"/>
      <w:numFmt w:val="lowerRoman"/>
      <w:lvlText w:val="%6."/>
      <w:lvlJc w:val="right"/>
      <w:pPr>
        <w:ind w:left="5616" w:hanging="180"/>
      </w:pPr>
    </w:lvl>
    <w:lvl w:ilvl="6" w:tplc="0427000F">
      <w:start w:val="1"/>
      <w:numFmt w:val="decimal"/>
      <w:lvlText w:val="%7."/>
      <w:lvlJc w:val="left"/>
      <w:pPr>
        <w:ind w:left="6336" w:hanging="360"/>
      </w:pPr>
    </w:lvl>
    <w:lvl w:ilvl="7" w:tplc="04270019">
      <w:start w:val="1"/>
      <w:numFmt w:val="lowerLetter"/>
      <w:lvlText w:val="%8."/>
      <w:lvlJc w:val="left"/>
      <w:pPr>
        <w:ind w:left="7056" w:hanging="360"/>
      </w:pPr>
    </w:lvl>
    <w:lvl w:ilvl="8" w:tplc="0427001B">
      <w:start w:val="1"/>
      <w:numFmt w:val="lowerRoman"/>
      <w:lvlText w:val="%9."/>
      <w:lvlJc w:val="right"/>
      <w:pPr>
        <w:ind w:left="7776" w:hanging="180"/>
      </w:pPr>
    </w:lvl>
  </w:abstractNum>
  <w:abstractNum w:abstractNumId="8" w15:restartNumberingAfterBreak="0">
    <w:nsid w:val="72493809"/>
    <w:multiLevelType w:val="hybridMultilevel"/>
    <w:tmpl w:val="A798DB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501892683">
    <w:abstractNumId w:val="4"/>
  </w:num>
  <w:num w:numId="2" w16cid:durableId="557280571">
    <w:abstractNumId w:val="2"/>
  </w:num>
  <w:num w:numId="3" w16cid:durableId="18483217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26382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74670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6337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39370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8418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76336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1NDcxMzI1NTeyNDBX0lEKTi0uzszPAykwNKgFAG7SncAtAAAA"/>
  </w:docVars>
  <w:rsids>
    <w:rsidRoot w:val="002E091E"/>
    <w:rsid w:val="00000061"/>
    <w:rsid w:val="000002B5"/>
    <w:rsid w:val="00001C65"/>
    <w:rsid w:val="00001FEB"/>
    <w:rsid w:val="000033DD"/>
    <w:rsid w:val="00004478"/>
    <w:rsid w:val="00007612"/>
    <w:rsid w:val="00007C0C"/>
    <w:rsid w:val="000100D8"/>
    <w:rsid w:val="0001012B"/>
    <w:rsid w:val="00010DCC"/>
    <w:rsid w:val="00011736"/>
    <w:rsid w:val="00011A7D"/>
    <w:rsid w:val="0001208D"/>
    <w:rsid w:val="00014558"/>
    <w:rsid w:val="00014DB8"/>
    <w:rsid w:val="00016786"/>
    <w:rsid w:val="000203B8"/>
    <w:rsid w:val="00020DC4"/>
    <w:rsid w:val="000213BA"/>
    <w:rsid w:val="00021E4D"/>
    <w:rsid w:val="00021E84"/>
    <w:rsid w:val="00024E1A"/>
    <w:rsid w:val="0002631F"/>
    <w:rsid w:val="00027556"/>
    <w:rsid w:val="00027764"/>
    <w:rsid w:val="0002784A"/>
    <w:rsid w:val="000304DB"/>
    <w:rsid w:val="00030E26"/>
    <w:rsid w:val="00030F75"/>
    <w:rsid w:val="00031DC6"/>
    <w:rsid w:val="0003226E"/>
    <w:rsid w:val="00032A7C"/>
    <w:rsid w:val="00033F2C"/>
    <w:rsid w:val="00034722"/>
    <w:rsid w:val="00036104"/>
    <w:rsid w:val="000376A9"/>
    <w:rsid w:val="00044395"/>
    <w:rsid w:val="00044C9B"/>
    <w:rsid w:val="0004611D"/>
    <w:rsid w:val="0004679E"/>
    <w:rsid w:val="00047145"/>
    <w:rsid w:val="0005060F"/>
    <w:rsid w:val="00050818"/>
    <w:rsid w:val="000521B5"/>
    <w:rsid w:val="000522D3"/>
    <w:rsid w:val="00052986"/>
    <w:rsid w:val="00052A55"/>
    <w:rsid w:val="00052F63"/>
    <w:rsid w:val="00056135"/>
    <w:rsid w:val="0005690F"/>
    <w:rsid w:val="0006075D"/>
    <w:rsid w:val="0006299F"/>
    <w:rsid w:val="000630F0"/>
    <w:rsid w:val="0006397B"/>
    <w:rsid w:val="000649D7"/>
    <w:rsid w:val="000659F6"/>
    <w:rsid w:val="00067ED5"/>
    <w:rsid w:val="0007178E"/>
    <w:rsid w:val="00071E59"/>
    <w:rsid w:val="00072394"/>
    <w:rsid w:val="00074C28"/>
    <w:rsid w:val="00075ABD"/>
    <w:rsid w:val="000774DD"/>
    <w:rsid w:val="000800AA"/>
    <w:rsid w:val="000801DA"/>
    <w:rsid w:val="000805AD"/>
    <w:rsid w:val="00080F1A"/>
    <w:rsid w:val="00081EBE"/>
    <w:rsid w:val="00081F0F"/>
    <w:rsid w:val="00082501"/>
    <w:rsid w:val="0008280A"/>
    <w:rsid w:val="000828AB"/>
    <w:rsid w:val="0008290F"/>
    <w:rsid w:val="00082DC9"/>
    <w:rsid w:val="0008368C"/>
    <w:rsid w:val="00085900"/>
    <w:rsid w:val="0008600F"/>
    <w:rsid w:val="000877BF"/>
    <w:rsid w:val="00090EEB"/>
    <w:rsid w:val="00091745"/>
    <w:rsid w:val="00091C43"/>
    <w:rsid w:val="0009223C"/>
    <w:rsid w:val="00092A2E"/>
    <w:rsid w:val="00093C56"/>
    <w:rsid w:val="00096378"/>
    <w:rsid w:val="000972D3"/>
    <w:rsid w:val="0009746D"/>
    <w:rsid w:val="000A115F"/>
    <w:rsid w:val="000A18B1"/>
    <w:rsid w:val="000A221A"/>
    <w:rsid w:val="000A31F5"/>
    <w:rsid w:val="000A36A1"/>
    <w:rsid w:val="000A3FB9"/>
    <w:rsid w:val="000A4285"/>
    <w:rsid w:val="000B0CAF"/>
    <w:rsid w:val="000B255C"/>
    <w:rsid w:val="000B4EEC"/>
    <w:rsid w:val="000B5C54"/>
    <w:rsid w:val="000B6265"/>
    <w:rsid w:val="000B6307"/>
    <w:rsid w:val="000B70FF"/>
    <w:rsid w:val="000B7489"/>
    <w:rsid w:val="000B778C"/>
    <w:rsid w:val="000C06A4"/>
    <w:rsid w:val="000C1288"/>
    <w:rsid w:val="000C17AD"/>
    <w:rsid w:val="000C2250"/>
    <w:rsid w:val="000C276C"/>
    <w:rsid w:val="000C4805"/>
    <w:rsid w:val="000C49E7"/>
    <w:rsid w:val="000C4EB8"/>
    <w:rsid w:val="000C5BE8"/>
    <w:rsid w:val="000D180F"/>
    <w:rsid w:val="000D2770"/>
    <w:rsid w:val="000D4DDF"/>
    <w:rsid w:val="000D5342"/>
    <w:rsid w:val="000D5EC1"/>
    <w:rsid w:val="000D5F2E"/>
    <w:rsid w:val="000D640A"/>
    <w:rsid w:val="000E1C03"/>
    <w:rsid w:val="000E1C1F"/>
    <w:rsid w:val="000E2079"/>
    <w:rsid w:val="000E2C8D"/>
    <w:rsid w:val="000E2F4C"/>
    <w:rsid w:val="000E3AAF"/>
    <w:rsid w:val="000E5015"/>
    <w:rsid w:val="000E5844"/>
    <w:rsid w:val="000E74B2"/>
    <w:rsid w:val="000F01F2"/>
    <w:rsid w:val="000F1171"/>
    <w:rsid w:val="000F267F"/>
    <w:rsid w:val="000F2CD4"/>
    <w:rsid w:val="000F2EBC"/>
    <w:rsid w:val="000F3231"/>
    <w:rsid w:val="000F3285"/>
    <w:rsid w:val="000F36A8"/>
    <w:rsid w:val="000F37AB"/>
    <w:rsid w:val="000F43B5"/>
    <w:rsid w:val="000F4DE3"/>
    <w:rsid w:val="000F5060"/>
    <w:rsid w:val="000F524D"/>
    <w:rsid w:val="000F5B9D"/>
    <w:rsid w:val="000F7CF5"/>
    <w:rsid w:val="00100ADE"/>
    <w:rsid w:val="00101677"/>
    <w:rsid w:val="00102130"/>
    <w:rsid w:val="0010236E"/>
    <w:rsid w:val="001032B9"/>
    <w:rsid w:val="00103DC9"/>
    <w:rsid w:val="0010521A"/>
    <w:rsid w:val="00105641"/>
    <w:rsid w:val="00105B21"/>
    <w:rsid w:val="00110279"/>
    <w:rsid w:val="001103E5"/>
    <w:rsid w:val="00110CF4"/>
    <w:rsid w:val="0011212E"/>
    <w:rsid w:val="00112A88"/>
    <w:rsid w:val="00113325"/>
    <w:rsid w:val="00113371"/>
    <w:rsid w:val="00113900"/>
    <w:rsid w:val="00113E6D"/>
    <w:rsid w:val="00113FC8"/>
    <w:rsid w:val="00115865"/>
    <w:rsid w:val="001213DE"/>
    <w:rsid w:val="0012287A"/>
    <w:rsid w:val="00122C39"/>
    <w:rsid w:val="00122FA4"/>
    <w:rsid w:val="00122FD0"/>
    <w:rsid w:val="001230C8"/>
    <w:rsid w:val="00123704"/>
    <w:rsid w:val="00123DE6"/>
    <w:rsid w:val="00124B3E"/>
    <w:rsid w:val="00124E1B"/>
    <w:rsid w:val="00125DD9"/>
    <w:rsid w:val="00127DB2"/>
    <w:rsid w:val="00135AB1"/>
    <w:rsid w:val="00136156"/>
    <w:rsid w:val="00137E6D"/>
    <w:rsid w:val="001413D8"/>
    <w:rsid w:val="00141B09"/>
    <w:rsid w:val="00144D4B"/>
    <w:rsid w:val="00145C86"/>
    <w:rsid w:val="00145E53"/>
    <w:rsid w:val="00146439"/>
    <w:rsid w:val="00146A94"/>
    <w:rsid w:val="00147292"/>
    <w:rsid w:val="0015123D"/>
    <w:rsid w:val="001518E8"/>
    <w:rsid w:val="00152359"/>
    <w:rsid w:val="00152E89"/>
    <w:rsid w:val="00153468"/>
    <w:rsid w:val="001545EB"/>
    <w:rsid w:val="00154822"/>
    <w:rsid w:val="00160195"/>
    <w:rsid w:val="001618C7"/>
    <w:rsid w:val="001632CD"/>
    <w:rsid w:val="00164455"/>
    <w:rsid w:val="00165455"/>
    <w:rsid w:val="00167746"/>
    <w:rsid w:val="00175AAF"/>
    <w:rsid w:val="00176A7B"/>
    <w:rsid w:val="00176DEB"/>
    <w:rsid w:val="00177052"/>
    <w:rsid w:val="001770F3"/>
    <w:rsid w:val="00177989"/>
    <w:rsid w:val="00177CFC"/>
    <w:rsid w:val="0018029B"/>
    <w:rsid w:val="001805CE"/>
    <w:rsid w:val="00182C05"/>
    <w:rsid w:val="001849D3"/>
    <w:rsid w:val="00184B6D"/>
    <w:rsid w:val="00185956"/>
    <w:rsid w:val="001863B1"/>
    <w:rsid w:val="00186950"/>
    <w:rsid w:val="00187781"/>
    <w:rsid w:val="00187A21"/>
    <w:rsid w:val="00190573"/>
    <w:rsid w:val="001908CA"/>
    <w:rsid w:val="0019101F"/>
    <w:rsid w:val="00191A96"/>
    <w:rsid w:val="0019278D"/>
    <w:rsid w:val="00193B63"/>
    <w:rsid w:val="00194F91"/>
    <w:rsid w:val="0019524D"/>
    <w:rsid w:val="001962DE"/>
    <w:rsid w:val="001966B9"/>
    <w:rsid w:val="00197862"/>
    <w:rsid w:val="001A0F4E"/>
    <w:rsid w:val="001A134C"/>
    <w:rsid w:val="001A2ED8"/>
    <w:rsid w:val="001A388C"/>
    <w:rsid w:val="001A40C9"/>
    <w:rsid w:val="001A54B4"/>
    <w:rsid w:val="001A55B7"/>
    <w:rsid w:val="001A5C80"/>
    <w:rsid w:val="001A6AF6"/>
    <w:rsid w:val="001A78EF"/>
    <w:rsid w:val="001B315A"/>
    <w:rsid w:val="001B466D"/>
    <w:rsid w:val="001B5F6C"/>
    <w:rsid w:val="001C0E83"/>
    <w:rsid w:val="001C115A"/>
    <w:rsid w:val="001C11BF"/>
    <w:rsid w:val="001C14CD"/>
    <w:rsid w:val="001C1938"/>
    <w:rsid w:val="001C203C"/>
    <w:rsid w:val="001C39B6"/>
    <w:rsid w:val="001C4C15"/>
    <w:rsid w:val="001C53B8"/>
    <w:rsid w:val="001C66E9"/>
    <w:rsid w:val="001C7DF4"/>
    <w:rsid w:val="001D1989"/>
    <w:rsid w:val="001D2043"/>
    <w:rsid w:val="001D2865"/>
    <w:rsid w:val="001D2ABD"/>
    <w:rsid w:val="001D6230"/>
    <w:rsid w:val="001D6457"/>
    <w:rsid w:val="001D66BA"/>
    <w:rsid w:val="001E0E11"/>
    <w:rsid w:val="001E11B0"/>
    <w:rsid w:val="001E1A75"/>
    <w:rsid w:val="001E1BDE"/>
    <w:rsid w:val="001E25DF"/>
    <w:rsid w:val="001E2C3E"/>
    <w:rsid w:val="001E2CC6"/>
    <w:rsid w:val="001E2CD1"/>
    <w:rsid w:val="001E3313"/>
    <w:rsid w:val="001E3C5D"/>
    <w:rsid w:val="001E4144"/>
    <w:rsid w:val="001E4F1C"/>
    <w:rsid w:val="001E52C4"/>
    <w:rsid w:val="001E5E72"/>
    <w:rsid w:val="001F07DA"/>
    <w:rsid w:val="001F0D76"/>
    <w:rsid w:val="001F0E4B"/>
    <w:rsid w:val="001F220B"/>
    <w:rsid w:val="001F3334"/>
    <w:rsid w:val="001F5B24"/>
    <w:rsid w:val="001F60FA"/>
    <w:rsid w:val="001F7017"/>
    <w:rsid w:val="001F7368"/>
    <w:rsid w:val="001F76FB"/>
    <w:rsid w:val="0020253B"/>
    <w:rsid w:val="00204966"/>
    <w:rsid w:val="0020515D"/>
    <w:rsid w:val="002057FA"/>
    <w:rsid w:val="002062E7"/>
    <w:rsid w:val="00206AEC"/>
    <w:rsid w:val="002077C5"/>
    <w:rsid w:val="00207EEA"/>
    <w:rsid w:val="0021472A"/>
    <w:rsid w:val="00214885"/>
    <w:rsid w:val="00215DCB"/>
    <w:rsid w:val="002162C0"/>
    <w:rsid w:val="00216758"/>
    <w:rsid w:val="002168C5"/>
    <w:rsid w:val="00222620"/>
    <w:rsid w:val="00222CD1"/>
    <w:rsid w:val="002231D3"/>
    <w:rsid w:val="0022323F"/>
    <w:rsid w:val="0022344B"/>
    <w:rsid w:val="002238B9"/>
    <w:rsid w:val="00224A3E"/>
    <w:rsid w:val="00225587"/>
    <w:rsid w:val="0022677F"/>
    <w:rsid w:val="00226EBB"/>
    <w:rsid w:val="00226F4F"/>
    <w:rsid w:val="00227080"/>
    <w:rsid w:val="00227380"/>
    <w:rsid w:val="00227BCF"/>
    <w:rsid w:val="002305F4"/>
    <w:rsid w:val="002307EC"/>
    <w:rsid w:val="00231746"/>
    <w:rsid w:val="00231828"/>
    <w:rsid w:val="0023254C"/>
    <w:rsid w:val="002349E1"/>
    <w:rsid w:val="00234EFD"/>
    <w:rsid w:val="00235CA6"/>
    <w:rsid w:val="00237F57"/>
    <w:rsid w:val="00240CA1"/>
    <w:rsid w:val="002414C8"/>
    <w:rsid w:val="00243ACE"/>
    <w:rsid w:val="00243F14"/>
    <w:rsid w:val="00246035"/>
    <w:rsid w:val="00246804"/>
    <w:rsid w:val="00246BF5"/>
    <w:rsid w:val="00246C29"/>
    <w:rsid w:val="002504B6"/>
    <w:rsid w:val="00250BDC"/>
    <w:rsid w:val="00251EC1"/>
    <w:rsid w:val="00252FF4"/>
    <w:rsid w:val="0025593C"/>
    <w:rsid w:val="002570F3"/>
    <w:rsid w:val="00257E7E"/>
    <w:rsid w:val="00261061"/>
    <w:rsid w:val="0026291F"/>
    <w:rsid w:val="00263238"/>
    <w:rsid w:val="00263373"/>
    <w:rsid w:val="00263784"/>
    <w:rsid w:val="0026398F"/>
    <w:rsid w:val="00263E2B"/>
    <w:rsid w:val="00263F6C"/>
    <w:rsid w:val="00265C50"/>
    <w:rsid w:val="00266714"/>
    <w:rsid w:val="0026693D"/>
    <w:rsid w:val="00271F92"/>
    <w:rsid w:val="00272031"/>
    <w:rsid w:val="00272BCB"/>
    <w:rsid w:val="002758FF"/>
    <w:rsid w:val="00275DA4"/>
    <w:rsid w:val="00275E49"/>
    <w:rsid w:val="00276103"/>
    <w:rsid w:val="00276211"/>
    <w:rsid w:val="00276815"/>
    <w:rsid w:val="00276A45"/>
    <w:rsid w:val="00277112"/>
    <w:rsid w:val="00277266"/>
    <w:rsid w:val="0027795E"/>
    <w:rsid w:val="00277982"/>
    <w:rsid w:val="0028411A"/>
    <w:rsid w:val="0028477D"/>
    <w:rsid w:val="00284B6E"/>
    <w:rsid w:val="002858F7"/>
    <w:rsid w:val="002869A3"/>
    <w:rsid w:val="00286D2C"/>
    <w:rsid w:val="00287C25"/>
    <w:rsid w:val="002916D7"/>
    <w:rsid w:val="00293208"/>
    <w:rsid w:val="0029337E"/>
    <w:rsid w:val="00293B41"/>
    <w:rsid w:val="00293C82"/>
    <w:rsid w:val="0029509A"/>
    <w:rsid w:val="00295A6D"/>
    <w:rsid w:val="002979C7"/>
    <w:rsid w:val="00297D21"/>
    <w:rsid w:val="002A0055"/>
    <w:rsid w:val="002A045B"/>
    <w:rsid w:val="002A1D27"/>
    <w:rsid w:val="002A221E"/>
    <w:rsid w:val="002A3671"/>
    <w:rsid w:val="002A45B6"/>
    <w:rsid w:val="002A4A82"/>
    <w:rsid w:val="002A4BFB"/>
    <w:rsid w:val="002A7D3D"/>
    <w:rsid w:val="002B01ED"/>
    <w:rsid w:val="002B3DCF"/>
    <w:rsid w:val="002B43AF"/>
    <w:rsid w:val="002B45E6"/>
    <w:rsid w:val="002B471A"/>
    <w:rsid w:val="002B47DE"/>
    <w:rsid w:val="002B4B5F"/>
    <w:rsid w:val="002B577C"/>
    <w:rsid w:val="002B5CB0"/>
    <w:rsid w:val="002B64E5"/>
    <w:rsid w:val="002B6E70"/>
    <w:rsid w:val="002B7B03"/>
    <w:rsid w:val="002C05C7"/>
    <w:rsid w:val="002C10EF"/>
    <w:rsid w:val="002C12DD"/>
    <w:rsid w:val="002C1E1F"/>
    <w:rsid w:val="002C2BB1"/>
    <w:rsid w:val="002C30E3"/>
    <w:rsid w:val="002C3ACC"/>
    <w:rsid w:val="002C4CF8"/>
    <w:rsid w:val="002C6DCA"/>
    <w:rsid w:val="002C7638"/>
    <w:rsid w:val="002C7E90"/>
    <w:rsid w:val="002D064A"/>
    <w:rsid w:val="002D07F5"/>
    <w:rsid w:val="002D0A5D"/>
    <w:rsid w:val="002D198B"/>
    <w:rsid w:val="002D276F"/>
    <w:rsid w:val="002D3766"/>
    <w:rsid w:val="002D484C"/>
    <w:rsid w:val="002D4C3E"/>
    <w:rsid w:val="002D5B52"/>
    <w:rsid w:val="002D5E29"/>
    <w:rsid w:val="002D6110"/>
    <w:rsid w:val="002D7DCB"/>
    <w:rsid w:val="002E0522"/>
    <w:rsid w:val="002E0700"/>
    <w:rsid w:val="002E091E"/>
    <w:rsid w:val="002E1752"/>
    <w:rsid w:val="002E2C57"/>
    <w:rsid w:val="002E3098"/>
    <w:rsid w:val="002E3A3F"/>
    <w:rsid w:val="002E619E"/>
    <w:rsid w:val="002F0056"/>
    <w:rsid w:val="002F0116"/>
    <w:rsid w:val="002F1710"/>
    <w:rsid w:val="002F23B6"/>
    <w:rsid w:val="002F276A"/>
    <w:rsid w:val="002F2907"/>
    <w:rsid w:val="002F3448"/>
    <w:rsid w:val="002F48F6"/>
    <w:rsid w:val="002F4EA8"/>
    <w:rsid w:val="002F755E"/>
    <w:rsid w:val="002F7882"/>
    <w:rsid w:val="003000F6"/>
    <w:rsid w:val="00300E19"/>
    <w:rsid w:val="00300EC3"/>
    <w:rsid w:val="00301C38"/>
    <w:rsid w:val="003028B5"/>
    <w:rsid w:val="00303948"/>
    <w:rsid w:val="00304DCF"/>
    <w:rsid w:val="00304F96"/>
    <w:rsid w:val="00305E19"/>
    <w:rsid w:val="003073DD"/>
    <w:rsid w:val="00310CBB"/>
    <w:rsid w:val="003118B7"/>
    <w:rsid w:val="00314037"/>
    <w:rsid w:val="00314091"/>
    <w:rsid w:val="00314698"/>
    <w:rsid w:val="003156E0"/>
    <w:rsid w:val="00316AC0"/>
    <w:rsid w:val="00317EEA"/>
    <w:rsid w:val="003204A0"/>
    <w:rsid w:val="0032081E"/>
    <w:rsid w:val="00320A7B"/>
    <w:rsid w:val="00320BA4"/>
    <w:rsid w:val="00320FA1"/>
    <w:rsid w:val="0032342E"/>
    <w:rsid w:val="00323648"/>
    <w:rsid w:val="00323940"/>
    <w:rsid w:val="00324CDA"/>
    <w:rsid w:val="0032555F"/>
    <w:rsid w:val="003268A2"/>
    <w:rsid w:val="00327126"/>
    <w:rsid w:val="00327BF3"/>
    <w:rsid w:val="00330808"/>
    <w:rsid w:val="00330C2B"/>
    <w:rsid w:val="003315AC"/>
    <w:rsid w:val="0033164A"/>
    <w:rsid w:val="00332868"/>
    <w:rsid w:val="00332A53"/>
    <w:rsid w:val="00334FDD"/>
    <w:rsid w:val="0033710F"/>
    <w:rsid w:val="003405AC"/>
    <w:rsid w:val="00340B66"/>
    <w:rsid w:val="00341784"/>
    <w:rsid w:val="00341973"/>
    <w:rsid w:val="00341ED4"/>
    <w:rsid w:val="00342206"/>
    <w:rsid w:val="0034259E"/>
    <w:rsid w:val="00344991"/>
    <w:rsid w:val="00345870"/>
    <w:rsid w:val="003461C6"/>
    <w:rsid w:val="00346BA2"/>
    <w:rsid w:val="00350608"/>
    <w:rsid w:val="00351EAC"/>
    <w:rsid w:val="00351F32"/>
    <w:rsid w:val="00355399"/>
    <w:rsid w:val="0035611F"/>
    <w:rsid w:val="00356165"/>
    <w:rsid w:val="00356672"/>
    <w:rsid w:val="00356C67"/>
    <w:rsid w:val="00357092"/>
    <w:rsid w:val="003601E6"/>
    <w:rsid w:val="00360D2C"/>
    <w:rsid w:val="00361B9D"/>
    <w:rsid w:val="00362261"/>
    <w:rsid w:val="00362FD7"/>
    <w:rsid w:val="00363598"/>
    <w:rsid w:val="00364DDE"/>
    <w:rsid w:val="00365433"/>
    <w:rsid w:val="00366B99"/>
    <w:rsid w:val="00370184"/>
    <w:rsid w:val="003722CE"/>
    <w:rsid w:val="00372AD3"/>
    <w:rsid w:val="0037696C"/>
    <w:rsid w:val="00376A0C"/>
    <w:rsid w:val="0038252F"/>
    <w:rsid w:val="00383529"/>
    <w:rsid w:val="00383689"/>
    <w:rsid w:val="00384AB7"/>
    <w:rsid w:val="00384B77"/>
    <w:rsid w:val="0038513D"/>
    <w:rsid w:val="003868C8"/>
    <w:rsid w:val="003874D7"/>
    <w:rsid w:val="00393088"/>
    <w:rsid w:val="003937BC"/>
    <w:rsid w:val="003970FE"/>
    <w:rsid w:val="00397520"/>
    <w:rsid w:val="00397AB2"/>
    <w:rsid w:val="003A05EE"/>
    <w:rsid w:val="003A0676"/>
    <w:rsid w:val="003A075F"/>
    <w:rsid w:val="003A077E"/>
    <w:rsid w:val="003A0FC0"/>
    <w:rsid w:val="003A243E"/>
    <w:rsid w:val="003A297F"/>
    <w:rsid w:val="003A38ED"/>
    <w:rsid w:val="003A3ADE"/>
    <w:rsid w:val="003A49A0"/>
    <w:rsid w:val="003A5C89"/>
    <w:rsid w:val="003A7E76"/>
    <w:rsid w:val="003B0766"/>
    <w:rsid w:val="003B3D01"/>
    <w:rsid w:val="003B43D1"/>
    <w:rsid w:val="003B5883"/>
    <w:rsid w:val="003B6F01"/>
    <w:rsid w:val="003B73A5"/>
    <w:rsid w:val="003B7611"/>
    <w:rsid w:val="003C0348"/>
    <w:rsid w:val="003C112D"/>
    <w:rsid w:val="003C1206"/>
    <w:rsid w:val="003C2C5D"/>
    <w:rsid w:val="003C2D2E"/>
    <w:rsid w:val="003C32C2"/>
    <w:rsid w:val="003C382E"/>
    <w:rsid w:val="003C3ED8"/>
    <w:rsid w:val="003C3FA6"/>
    <w:rsid w:val="003C4244"/>
    <w:rsid w:val="003C4A66"/>
    <w:rsid w:val="003C6341"/>
    <w:rsid w:val="003C63EE"/>
    <w:rsid w:val="003C6B82"/>
    <w:rsid w:val="003C7784"/>
    <w:rsid w:val="003D2156"/>
    <w:rsid w:val="003D3A9B"/>
    <w:rsid w:val="003D5B45"/>
    <w:rsid w:val="003D622C"/>
    <w:rsid w:val="003D6C05"/>
    <w:rsid w:val="003D7B6C"/>
    <w:rsid w:val="003E141D"/>
    <w:rsid w:val="003E1EB6"/>
    <w:rsid w:val="003E3949"/>
    <w:rsid w:val="003E395C"/>
    <w:rsid w:val="003E3E56"/>
    <w:rsid w:val="003E5BDF"/>
    <w:rsid w:val="003E5F2C"/>
    <w:rsid w:val="003E6732"/>
    <w:rsid w:val="003E787E"/>
    <w:rsid w:val="003F077F"/>
    <w:rsid w:val="003F1173"/>
    <w:rsid w:val="003F1A4B"/>
    <w:rsid w:val="003F1FFE"/>
    <w:rsid w:val="003F2109"/>
    <w:rsid w:val="003F21F3"/>
    <w:rsid w:val="003F2CE3"/>
    <w:rsid w:val="003F2FD4"/>
    <w:rsid w:val="003F4040"/>
    <w:rsid w:val="003F40CD"/>
    <w:rsid w:val="003F6471"/>
    <w:rsid w:val="003F6664"/>
    <w:rsid w:val="004009F1"/>
    <w:rsid w:val="00400B76"/>
    <w:rsid w:val="00402880"/>
    <w:rsid w:val="00402B0B"/>
    <w:rsid w:val="004033AD"/>
    <w:rsid w:val="00403E0E"/>
    <w:rsid w:val="004055E1"/>
    <w:rsid w:val="00406C2D"/>
    <w:rsid w:val="00407500"/>
    <w:rsid w:val="004078EC"/>
    <w:rsid w:val="00410026"/>
    <w:rsid w:val="004100D9"/>
    <w:rsid w:val="004105F5"/>
    <w:rsid w:val="00411CC5"/>
    <w:rsid w:val="00414BEA"/>
    <w:rsid w:val="00415BC4"/>
    <w:rsid w:val="004173EC"/>
    <w:rsid w:val="00417BE7"/>
    <w:rsid w:val="00417F65"/>
    <w:rsid w:val="00421EE9"/>
    <w:rsid w:val="004226B3"/>
    <w:rsid w:val="00422FBB"/>
    <w:rsid w:val="0042415A"/>
    <w:rsid w:val="004243AD"/>
    <w:rsid w:val="00424982"/>
    <w:rsid w:val="00424CDF"/>
    <w:rsid w:val="00425D17"/>
    <w:rsid w:val="00426700"/>
    <w:rsid w:val="00426BEF"/>
    <w:rsid w:val="00427241"/>
    <w:rsid w:val="00430D8B"/>
    <w:rsid w:val="00432C0B"/>
    <w:rsid w:val="00432DD7"/>
    <w:rsid w:val="00433455"/>
    <w:rsid w:val="004335C8"/>
    <w:rsid w:val="004337E0"/>
    <w:rsid w:val="00434540"/>
    <w:rsid w:val="00435D56"/>
    <w:rsid w:val="00435F70"/>
    <w:rsid w:val="0044030D"/>
    <w:rsid w:val="00440429"/>
    <w:rsid w:val="00440CB2"/>
    <w:rsid w:val="00441082"/>
    <w:rsid w:val="004410FF"/>
    <w:rsid w:val="00442595"/>
    <w:rsid w:val="00443674"/>
    <w:rsid w:val="004436DF"/>
    <w:rsid w:val="004440B2"/>
    <w:rsid w:val="004445FB"/>
    <w:rsid w:val="00445017"/>
    <w:rsid w:val="00445CF5"/>
    <w:rsid w:val="0044617C"/>
    <w:rsid w:val="00446326"/>
    <w:rsid w:val="004467E7"/>
    <w:rsid w:val="00446904"/>
    <w:rsid w:val="00446DC7"/>
    <w:rsid w:val="00450811"/>
    <w:rsid w:val="00450C35"/>
    <w:rsid w:val="004518D4"/>
    <w:rsid w:val="004519B6"/>
    <w:rsid w:val="00451F77"/>
    <w:rsid w:val="00452CAA"/>
    <w:rsid w:val="0045300C"/>
    <w:rsid w:val="004540A3"/>
    <w:rsid w:val="00455326"/>
    <w:rsid w:val="00457749"/>
    <w:rsid w:val="00460033"/>
    <w:rsid w:val="0046230C"/>
    <w:rsid w:val="00462D22"/>
    <w:rsid w:val="00463903"/>
    <w:rsid w:val="00464042"/>
    <w:rsid w:val="004640B1"/>
    <w:rsid w:val="004646BA"/>
    <w:rsid w:val="0046540B"/>
    <w:rsid w:val="0046772C"/>
    <w:rsid w:val="00470156"/>
    <w:rsid w:val="004702C9"/>
    <w:rsid w:val="0047056D"/>
    <w:rsid w:val="00472CAE"/>
    <w:rsid w:val="00473219"/>
    <w:rsid w:val="004734D3"/>
    <w:rsid w:val="0047378D"/>
    <w:rsid w:val="0047473A"/>
    <w:rsid w:val="00474785"/>
    <w:rsid w:val="00475D8E"/>
    <w:rsid w:val="00477A0E"/>
    <w:rsid w:val="00480348"/>
    <w:rsid w:val="0048037B"/>
    <w:rsid w:val="004803ED"/>
    <w:rsid w:val="0048088A"/>
    <w:rsid w:val="004810ED"/>
    <w:rsid w:val="0048176E"/>
    <w:rsid w:val="00481D87"/>
    <w:rsid w:val="0048246B"/>
    <w:rsid w:val="0048253E"/>
    <w:rsid w:val="0048382F"/>
    <w:rsid w:val="004848DD"/>
    <w:rsid w:val="00485B4F"/>
    <w:rsid w:val="00486099"/>
    <w:rsid w:val="004868B1"/>
    <w:rsid w:val="004870A6"/>
    <w:rsid w:val="00487685"/>
    <w:rsid w:val="0048787E"/>
    <w:rsid w:val="00487A6A"/>
    <w:rsid w:val="00492089"/>
    <w:rsid w:val="00492B83"/>
    <w:rsid w:val="00492C22"/>
    <w:rsid w:val="00492CE0"/>
    <w:rsid w:val="00492D64"/>
    <w:rsid w:val="00492EE6"/>
    <w:rsid w:val="0049422F"/>
    <w:rsid w:val="00494E3B"/>
    <w:rsid w:val="00496185"/>
    <w:rsid w:val="00496CBD"/>
    <w:rsid w:val="004A13D9"/>
    <w:rsid w:val="004A16B3"/>
    <w:rsid w:val="004A1C62"/>
    <w:rsid w:val="004A2C3B"/>
    <w:rsid w:val="004A39AC"/>
    <w:rsid w:val="004B25F7"/>
    <w:rsid w:val="004B2D3D"/>
    <w:rsid w:val="004B4527"/>
    <w:rsid w:val="004B567A"/>
    <w:rsid w:val="004B5F95"/>
    <w:rsid w:val="004B75E5"/>
    <w:rsid w:val="004B7A2C"/>
    <w:rsid w:val="004C04B9"/>
    <w:rsid w:val="004C208E"/>
    <w:rsid w:val="004C326A"/>
    <w:rsid w:val="004C39B1"/>
    <w:rsid w:val="004C3E9B"/>
    <w:rsid w:val="004C51C8"/>
    <w:rsid w:val="004C5C29"/>
    <w:rsid w:val="004C6138"/>
    <w:rsid w:val="004C7A37"/>
    <w:rsid w:val="004D0468"/>
    <w:rsid w:val="004D0EA1"/>
    <w:rsid w:val="004D1BAB"/>
    <w:rsid w:val="004D2292"/>
    <w:rsid w:val="004D4B1F"/>
    <w:rsid w:val="004D544D"/>
    <w:rsid w:val="004D58DF"/>
    <w:rsid w:val="004D64CC"/>
    <w:rsid w:val="004D6F93"/>
    <w:rsid w:val="004D7681"/>
    <w:rsid w:val="004E1117"/>
    <w:rsid w:val="004E1E95"/>
    <w:rsid w:val="004E24AE"/>
    <w:rsid w:val="004E273E"/>
    <w:rsid w:val="004E2846"/>
    <w:rsid w:val="004E35EA"/>
    <w:rsid w:val="004E54D7"/>
    <w:rsid w:val="004E5E12"/>
    <w:rsid w:val="004E5F30"/>
    <w:rsid w:val="004E62FF"/>
    <w:rsid w:val="004E683F"/>
    <w:rsid w:val="004E70ED"/>
    <w:rsid w:val="004E7395"/>
    <w:rsid w:val="004F0AC3"/>
    <w:rsid w:val="004F0C13"/>
    <w:rsid w:val="004F1217"/>
    <w:rsid w:val="004F1750"/>
    <w:rsid w:val="004F2D06"/>
    <w:rsid w:val="004F2D0E"/>
    <w:rsid w:val="004F32F7"/>
    <w:rsid w:val="004F4B0A"/>
    <w:rsid w:val="004F4DB2"/>
    <w:rsid w:val="004F5212"/>
    <w:rsid w:val="004F5BCA"/>
    <w:rsid w:val="004F6230"/>
    <w:rsid w:val="004F6C4F"/>
    <w:rsid w:val="004F70AE"/>
    <w:rsid w:val="004F73B6"/>
    <w:rsid w:val="004F7D7E"/>
    <w:rsid w:val="00501EAD"/>
    <w:rsid w:val="00502B9A"/>
    <w:rsid w:val="005040DF"/>
    <w:rsid w:val="005048D5"/>
    <w:rsid w:val="00504A50"/>
    <w:rsid w:val="00504B5E"/>
    <w:rsid w:val="00505386"/>
    <w:rsid w:val="005054E7"/>
    <w:rsid w:val="00507501"/>
    <w:rsid w:val="00507B84"/>
    <w:rsid w:val="00507C6F"/>
    <w:rsid w:val="0051091B"/>
    <w:rsid w:val="00510926"/>
    <w:rsid w:val="00511434"/>
    <w:rsid w:val="0051244C"/>
    <w:rsid w:val="00512C97"/>
    <w:rsid w:val="00514475"/>
    <w:rsid w:val="005147BE"/>
    <w:rsid w:val="00516840"/>
    <w:rsid w:val="00516873"/>
    <w:rsid w:val="00516BA3"/>
    <w:rsid w:val="00517D7F"/>
    <w:rsid w:val="00520CBE"/>
    <w:rsid w:val="0052139F"/>
    <w:rsid w:val="0052303D"/>
    <w:rsid w:val="00523292"/>
    <w:rsid w:val="0052389F"/>
    <w:rsid w:val="005243E3"/>
    <w:rsid w:val="00524464"/>
    <w:rsid w:val="00524B19"/>
    <w:rsid w:val="00526FEE"/>
    <w:rsid w:val="00527C57"/>
    <w:rsid w:val="00531F78"/>
    <w:rsid w:val="005326FE"/>
    <w:rsid w:val="005336D2"/>
    <w:rsid w:val="00533832"/>
    <w:rsid w:val="00534221"/>
    <w:rsid w:val="00534D1A"/>
    <w:rsid w:val="00536A51"/>
    <w:rsid w:val="00536DE0"/>
    <w:rsid w:val="0054024A"/>
    <w:rsid w:val="0054025D"/>
    <w:rsid w:val="00540A6E"/>
    <w:rsid w:val="00541737"/>
    <w:rsid w:val="0054188D"/>
    <w:rsid w:val="005425CC"/>
    <w:rsid w:val="005433AA"/>
    <w:rsid w:val="00543404"/>
    <w:rsid w:val="00544443"/>
    <w:rsid w:val="00544799"/>
    <w:rsid w:val="00545FB3"/>
    <w:rsid w:val="005509D2"/>
    <w:rsid w:val="00551BDC"/>
    <w:rsid w:val="00552503"/>
    <w:rsid w:val="0055386C"/>
    <w:rsid w:val="00553D44"/>
    <w:rsid w:val="00555CDD"/>
    <w:rsid w:val="0055612F"/>
    <w:rsid w:val="00556CB7"/>
    <w:rsid w:val="0055729E"/>
    <w:rsid w:val="00560EEC"/>
    <w:rsid w:val="00560F0D"/>
    <w:rsid w:val="00561BFE"/>
    <w:rsid w:val="005621FC"/>
    <w:rsid w:val="005631F6"/>
    <w:rsid w:val="005637CC"/>
    <w:rsid w:val="00563CD3"/>
    <w:rsid w:val="0056468C"/>
    <w:rsid w:val="00566FF3"/>
    <w:rsid w:val="0056730E"/>
    <w:rsid w:val="00570322"/>
    <w:rsid w:val="00570DA8"/>
    <w:rsid w:val="00570EF2"/>
    <w:rsid w:val="005716A2"/>
    <w:rsid w:val="00572A52"/>
    <w:rsid w:val="00572A9D"/>
    <w:rsid w:val="00573650"/>
    <w:rsid w:val="00576FB7"/>
    <w:rsid w:val="005774C1"/>
    <w:rsid w:val="005776E1"/>
    <w:rsid w:val="00577F01"/>
    <w:rsid w:val="00580FEF"/>
    <w:rsid w:val="0058153C"/>
    <w:rsid w:val="005816BD"/>
    <w:rsid w:val="00581B73"/>
    <w:rsid w:val="00582060"/>
    <w:rsid w:val="00582D57"/>
    <w:rsid w:val="00584A1A"/>
    <w:rsid w:val="005904AB"/>
    <w:rsid w:val="00592EB7"/>
    <w:rsid w:val="00594E39"/>
    <w:rsid w:val="0059541C"/>
    <w:rsid w:val="0059578F"/>
    <w:rsid w:val="005A0A9B"/>
    <w:rsid w:val="005A0E23"/>
    <w:rsid w:val="005A1833"/>
    <w:rsid w:val="005A317F"/>
    <w:rsid w:val="005A40C7"/>
    <w:rsid w:val="005A49EA"/>
    <w:rsid w:val="005A4B9A"/>
    <w:rsid w:val="005A5F39"/>
    <w:rsid w:val="005A6169"/>
    <w:rsid w:val="005A6905"/>
    <w:rsid w:val="005A6B05"/>
    <w:rsid w:val="005A7164"/>
    <w:rsid w:val="005A7491"/>
    <w:rsid w:val="005A76DB"/>
    <w:rsid w:val="005A7F4F"/>
    <w:rsid w:val="005B2595"/>
    <w:rsid w:val="005B2D68"/>
    <w:rsid w:val="005B3198"/>
    <w:rsid w:val="005B372D"/>
    <w:rsid w:val="005B3D1E"/>
    <w:rsid w:val="005B429F"/>
    <w:rsid w:val="005B432E"/>
    <w:rsid w:val="005B448F"/>
    <w:rsid w:val="005B4F35"/>
    <w:rsid w:val="005B7241"/>
    <w:rsid w:val="005B7633"/>
    <w:rsid w:val="005C00D2"/>
    <w:rsid w:val="005C0B8C"/>
    <w:rsid w:val="005C1B7B"/>
    <w:rsid w:val="005C1C6F"/>
    <w:rsid w:val="005C2198"/>
    <w:rsid w:val="005C2385"/>
    <w:rsid w:val="005C535A"/>
    <w:rsid w:val="005C5ABD"/>
    <w:rsid w:val="005C66A9"/>
    <w:rsid w:val="005C780F"/>
    <w:rsid w:val="005C788D"/>
    <w:rsid w:val="005C7C68"/>
    <w:rsid w:val="005D11DE"/>
    <w:rsid w:val="005D2CD2"/>
    <w:rsid w:val="005D3631"/>
    <w:rsid w:val="005D3A3E"/>
    <w:rsid w:val="005D5552"/>
    <w:rsid w:val="005D6083"/>
    <w:rsid w:val="005D62E4"/>
    <w:rsid w:val="005D7014"/>
    <w:rsid w:val="005D7649"/>
    <w:rsid w:val="005E0733"/>
    <w:rsid w:val="005E08DF"/>
    <w:rsid w:val="005E10BC"/>
    <w:rsid w:val="005E1AD7"/>
    <w:rsid w:val="005E1FE7"/>
    <w:rsid w:val="005E4936"/>
    <w:rsid w:val="005E4AD4"/>
    <w:rsid w:val="005E4E52"/>
    <w:rsid w:val="005E5A83"/>
    <w:rsid w:val="005E78C4"/>
    <w:rsid w:val="005F0601"/>
    <w:rsid w:val="005F0850"/>
    <w:rsid w:val="005F0E1B"/>
    <w:rsid w:val="005F1394"/>
    <w:rsid w:val="005F325A"/>
    <w:rsid w:val="005F35EF"/>
    <w:rsid w:val="005F3C9F"/>
    <w:rsid w:val="005F505C"/>
    <w:rsid w:val="005F522D"/>
    <w:rsid w:val="005F64D1"/>
    <w:rsid w:val="005F67EB"/>
    <w:rsid w:val="006015FE"/>
    <w:rsid w:val="00601D69"/>
    <w:rsid w:val="00602C85"/>
    <w:rsid w:val="00603DD8"/>
    <w:rsid w:val="0060430A"/>
    <w:rsid w:val="00604543"/>
    <w:rsid w:val="00606520"/>
    <w:rsid w:val="0060676F"/>
    <w:rsid w:val="00607FBB"/>
    <w:rsid w:val="00610CA0"/>
    <w:rsid w:val="006118D3"/>
    <w:rsid w:val="00611C72"/>
    <w:rsid w:val="00612886"/>
    <w:rsid w:val="00613060"/>
    <w:rsid w:val="006130C0"/>
    <w:rsid w:val="00613750"/>
    <w:rsid w:val="00614F1B"/>
    <w:rsid w:val="0061555F"/>
    <w:rsid w:val="00616665"/>
    <w:rsid w:val="00616A03"/>
    <w:rsid w:val="00617A31"/>
    <w:rsid w:val="00617A5B"/>
    <w:rsid w:val="00620A63"/>
    <w:rsid w:val="00622120"/>
    <w:rsid w:val="006259B0"/>
    <w:rsid w:val="006262D9"/>
    <w:rsid w:val="006265D1"/>
    <w:rsid w:val="00627F70"/>
    <w:rsid w:val="0063131B"/>
    <w:rsid w:val="00632770"/>
    <w:rsid w:val="006332B1"/>
    <w:rsid w:val="006348F7"/>
    <w:rsid w:val="00636337"/>
    <w:rsid w:val="006376AA"/>
    <w:rsid w:val="006400F6"/>
    <w:rsid w:val="006411AF"/>
    <w:rsid w:val="00641786"/>
    <w:rsid w:val="00643DE2"/>
    <w:rsid w:val="00643DEA"/>
    <w:rsid w:val="00644483"/>
    <w:rsid w:val="00645F93"/>
    <w:rsid w:val="00646ECE"/>
    <w:rsid w:val="00646F4D"/>
    <w:rsid w:val="006470A1"/>
    <w:rsid w:val="006502D5"/>
    <w:rsid w:val="00650D00"/>
    <w:rsid w:val="00651099"/>
    <w:rsid w:val="006511A4"/>
    <w:rsid w:val="006511C5"/>
    <w:rsid w:val="0065162E"/>
    <w:rsid w:val="00652A36"/>
    <w:rsid w:val="00652CDC"/>
    <w:rsid w:val="00653327"/>
    <w:rsid w:val="00653CD7"/>
    <w:rsid w:val="00654023"/>
    <w:rsid w:val="0065439D"/>
    <w:rsid w:val="00654F69"/>
    <w:rsid w:val="006558D4"/>
    <w:rsid w:val="00655E65"/>
    <w:rsid w:val="00656FF6"/>
    <w:rsid w:val="006608FE"/>
    <w:rsid w:val="00661F47"/>
    <w:rsid w:val="0066419E"/>
    <w:rsid w:val="0066566A"/>
    <w:rsid w:val="006658DB"/>
    <w:rsid w:val="00665CBE"/>
    <w:rsid w:val="006704F7"/>
    <w:rsid w:val="00670AE1"/>
    <w:rsid w:val="00670C10"/>
    <w:rsid w:val="006713C4"/>
    <w:rsid w:val="0067227F"/>
    <w:rsid w:val="00673053"/>
    <w:rsid w:val="00673471"/>
    <w:rsid w:val="006800B2"/>
    <w:rsid w:val="00680784"/>
    <w:rsid w:val="0068097E"/>
    <w:rsid w:val="0068193E"/>
    <w:rsid w:val="00681DB3"/>
    <w:rsid w:val="006839FF"/>
    <w:rsid w:val="0068555E"/>
    <w:rsid w:val="00685721"/>
    <w:rsid w:val="00685D1D"/>
    <w:rsid w:val="0068694A"/>
    <w:rsid w:val="00686AB3"/>
    <w:rsid w:val="00690A6C"/>
    <w:rsid w:val="00690B3C"/>
    <w:rsid w:val="0069143D"/>
    <w:rsid w:val="006915DF"/>
    <w:rsid w:val="006932D8"/>
    <w:rsid w:val="006939B2"/>
    <w:rsid w:val="006942A0"/>
    <w:rsid w:val="006962CB"/>
    <w:rsid w:val="0069642F"/>
    <w:rsid w:val="00696E6E"/>
    <w:rsid w:val="00697626"/>
    <w:rsid w:val="006A2ED0"/>
    <w:rsid w:val="006A337B"/>
    <w:rsid w:val="006A6D20"/>
    <w:rsid w:val="006A6EBF"/>
    <w:rsid w:val="006A76AE"/>
    <w:rsid w:val="006A7967"/>
    <w:rsid w:val="006A7CA1"/>
    <w:rsid w:val="006B1187"/>
    <w:rsid w:val="006B162D"/>
    <w:rsid w:val="006B2849"/>
    <w:rsid w:val="006B3071"/>
    <w:rsid w:val="006B41CB"/>
    <w:rsid w:val="006B6E4B"/>
    <w:rsid w:val="006C2F51"/>
    <w:rsid w:val="006C3802"/>
    <w:rsid w:val="006C3BAD"/>
    <w:rsid w:val="006C4E93"/>
    <w:rsid w:val="006C57EF"/>
    <w:rsid w:val="006C6AAB"/>
    <w:rsid w:val="006C6F23"/>
    <w:rsid w:val="006D1D24"/>
    <w:rsid w:val="006D33B6"/>
    <w:rsid w:val="006D3E81"/>
    <w:rsid w:val="006D5307"/>
    <w:rsid w:val="006D5925"/>
    <w:rsid w:val="006D6DA0"/>
    <w:rsid w:val="006D7B3E"/>
    <w:rsid w:val="006E004A"/>
    <w:rsid w:val="006E1D4D"/>
    <w:rsid w:val="006E230C"/>
    <w:rsid w:val="006E28F8"/>
    <w:rsid w:val="006E29A8"/>
    <w:rsid w:val="006E2AA2"/>
    <w:rsid w:val="006E2D0E"/>
    <w:rsid w:val="006E3BFB"/>
    <w:rsid w:val="006E3D71"/>
    <w:rsid w:val="006E46D9"/>
    <w:rsid w:val="006E4934"/>
    <w:rsid w:val="006E5337"/>
    <w:rsid w:val="006E6CF8"/>
    <w:rsid w:val="006E7251"/>
    <w:rsid w:val="006E7658"/>
    <w:rsid w:val="006F2C46"/>
    <w:rsid w:val="006F330F"/>
    <w:rsid w:val="006F3830"/>
    <w:rsid w:val="006F3BDB"/>
    <w:rsid w:val="006F472B"/>
    <w:rsid w:val="006F54FD"/>
    <w:rsid w:val="006F639B"/>
    <w:rsid w:val="006F6563"/>
    <w:rsid w:val="006F6D5D"/>
    <w:rsid w:val="006F7C73"/>
    <w:rsid w:val="0070078C"/>
    <w:rsid w:val="007020C4"/>
    <w:rsid w:val="00702559"/>
    <w:rsid w:val="00702CD4"/>
    <w:rsid w:val="00702F99"/>
    <w:rsid w:val="0070449E"/>
    <w:rsid w:val="00705FD5"/>
    <w:rsid w:val="00706219"/>
    <w:rsid w:val="0070688C"/>
    <w:rsid w:val="00707BDE"/>
    <w:rsid w:val="007129F2"/>
    <w:rsid w:val="0071396B"/>
    <w:rsid w:val="007141A3"/>
    <w:rsid w:val="00717956"/>
    <w:rsid w:val="00717CF8"/>
    <w:rsid w:val="0072014F"/>
    <w:rsid w:val="00720BFD"/>
    <w:rsid w:val="00721F85"/>
    <w:rsid w:val="0072255F"/>
    <w:rsid w:val="0072295F"/>
    <w:rsid w:val="007232F1"/>
    <w:rsid w:val="007233D0"/>
    <w:rsid w:val="00723BE1"/>
    <w:rsid w:val="00723DE7"/>
    <w:rsid w:val="00724644"/>
    <w:rsid w:val="007257A4"/>
    <w:rsid w:val="00725BE5"/>
    <w:rsid w:val="00730BF0"/>
    <w:rsid w:val="00730D76"/>
    <w:rsid w:val="00731335"/>
    <w:rsid w:val="00731CA6"/>
    <w:rsid w:val="00732E1F"/>
    <w:rsid w:val="007343F9"/>
    <w:rsid w:val="007349A7"/>
    <w:rsid w:val="00734D74"/>
    <w:rsid w:val="00735C52"/>
    <w:rsid w:val="007367BA"/>
    <w:rsid w:val="00740A24"/>
    <w:rsid w:val="00741582"/>
    <w:rsid w:val="007417F3"/>
    <w:rsid w:val="00742310"/>
    <w:rsid w:val="007424B2"/>
    <w:rsid w:val="007428A2"/>
    <w:rsid w:val="00745C8D"/>
    <w:rsid w:val="0074667C"/>
    <w:rsid w:val="00746B51"/>
    <w:rsid w:val="00747ED9"/>
    <w:rsid w:val="00750535"/>
    <w:rsid w:val="00750AE8"/>
    <w:rsid w:val="00750F12"/>
    <w:rsid w:val="00752CCE"/>
    <w:rsid w:val="00754D0E"/>
    <w:rsid w:val="00754E1E"/>
    <w:rsid w:val="0075562C"/>
    <w:rsid w:val="00756F0A"/>
    <w:rsid w:val="00761207"/>
    <w:rsid w:val="007622FF"/>
    <w:rsid w:val="00762A90"/>
    <w:rsid w:val="00762B27"/>
    <w:rsid w:val="00764708"/>
    <w:rsid w:val="007652FE"/>
    <w:rsid w:val="0076579A"/>
    <w:rsid w:val="00765DC3"/>
    <w:rsid w:val="0076639B"/>
    <w:rsid w:val="007663C1"/>
    <w:rsid w:val="00767C4D"/>
    <w:rsid w:val="00767CAA"/>
    <w:rsid w:val="00767FC3"/>
    <w:rsid w:val="00770736"/>
    <w:rsid w:val="0077095F"/>
    <w:rsid w:val="0077174D"/>
    <w:rsid w:val="00771A9B"/>
    <w:rsid w:val="00771E07"/>
    <w:rsid w:val="007739E6"/>
    <w:rsid w:val="007744C7"/>
    <w:rsid w:val="0077454D"/>
    <w:rsid w:val="00774751"/>
    <w:rsid w:val="00774B35"/>
    <w:rsid w:val="00774DA0"/>
    <w:rsid w:val="00774FEF"/>
    <w:rsid w:val="00775496"/>
    <w:rsid w:val="007759C8"/>
    <w:rsid w:val="00775ADE"/>
    <w:rsid w:val="00775C67"/>
    <w:rsid w:val="00775FCA"/>
    <w:rsid w:val="00776402"/>
    <w:rsid w:val="00776BB8"/>
    <w:rsid w:val="007774EC"/>
    <w:rsid w:val="00780562"/>
    <w:rsid w:val="007842E2"/>
    <w:rsid w:val="00784C27"/>
    <w:rsid w:val="00784C3A"/>
    <w:rsid w:val="00785CD2"/>
    <w:rsid w:val="0078605A"/>
    <w:rsid w:val="007866C9"/>
    <w:rsid w:val="00787C22"/>
    <w:rsid w:val="0079165D"/>
    <w:rsid w:val="00791808"/>
    <w:rsid w:val="00791F39"/>
    <w:rsid w:val="00793FB0"/>
    <w:rsid w:val="0079583F"/>
    <w:rsid w:val="00795B37"/>
    <w:rsid w:val="00797581"/>
    <w:rsid w:val="00797B09"/>
    <w:rsid w:val="007A028E"/>
    <w:rsid w:val="007A0B64"/>
    <w:rsid w:val="007A0FED"/>
    <w:rsid w:val="007A1EAD"/>
    <w:rsid w:val="007A2A4A"/>
    <w:rsid w:val="007A2B11"/>
    <w:rsid w:val="007A34FD"/>
    <w:rsid w:val="007A3A3E"/>
    <w:rsid w:val="007A482B"/>
    <w:rsid w:val="007A55E9"/>
    <w:rsid w:val="007A6951"/>
    <w:rsid w:val="007A7414"/>
    <w:rsid w:val="007A7516"/>
    <w:rsid w:val="007A785E"/>
    <w:rsid w:val="007A7F77"/>
    <w:rsid w:val="007B038C"/>
    <w:rsid w:val="007B05EC"/>
    <w:rsid w:val="007B19CD"/>
    <w:rsid w:val="007B19EC"/>
    <w:rsid w:val="007B2593"/>
    <w:rsid w:val="007B30F8"/>
    <w:rsid w:val="007B3363"/>
    <w:rsid w:val="007B3EBD"/>
    <w:rsid w:val="007B427B"/>
    <w:rsid w:val="007B5756"/>
    <w:rsid w:val="007B6C09"/>
    <w:rsid w:val="007B70EA"/>
    <w:rsid w:val="007B7174"/>
    <w:rsid w:val="007B7BD0"/>
    <w:rsid w:val="007C142A"/>
    <w:rsid w:val="007C2532"/>
    <w:rsid w:val="007C3DBA"/>
    <w:rsid w:val="007C4F6E"/>
    <w:rsid w:val="007C531A"/>
    <w:rsid w:val="007C74DA"/>
    <w:rsid w:val="007C7824"/>
    <w:rsid w:val="007D1310"/>
    <w:rsid w:val="007D2BB6"/>
    <w:rsid w:val="007D36C6"/>
    <w:rsid w:val="007D43D7"/>
    <w:rsid w:val="007D4B97"/>
    <w:rsid w:val="007D644B"/>
    <w:rsid w:val="007D6947"/>
    <w:rsid w:val="007E0CF2"/>
    <w:rsid w:val="007E0D0D"/>
    <w:rsid w:val="007E238E"/>
    <w:rsid w:val="007E30D3"/>
    <w:rsid w:val="007E31D4"/>
    <w:rsid w:val="007E4566"/>
    <w:rsid w:val="007F0834"/>
    <w:rsid w:val="007F0B5A"/>
    <w:rsid w:val="007F3AC3"/>
    <w:rsid w:val="007F4E4F"/>
    <w:rsid w:val="007F5729"/>
    <w:rsid w:val="007F57EB"/>
    <w:rsid w:val="007F6521"/>
    <w:rsid w:val="007F6E10"/>
    <w:rsid w:val="007F71F0"/>
    <w:rsid w:val="00800D73"/>
    <w:rsid w:val="00800FAA"/>
    <w:rsid w:val="008026BB"/>
    <w:rsid w:val="008027D1"/>
    <w:rsid w:val="008045AF"/>
    <w:rsid w:val="00806553"/>
    <w:rsid w:val="008070E9"/>
    <w:rsid w:val="0081087D"/>
    <w:rsid w:val="00810A38"/>
    <w:rsid w:val="008110BE"/>
    <w:rsid w:val="008115A4"/>
    <w:rsid w:val="008117F4"/>
    <w:rsid w:val="00816E7F"/>
    <w:rsid w:val="008174C2"/>
    <w:rsid w:val="00817CBA"/>
    <w:rsid w:val="0082269F"/>
    <w:rsid w:val="00822E0D"/>
    <w:rsid w:val="008242E0"/>
    <w:rsid w:val="00824307"/>
    <w:rsid w:val="008249F7"/>
    <w:rsid w:val="00825362"/>
    <w:rsid w:val="008254A7"/>
    <w:rsid w:val="00826759"/>
    <w:rsid w:val="008277EC"/>
    <w:rsid w:val="008314C0"/>
    <w:rsid w:val="00831D87"/>
    <w:rsid w:val="0083372F"/>
    <w:rsid w:val="00833E19"/>
    <w:rsid w:val="00834B3E"/>
    <w:rsid w:val="008356FD"/>
    <w:rsid w:val="00835D4E"/>
    <w:rsid w:val="00835EC7"/>
    <w:rsid w:val="0083743A"/>
    <w:rsid w:val="00837AEC"/>
    <w:rsid w:val="00837E18"/>
    <w:rsid w:val="00840647"/>
    <w:rsid w:val="008427D7"/>
    <w:rsid w:val="008428EB"/>
    <w:rsid w:val="008435C3"/>
    <w:rsid w:val="00843E76"/>
    <w:rsid w:val="008449D2"/>
    <w:rsid w:val="00844DCE"/>
    <w:rsid w:val="0084627E"/>
    <w:rsid w:val="0085160E"/>
    <w:rsid w:val="00851841"/>
    <w:rsid w:val="00853FCA"/>
    <w:rsid w:val="0085474A"/>
    <w:rsid w:val="0085487B"/>
    <w:rsid w:val="008569B3"/>
    <w:rsid w:val="00857105"/>
    <w:rsid w:val="008608C4"/>
    <w:rsid w:val="00862B77"/>
    <w:rsid w:val="00863BD1"/>
    <w:rsid w:val="00864291"/>
    <w:rsid w:val="00864936"/>
    <w:rsid w:val="00864AC3"/>
    <w:rsid w:val="00864C81"/>
    <w:rsid w:val="00865BBC"/>
    <w:rsid w:val="00865D34"/>
    <w:rsid w:val="00867C23"/>
    <w:rsid w:val="00872C9E"/>
    <w:rsid w:val="00872D9D"/>
    <w:rsid w:val="008731D8"/>
    <w:rsid w:val="0087367A"/>
    <w:rsid w:val="00874029"/>
    <w:rsid w:val="00874393"/>
    <w:rsid w:val="0087591F"/>
    <w:rsid w:val="00876124"/>
    <w:rsid w:val="00876AC2"/>
    <w:rsid w:val="00877814"/>
    <w:rsid w:val="00877963"/>
    <w:rsid w:val="00880C72"/>
    <w:rsid w:val="00880FCB"/>
    <w:rsid w:val="008817A9"/>
    <w:rsid w:val="00881B90"/>
    <w:rsid w:val="00882932"/>
    <w:rsid w:val="00882F72"/>
    <w:rsid w:val="00884A7C"/>
    <w:rsid w:val="008862D5"/>
    <w:rsid w:val="0088772A"/>
    <w:rsid w:val="0088780C"/>
    <w:rsid w:val="00887ABF"/>
    <w:rsid w:val="0089174A"/>
    <w:rsid w:val="00891FCE"/>
    <w:rsid w:val="00892A0D"/>
    <w:rsid w:val="008930C9"/>
    <w:rsid w:val="00893B63"/>
    <w:rsid w:val="008960A4"/>
    <w:rsid w:val="008965CB"/>
    <w:rsid w:val="00897CCE"/>
    <w:rsid w:val="008A1F46"/>
    <w:rsid w:val="008A286B"/>
    <w:rsid w:val="008A3141"/>
    <w:rsid w:val="008A34E2"/>
    <w:rsid w:val="008A4A50"/>
    <w:rsid w:val="008A53ED"/>
    <w:rsid w:val="008A5E63"/>
    <w:rsid w:val="008A6B15"/>
    <w:rsid w:val="008A6FFC"/>
    <w:rsid w:val="008A7FE3"/>
    <w:rsid w:val="008B10D5"/>
    <w:rsid w:val="008B1288"/>
    <w:rsid w:val="008B1B46"/>
    <w:rsid w:val="008B22A0"/>
    <w:rsid w:val="008B7313"/>
    <w:rsid w:val="008B73A3"/>
    <w:rsid w:val="008B771C"/>
    <w:rsid w:val="008B7FD0"/>
    <w:rsid w:val="008C23AC"/>
    <w:rsid w:val="008C4B76"/>
    <w:rsid w:val="008C5E34"/>
    <w:rsid w:val="008C5EDD"/>
    <w:rsid w:val="008C6DDF"/>
    <w:rsid w:val="008C727F"/>
    <w:rsid w:val="008C7C27"/>
    <w:rsid w:val="008D140F"/>
    <w:rsid w:val="008D1A69"/>
    <w:rsid w:val="008D2931"/>
    <w:rsid w:val="008D30AB"/>
    <w:rsid w:val="008D33E6"/>
    <w:rsid w:val="008D3E87"/>
    <w:rsid w:val="008D5C68"/>
    <w:rsid w:val="008D6CA1"/>
    <w:rsid w:val="008D6EAC"/>
    <w:rsid w:val="008E10BF"/>
    <w:rsid w:val="008E194B"/>
    <w:rsid w:val="008E2899"/>
    <w:rsid w:val="008E2D47"/>
    <w:rsid w:val="008E2DB7"/>
    <w:rsid w:val="008E38CE"/>
    <w:rsid w:val="008E38E0"/>
    <w:rsid w:val="008E3BEE"/>
    <w:rsid w:val="008E4505"/>
    <w:rsid w:val="008E4A28"/>
    <w:rsid w:val="008E63B9"/>
    <w:rsid w:val="008E77EE"/>
    <w:rsid w:val="008F03B0"/>
    <w:rsid w:val="008F077E"/>
    <w:rsid w:val="008F0F23"/>
    <w:rsid w:val="008F101B"/>
    <w:rsid w:val="008F10C5"/>
    <w:rsid w:val="008F1E2E"/>
    <w:rsid w:val="008F4A91"/>
    <w:rsid w:val="008F5783"/>
    <w:rsid w:val="008F5885"/>
    <w:rsid w:val="008F6176"/>
    <w:rsid w:val="008F6652"/>
    <w:rsid w:val="008F669C"/>
    <w:rsid w:val="008F7E5F"/>
    <w:rsid w:val="008F7EA9"/>
    <w:rsid w:val="00900681"/>
    <w:rsid w:val="00900FC8"/>
    <w:rsid w:val="00901583"/>
    <w:rsid w:val="00901C5F"/>
    <w:rsid w:val="009043D8"/>
    <w:rsid w:val="009048D1"/>
    <w:rsid w:val="009049B9"/>
    <w:rsid w:val="00906ED8"/>
    <w:rsid w:val="009101E6"/>
    <w:rsid w:val="00911B75"/>
    <w:rsid w:val="00911C37"/>
    <w:rsid w:val="00912CB3"/>
    <w:rsid w:val="00912DA8"/>
    <w:rsid w:val="00912F54"/>
    <w:rsid w:val="009130F8"/>
    <w:rsid w:val="009148DA"/>
    <w:rsid w:val="00915010"/>
    <w:rsid w:val="0091528F"/>
    <w:rsid w:val="00915C6F"/>
    <w:rsid w:val="009168AF"/>
    <w:rsid w:val="00916917"/>
    <w:rsid w:val="009200BB"/>
    <w:rsid w:val="0092092D"/>
    <w:rsid w:val="00921727"/>
    <w:rsid w:val="00921971"/>
    <w:rsid w:val="009223CC"/>
    <w:rsid w:val="00923AF6"/>
    <w:rsid w:val="00924A6D"/>
    <w:rsid w:val="0092509D"/>
    <w:rsid w:val="0092748A"/>
    <w:rsid w:val="009279FF"/>
    <w:rsid w:val="00927A08"/>
    <w:rsid w:val="00927F55"/>
    <w:rsid w:val="009307D8"/>
    <w:rsid w:val="00930DB4"/>
    <w:rsid w:val="00931918"/>
    <w:rsid w:val="00932124"/>
    <w:rsid w:val="009325C0"/>
    <w:rsid w:val="00932753"/>
    <w:rsid w:val="0093436C"/>
    <w:rsid w:val="00934625"/>
    <w:rsid w:val="009352D5"/>
    <w:rsid w:val="00935F23"/>
    <w:rsid w:val="00936197"/>
    <w:rsid w:val="009366E9"/>
    <w:rsid w:val="00936F2D"/>
    <w:rsid w:val="00937712"/>
    <w:rsid w:val="00941C74"/>
    <w:rsid w:val="00943C3E"/>
    <w:rsid w:val="0094446F"/>
    <w:rsid w:val="00944487"/>
    <w:rsid w:val="00945573"/>
    <w:rsid w:val="00947355"/>
    <w:rsid w:val="009500F6"/>
    <w:rsid w:val="0095097E"/>
    <w:rsid w:val="0095106B"/>
    <w:rsid w:val="00952543"/>
    <w:rsid w:val="009526C7"/>
    <w:rsid w:val="00953BEB"/>
    <w:rsid w:val="0095436B"/>
    <w:rsid w:val="009549DD"/>
    <w:rsid w:val="0095519A"/>
    <w:rsid w:val="00955439"/>
    <w:rsid w:val="00955BFF"/>
    <w:rsid w:val="0095722C"/>
    <w:rsid w:val="0095755E"/>
    <w:rsid w:val="00957F12"/>
    <w:rsid w:val="009617C5"/>
    <w:rsid w:val="00961FD1"/>
    <w:rsid w:val="009626AE"/>
    <w:rsid w:val="009703CF"/>
    <w:rsid w:val="009708C1"/>
    <w:rsid w:val="00970FEC"/>
    <w:rsid w:val="0097173C"/>
    <w:rsid w:val="00971CEF"/>
    <w:rsid w:val="00973097"/>
    <w:rsid w:val="00973180"/>
    <w:rsid w:val="00973D24"/>
    <w:rsid w:val="00974E77"/>
    <w:rsid w:val="00976614"/>
    <w:rsid w:val="00980539"/>
    <w:rsid w:val="0098177B"/>
    <w:rsid w:val="00984DF1"/>
    <w:rsid w:val="00985995"/>
    <w:rsid w:val="009861C5"/>
    <w:rsid w:val="00986B4A"/>
    <w:rsid w:val="0098784E"/>
    <w:rsid w:val="00987A80"/>
    <w:rsid w:val="009900D4"/>
    <w:rsid w:val="00990974"/>
    <w:rsid w:val="0099158E"/>
    <w:rsid w:val="009920A0"/>
    <w:rsid w:val="00992DA6"/>
    <w:rsid w:val="00993195"/>
    <w:rsid w:val="00993408"/>
    <w:rsid w:val="00993539"/>
    <w:rsid w:val="0099430D"/>
    <w:rsid w:val="009958B4"/>
    <w:rsid w:val="00996AE2"/>
    <w:rsid w:val="00996C48"/>
    <w:rsid w:val="009A057F"/>
    <w:rsid w:val="009A0C8D"/>
    <w:rsid w:val="009A1143"/>
    <w:rsid w:val="009A16CC"/>
    <w:rsid w:val="009A4C71"/>
    <w:rsid w:val="009A5163"/>
    <w:rsid w:val="009A564D"/>
    <w:rsid w:val="009A56DE"/>
    <w:rsid w:val="009A5BF0"/>
    <w:rsid w:val="009A688E"/>
    <w:rsid w:val="009B0370"/>
    <w:rsid w:val="009B0759"/>
    <w:rsid w:val="009B0FB2"/>
    <w:rsid w:val="009B3689"/>
    <w:rsid w:val="009B3E33"/>
    <w:rsid w:val="009B45FA"/>
    <w:rsid w:val="009B56C6"/>
    <w:rsid w:val="009B5F3C"/>
    <w:rsid w:val="009B6B78"/>
    <w:rsid w:val="009B73D5"/>
    <w:rsid w:val="009C01C9"/>
    <w:rsid w:val="009C08B4"/>
    <w:rsid w:val="009C10BD"/>
    <w:rsid w:val="009C2532"/>
    <w:rsid w:val="009C2EDF"/>
    <w:rsid w:val="009C3DE7"/>
    <w:rsid w:val="009C545A"/>
    <w:rsid w:val="009C601D"/>
    <w:rsid w:val="009C627C"/>
    <w:rsid w:val="009C70E6"/>
    <w:rsid w:val="009C7D21"/>
    <w:rsid w:val="009D0318"/>
    <w:rsid w:val="009D0611"/>
    <w:rsid w:val="009D0BE5"/>
    <w:rsid w:val="009D1396"/>
    <w:rsid w:val="009D1EAE"/>
    <w:rsid w:val="009D224E"/>
    <w:rsid w:val="009D2F03"/>
    <w:rsid w:val="009D32C4"/>
    <w:rsid w:val="009D607A"/>
    <w:rsid w:val="009E03EA"/>
    <w:rsid w:val="009E1F62"/>
    <w:rsid w:val="009E21DA"/>
    <w:rsid w:val="009E364F"/>
    <w:rsid w:val="009E6C3D"/>
    <w:rsid w:val="009E72BA"/>
    <w:rsid w:val="009F0675"/>
    <w:rsid w:val="009F06C5"/>
    <w:rsid w:val="009F1DB3"/>
    <w:rsid w:val="009F5498"/>
    <w:rsid w:val="009F5708"/>
    <w:rsid w:val="009F5E70"/>
    <w:rsid w:val="009F6688"/>
    <w:rsid w:val="009F68BD"/>
    <w:rsid w:val="00A02E53"/>
    <w:rsid w:val="00A03D6F"/>
    <w:rsid w:val="00A04D45"/>
    <w:rsid w:val="00A0510D"/>
    <w:rsid w:val="00A05A70"/>
    <w:rsid w:val="00A06CCF"/>
    <w:rsid w:val="00A06DFF"/>
    <w:rsid w:val="00A0763B"/>
    <w:rsid w:val="00A07BE7"/>
    <w:rsid w:val="00A1057C"/>
    <w:rsid w:val="00A1187F"/>
    <w:rsid w:val="00A11937"/>
    <w:rsid w:val="00A12BAF"/>
    <w:rsid w:val="00A13574"/>
    <w:rsid w:val="00A15464"/>
    <w:rsid w:val="00A158AA"/>
    <w:rsid w:val="00A17088"/>
    <w:rsid w:val="00A17148"/>
    <w:rsid w:val="00A17CB0"/>
    <w:rsid w:val="00A20565"/>
    <w:rsid w:val="00A22E1E"/>
    <w:rsid w:val="00A23EC0"/>
    <w:rsid w:val="00A25786"/>
    <w:rsid w:val="00A259E8"/>
    <w:rsid w:val="00A26129"/>
    <w:rsid w:val="00A26D74"/>
    <w:rsid w:val="00A27496"/>
    <w:rsid w:val="00A3155C"/>
    <w:rsid w:val="00A346FA"/>
    <w:rsid w:val="00A34792"/>
    <w:rsid w:val="00A3598F"/>
    <w:rsid w:val="00A365D6"/>
    <w:rsid w:val="00A3667C"/>
    <w:rsid w:val="00A401AD"/>
    <w:rsid w:val="00A439F3"/>
    <w:rsid w:val="00A455A8"/>
    <w:rsid w:val="00A463EE"/>
    <w:rsid w:val="00A4737D"/>
    <w:rsid w:val="00A474CE"/>
    <w:rsid w:val="00A501C9"/>
    <w:rsid w:val="00A51508"/>
    <w:rsid w:val="00A5270B"/>
    <w:rsid w:val="00A534F3"/>
    <w:rsid w:val="00A562BF"/>
    <w:rsid w:val="00A56A59"/>
    <w:rsid w:val="00A572D8"/>
    <w:rsid w:val="00A5773E"/>
    <w:rsid w:val="00A57DE0"/>
    <w:rsid w:val="00A60F19"/>
    <w:rsid w:val="00A61B35"/>
    <w:rsid w:val="00A62443"/>
    <w:rsid w:val="00A62DA6"/>
    <w:rsid w:val="00A63264"/>
    <w:rsid w:val="00A63EA8"/>
    <w:rsid w:val="00A643BD"/>
    <w:rsid w:val="00A6633F"/>
    <w:rsid w:val="00A673FA"/>
    <w:rsid w:val="00A674DE"/>
    <w:rsid w:val="00A67D8F"/>
    <w:rsid w:val="00A7075B"/>
    <w:rsid w:val="00A7099A"/>
    <w:rsid w:val="00A725FB"/>
    <w:rsid w:val="00A734CC"/>
    <w:rsid w:val="00A74227"/>
    <w:rsid w:val="00A777D7"/>
    <w:rsid w:val="00A778C6"/>
    <w:rsid w:val="00A80698"/>
    <w:rsid w:val="00A8097E"/>
    <w:rsid w:val="00A81125"/>
    <w:rsid w:val="00A830CF"/>
    <w:rsid w:val="00A83837"/>
    <w:rsid w:val="00A85436"/>
    <w:rsid w:val="00A855F5"/>
    <w:rsid w:val="00A85F24"/>
    <w:rsid w:val="00A86552"/>
    <w:rsid w:val="00A86E0F"/>
    <w:rsid w:val="00A87574"/>
    <w:rsid w:val="00A87946"/>
    <w:rsid w:val="00A87B4F"/>
    <w:rsid w:val="00A902E1"/>
    <w:rsid w:val="00A90B37"/>
    <w:rsid w:val="00A90CDB"/>
    <w:rsid w:val="00A92282"/>
    <w:rsid w:val="00A92D9F"/>
    <w:rsid w:val="00A93850"/>
    <w:rsid w:val="00A94023"/>
    <w:rsid w:val="00A9549F"/>
    <w:rsid w:val="00A9704B"/>
    <w:rsid w:val="00AA01FD"/>
    <w:rsid w:val="00AA0941"/>
    <w:rsid w:val="00AA0C4C"/>
    <w:rsid w:val="00AA0D0A"/>
    <w:rsid w:val="00AA1520"/>
    <w:rsid w:val="00AA2251"/>
    <w:rsid w:val="00AA3DBD"/>
    <w:rsid w:val="00AA506D"/>
    <w:rsid w:val="00AA61D4"/>
    <w:rsid w:val="00AA6A5A"/>
    <w:rsid w:val="00AA6AF3"/>
    <w:rsid w:val="00AA7195"/>
    <w:rsid w:val="00AA72AD"/>
    <w:rsid w:val="00AB1512"/>
    <w:rsid w:val="00AB2BD8"/>
    <w:rsid w:val="00AB344D"/>
    <w:rsid w:val="00AB41B6"/>
    <w:rsid w:val="00AB4679"/>
    <w:rsid w:val="00AB49C4"/>
    <w:rsid w:val="00AB4D99"/>
    <w:rsid w:val="00AB6BB1"/>
    <w:rsid w:val="00AB7098"/>
    <w:rsid w:val="00AC2148"/>
    <w:rsid w:val="00AC3600"/>
    <w:rsid w:val="00AC430E"/>
    <w:rsid w:val="00AC4A2B"/>
    <w:rsid w:val="00AC5C27"/>
    <w:rsid w:val="00AC5E7F"/>
    <w:rsid w:val="00AC6375"/>
    <w:rsid w:val="00AC6880"/>
    <w:rsid w:val="00AC6CE3"/>
    <w:rsid w:val="00AC6F9D"/>
    <w:rsid w:val="00AC77FB"/>
    <w:rsid w:val="00AC7958"/>
    <w:rsid w:val="00AC7F37"/>
    <w:rsid w:val="00AD00AB"/>
    <w:rsid w:val="00AD077E"/>
    <w:rsid w:val="00AD169D"/>
    <w:rsid w:val="00AD1A00"/>
    <w:rsid w:val="00AD20B4"/>
    <w:rsid w:val="00AD25BA"/>
    <w:rsid w:val="00AD2CA0"/>
    <w:rsid w:val="00AD2CA4"/>
    <w:rsid w:val="00AD3AE2"/>
    <w:rsid w:val="00AD590E"/>
    <w:rsid w:val="00AD788B"/>
    <w:rsid w:val="00AE119F"/>
    <w:rsid w:val="00AE1B5A"/>
    <w:rsid w:val="00AE30A2"/>
    <w:rsid w:val="00AE351E"/>
    <w:rsid w:val="00AE3C8D"/>
    <w:rsid w:val="00AE5759"/>
    <w:rsid w:val="00AE5FB1"/>
    <w:rsid w:val="00AF1651"/>
    <w:rsid w:val="00AF2ADA"/>
    <w:rsid w:val="00AF32D9"/>
    <w:rsid w:val="00AF395B"/>
    <w:rsid w:val="00AF3E4F"/>
    <w:rsid w:val="00AF53F3"/>
    <w:rsid w:val="00AF54FF"/>
    <w:rsid w:val="00AF55C1"/>
    <w:rsid w:val="00AF6882"/>
    <w:rsid w:val="00AF6A54"/>
    <w:rsid w:val="00AF6AC9"/>
    <w:rsid w:val="00AF6C06"/>
    <w:rsid w:val="00B007CE"/>
    <w:rsid w:val="00B0091B"/>
    <w:rsid w:val="00B01D49"/>
    <w:rsid w:val="00B02298"/>
    <w:rsid w:val="00B055A4"/>
    <w:rsid w:val="00B1094D"/>
    <w:rsid w:val="00B1234D"/>
    <w:rsid w:val="00B12822"/>
    <w:rsid w:val="00B13222"/>
    <w:rsid w:val="00B13473"/>
    <w:rsid w:val="00B16C24"/>
    <w:rsid w:val="00B174F3"/>
    <w:rsid w:val="00B17882"/>
    <w:rsid w:val="00B20B98"/>
    <w:rsid w:val="00B21240"/>
    <w:rsid w:val="00B21D46"/>
    <w:rsid w:val="00B21F32"/>
    <w:rsid w:val="00B2227C"/>
    <w:rsid w:val="00B225A3"/>
    <w:rsid w:val="00B2306D"/>
    <w:rsid w:val="00B239D2"/>
    <w:rsid w:val="00B25228"/>
    <w:rsid w:val="00B26C98"/>
    <w:rsid w:val="00B30D27"/>
    <w:rsid w:val="00B31CA1"/>
    <w:rsid w:val="00B32066"/>
    <w:rsid w:val="00B329D4"/>
    <w:rsid w:val="00B34359"/>
    <w:rsid w:val="00B345AD"/>
    <w:rsid w:val="00B368D3"/>
    <w:rsid w:val="00B36EDE"/>
    <w:rsid w:val="00B36F01"/>
    <w:rsid w:val="00B36FCA"/>
    <w:rsid w:val="00B37E55"/>
    <w:rsid w:val="00B407B5"/>
    <w:rsid w:val="00B43497"/>
    <w:rsid w:val="00B444F4"/>
    <w:rsid w:val="00B446EA"/>
    <w:rsid w:val="00B44F57"/>
    <w:rsid w:val="00B452B7"/>
    <w:rsid w:val="00B462D5"/>
    <w:rsid w:val="00B464F9"/>
    <w:rsid w:val="00B5022E"/>
    <w:rsid w:val="00B50918"/>
    <w:rsid w:val="00B50A8A"/>
    <w:rsid w:val="00B51075"/>
    <w:rsid w:val="00B55713"/>
    <w:rsid w:val="00B564C7"/>
    <w:rsid w:val="00B56B1F"/>
    <w:rsid w:val="00B571D9"/>
    <w:rsid w:val="00B57E97"/>
    <w:rsid w:val="00B62960"/>
    <w:rsid w:val="00B62D4B"/>
    <w:rsid w:val="00B62E54"/>
    <w:rsid w:val="00B6317A"/>
    <w:rsid w:val="00B654FC"/>
    <w:rsid w:val="00B65FED"/>
    <w:rsid w:val="00B6786F"/>
    <w:rsid w:val="00B70633"/>
    <w:rsid w:val="00B72E94"/>
    <w:rsid w:val="00B737A2"/>
    <w:rsid w:val="00B73DD7"/>
    <w:rsid w:val="00B73E8F"/>
    <w:rsid w:val="00B74708"/>
    <w:rsid w:val="00B747BF"/>
    <w:rsid w:val="00B74A9A"/>
    <w:rsid w:val="00B74CB5"/>
    <w:rsid w:val="00B7612A"/>
    <w:rsid w:val="00B764BE"/>
    <w:rsid w:val="00B76EE6"/>
    <w:rsid w:val="00B77362"/>
    <w:rsid w:val="00B807FD"/>
    <w:rsid w:val="00B808AD"/>
    <w:rsid w:val="00B81939"/>
    <w:rsid w:val="00B81FCB"/>
    <w:rsid w:val="00B82473"/>
    <w:rsid w:val="00B82F3D"/>
    <w:rsid w:val="00B83530"/>
    <w:rsid w:val="00B8409E"/>
    <w:rsid w:val="00B85112"/>
    <w:rsid w:val="00B85C08"/>
    <w:rsid w:val="00B87DBA"/>
    <w:rsid w:val="00B91509"/>
    <w:rsid w:val="00B92EDE"/>
    <w:rsid w:val="00B93FDB"/>
    <w:rsid w:val="00B941C3"/>
    <w:rsid w:val="00B95116"/>
    <w:rsid w:val="00B952CD"/>
    <w:rsid w:val="00B953EA"/>
    <w:rsid w:val="00B95777"/>
    <w:rsid w:val="00B96171"/>
    <w:rsid w:val="00B961D8"/>
    <w:rsid w:val="00B96935"/>
    <w:rsid w:val="00B969E5"/>
    <w:rsid w:val="00B96C7A"/>
    <w:rsid w:val="00B96CFE"/>
    <w:rsid w:val="00BA1046"/>
    <w:rsid w:val="00BA1189"/>
    <w:rsid w:val="00BA11BE"/>
    <w:rsid w:val="00BA1E7A"/>
    <w:rsid w:val="00BA1F56"/>
    <w:rsid w:val="00BA23E2"/>
    <w:rsid w:val="00BA27A7"/>
    <w:rsid w:val="00BA44FA"/>
    <w:rsid w:val="00BA4556"/>
    <w:rsid w:val="00BA4B20"/>
    <w:rsid w:val="00BA61A2"/>
    <w:rsid w:val="00BA6499"/>
    <w:rsid w:val="00BA6593"/>
    <w:rsid w:val="00BA65EF"/>
    <w:rsid w:val="00BA6992"/>
    <w:rsid w:val="00BA6A6B"/>
    <w:rsid w:val="00BA7262"/>
    <w:rsid w:val="00BA7CC9"/>
    <w:rsid w:val="00BB1144"/>
    <w:rsid w:val="00BB156D"/>
    <w:rsid w:val="00BB2E33"/>
    <w:rsid w:val="00BB3559"/>
    <w:rsid w:val="00BB4362"/>
    <w:rsid w:val="00BB4676"/>
    <w:rsid w:val="00BB6093"/>
    <w:rsid w:val="00BB727A"/>
    <w:rsid w:val="00BC0DBD"/>
    <w:rsid w:val="00BC16C6"/>
    <w:rsid w:val="00BC18DE"/>
    <w:rsid w:val="00BC1933"/>
    <w:rsid w:val="00BC2043"/>
    <w:rsid w:val="00BC344E"/>
    <w:rsid w:val="00BC3B59"/>
    <w:rsid w:val="00BC4757"/>
    <w:rsid w:val="00BC487D"/>
    <w:rsid w:val="00BC4E42"/>
    <w:rsid w:val="00BC4E98"/>
    <w:rsid w:val="00BD1BB7"/>
    <w:rsid w:val="00BD225F"/>
    <w:rsid w:val="00BD2E76"/>
    <w:rsid w:val="00BD3BC1"/>
    <w:rsid w:val="00BD3F31"/>
    <w:rsid w:val="00BD5F2F"/>
    <w:rsid w:val="00BD66CF"/>
    <w:rsid w:val="00BD75FA"/>
    <w:rsid w:val="00BD7896"/>
    <w:rsid w:val="00BD79A6"/>
    <w:rsid w:val="00BE2710"/>
    <w:rsid w:val="00BE3429"/>
    <w:rsid w:val="00BE3572"/>
    <w:rsid w:val="00BE5C67"/>
    <w:rsid w:val="00BE7D6C"/>
    <w:rsid w:val="00BE7ECB"/>
    <w:rsid w:val="00BF2AD2"/>
    <w:rsid w:val="00BF433E"/>
    <w:rsid w:val="00BF4479"/>
    <w:rsid w:val="00BF5064"/>
    <w:rsid w:val="00BF5CAC"/>
    <w:rsid w:val="00BF6419"/>
    <w:rsid w:val="00BF78DD"/>
    <w:rsid w:val="00BF7949"/>
    <w:rsid w:val="00C00357"/>
    <w:rsid w:val="00C04467"/>
    <w:rsid w:val="00C04924"/>
    <w:rsid w:val="00C068F0"/>
    <w:rsid w:val="00C13AE8"/>
    <w:rsid w:val="00C1616B"/>
    <w:rsid w:val="00C16EA2"/>
    <w:rsid w:val="00C17F41"/>
    <w:rsid w:val="00C20166"/>
    <w:rsid w:val="00C21477"/>
    <w:rsid w:val="00C21698"/>
    <w:rsid w:val="00C21823"/>
    <w:rsid w:val="00C21A32"/>
    <w:rsid w:val="00C21EBE"/>
    <w:rsid w:val="00C224D2"/>
    <w:rsid w:val="00C23091"/>
    <w:rsid w:val="00C23E35"/>
    <w:rsid w:val="00C240D4"/>
    <w:rsid w:val="00C255B9"/>
    <w:rsid w:val="00C25D00"/>
    <w:rsid w:val="00C25FE6"/>
    <w:rsid w:val="00C26389"/>
    <w:rsid w:val="00C2679E"/>
    <w:rsid w:val="00C274F9"/>
    <w:rsid w:val="00C30A85"/>
    <w:rsid w:val="00C3161D"/>
    <w:rsid w:val="00C31B63"/>
    <w:rsid w:val="00C34DDB"/>
    <w:rsid w:val="00C359C8"/>
    <w:rsid w:val="00C35BA2"/>
    <w:rsid w:val="00C3607A"/>
    <w:rsid w:val="00C3674B"/>
    <w:rsid w:val="00C36FD7"/>
    <w:rsid w:val="00C37C3A"/>
    <w:rsid w:val="00C40F1B"/>
    <w:rsid w:val="00C41DCE"/>
    <w:rsid w:val="00C4377D"/>
    <w:rsid w:val="00C43AC6"/>
    <w:rsid w:val="00C45318"/>
    <w:rsid w:val="00C456EA"/>
    <w:rsid w:val="00C4678A"/>
    <w:rsid w:val="00C467C3"/>
    <w:rsid w:val="00C46A04"/>
    <w:rsid w:val="00C50E91"/>
    <w:rsid w:val="00C5143E"/>
    <w:rsid w:val="00C514F4"/>
    <w:rsid w:val="00C51D30"/>
    <w:rsid w:val="00C528B7"/>
    <w:rsid w:val="00C52B2D"/>
    <w:rsid w:val="00C52F8C"/>
    <w:rsid w:val="00C5307E"/>
    <w:rsid w:val="00C55EEA"/>
    <w:rsid w:val="00C55F04"/>
    <w:rsid w:val="00C563F4"/>
    <w:rsid w:val="00C57DE8"/>
    <w:rsid w:val="00C6199A"/>
    <w:rsid w:val="00C62EB6"/>
    <w:rsid w:val="00C65699"/>
    <w:rsid w:val="00C65F89"/>
    <w:rsid w:val="00C71429"/>
    <w:rsid w:val="00C718FB"/>
    <w:rsid w:val="00C71A07"/>
    <w:rsid w:val="00C71C16"/>
    <w:rsid w:val="00C71C33"/>
    <w:rsid w:val="00C745F5"/>
    <w:rsid w:val="00C76129"/>
    <w:rsid w:val="00C76629"/>
    <w:rsid w:val="00C776C1"/>
    <w:rsid w:val="00C8003E"/>
    <w:rsid w:val="00C816A4"/>
    <w:rsid w:val="00C82F70"/>
    <w:rsid w:val="00C83351"/>
    <w:rsid w:val="00C84264"/>
    <w:rsid w:val="00C844A2"/>
    <w:rsid w:val="00C8521A"/>
    <w:rsid w:val="00C921B5"/>
    <w:rsid w:val="00C92531"/>
    <w:rsid w:val="00C93102"/>
    <w:rsid w:val="00C940CC"/>
    <w:rsid w:val="00C943E7"/>
    <w:rsid w:val="00C9443C"/>
    <w:rsid w:val="00C94721"/>
    <w:rsid w:val="00C94B75"/>
    <w:rsid w:val="00C94D45"/>
    <w:rsid w:val="00C94DE9"/>
    <w:rsid w:val="00C94EDB"/>
    <w:rsid w:val="00C9617D"/>
    <w:rsid w:val="00C97DCA"/>
    <w:rsid w:val="00C97E4E"/>
    <w:rsid w:val="00CA0FB2"/>
    <w:rsid w:val="00CA1342"/>
    <w:rsid w:val="00CA1938"/>
    <w:rsid w:val="00CA2B9C"/>
    <w:rsid w:val="00CA323F"/>
    <w:rsid w:val="00CA4BF1"/>
    <w:rsid w:val="00CA4C2D"/>
    <w:rsid w:val="00CA65C6"/>
    <w:rsid w:val="00CA70BF"/>
    <w:rsid w:val="00CA7AB0"/>
    <w:rsid w:val="00CB03E0"/>
    <w:rsid w:val="00CB08D2"/>
    <w:rsid w:val="00CB119D"/>
    <w:rsid w:val="00CB2750"/>
    <w:rsid w:val="00CB2DDD"/>
    <w:rsid w:val="00CB2EEA"/>
    <w:rsid w:val="00CB4DBA"/>
    <w:rsid w:val="00CB697E"/>
    <w:rsid w:val="00CB6D25"/>
    <w:rsid w:val="00CB742E"/>
    <w:rsid w:val="00CC031D"/>
    <w:rsid w:val="00CC053E"/>
    <w:rsid w:val="00CC06BF"/>
    <w:rsid w:val="00CC14ED"/>
    <w:rsid w:val="00CC2478"/>
    <w:rsid w:val="00CC27BF"/>
    <w:rsid w:val="00CC2D15"/>
    <w:rsid w:val="00CC3F8A"/>
    <w:rsid w:val="00CC5631"/>
    <w:rsid w:val="00CD0060"/>
    <w:rsid w:val="00CD0BC0"/>
    <w:rsid w:val="00CD0D6E"/>
    <w:rsid w:val="00CD3041"/>
    <w:rsid w:val="00CD5396"/>
    <w:rsid w:val="00CD5EAA"/>
    <w:rsid w:val="00CD6066"/>
    <w:rsid w:val="00CD74FD"/>
    <w:rsid w:val="00CD7720"/>
    <w:rsid w:val="00CE0208"/>
    <w:rsid w:val="00CE11A9"/>
    <w:rsid w:val="00CE142A"/>
    <w:rsid w:val="00CE2482"/>
    <w:rsid w:val="00CE3047"/>
    <w:rsid w:val="00CE6BA9"/>
    <w:rsid w:val="00CE6FE9"/>
    <w:rsid w:val="00CE7355"/>
    <w:rsid w:val="00CE79B5"/>
    <w:rsid w:val="00CE7B87"/>
    <w:rsid w:val="00CE7C5B"/>
    <w:rsid w:val="00CF017D"/>
    <w:rsid w:val="00CF05D4"/>
    <w:rsid w:val="00CF08C5"/>
    <w:rsid w:val="00CF1CDE"/>
    <w:rsid w:val="00CF2137"/>
    <w:rsid w:val="00CF235B"/>
    <w:rsid w:val="00CF438F"/>
    <w:rsid w:val="00CF4907"/>
    <w:rsid w:val="00CF50D6"/>
    <w:rsid w:val="00CF6123"/>
    <w:rsid w:val="00D00D86"/>
    <w:rsid w:val="00D02612"/>
    <w:rsid w:val="00D040DA"/>
    <w:rsid w:val="00D04943"/>
    <w:rsid w:val="00D04B74"/>
    <w:rsid w:val="00D06CAB"/>
    <w:rsid w:val="00D06F6C"/>
    <w:rsid w:val="00D070F7"/>
    <w:rsid w:val="00D07415"/>
    <w:rsid w:val="00D116CD"/>
    <w:rsid w:val="00D11FFD"/>
    <w:rsid w:val="00D12933"/>
    <w:rsid w:val="00D14101"/>
    <w:rsid w:val="00D15B01"/>
    <w:rsid w:val="00D15E86"/>
    <w:rsid w:val="00D1618A"/>
    <w:rsid w:val="00D17417"/>
    <w:rsid w:val="00D17F65"/>
    <w:rsid w:val="00D22876"/>
    <w:rsid w:val="00D23184"/>
    <w:rsid w:val="00D239F5"/>
    <w:rsid w:val="00D2412C"/>
    <w:rsid w:val="00D26E3B"/>
    <w:rsid w:val="00D27188"/>
    <w:rsid w:val="00D27670"/>
    <w:rsid w:val="00D2799F"/>
    <w:rsid w:val="00D302AB"/>
    <w:rsid w:val="00D32477"/>
    <w:rsid w:val="00D32DCE"/>
    <w:rsid w:val="00D33B1A"/>
    <w:rsid w:val="00D3462C"/>
    <w:rsid w:val="00D356F5"/>
    <w:rsid w:val="00D35CBB"/>
    <w:rsid w:val="00D35DE1"/>
    <w:rsid w:val="00D35E62"/>
    <w:rsid w:val="00D3676B"/>
    <w:rsid w:val="00D36EFB"/>
    <w:rsid w:val="00D41DB8"/>
    <w:rsid w:val="00D4368B"/>
    <w:rsid w:val="00D438F6"/>
    <w:rsid w:val="00D4441C"/>
    <w:rsid w:val="00D4451E"/>
    <w:rsid w:val="00D447B6"/>
    <w:rsid w:val="00D4489F"/>
    <w:rsid w:val="00D45025"/>
    <w:rsid w:val="00D46714"/>
    <w:rsid w:val="00D46BBA"/>
    <w:rsid w:val="00D50F42"/>
    <w:rsid w:val="00D5251D"/>
    <w:rsid w:val="00D5372B"/>
    <w:rsid w:val="00D53D23"/>
    <w:rsid w:val="00D55302"/>
    <w:rsid w:val="00D55605"/>
    <w:rsid w:val="00D56494"/>
    <w:rsid w:val="00D62729"/>
    <w:rsid w:val="00D62A35"/>
    <w:rsid w:val="00D62D13"/>
    <w:rsid w:val="00D6495D"/>
    <w:rsid w:val="00D65FDC"/>
    <w:rsid w:val="00D662AF"/>
    <w:rsid w:val="00D66598"/>
    <w:rsid w:val="00D673EE"/>
    <w:rsid w:val="00D70C1C"/>
    <w:rsid w:val="00D712F4"/>
    <w:rsid w:val="00D714E8"/>
    <w:rsid w:val="00D71CDA"/>
    <w:rsid w:val="00D726DB"/>
    <w:rsid w:val="00D73A4A"/>
    <w:rsid w:val="00D74365"/>
    <w:rsid w:val="00D743FB"/>
    <w:rsid w:val="00D758DF"/>
    <w:rsid w:val="00D76F28"/>
    <w:rsid w:val="00D77106"/>
    <w:rsid w:val="00D77558"/>
    <w:rsid w:val="00D776AA"/>
    <w:rsid w:val="00D830E6"/>
    <w:rsid w:val="00D835C5"/>
    <w:rsid w:val="00D83EE3"/>
    <w:rsid w:val="00D83EEB"/>
    <w:rsid w:val="00D84CFA"/>
    <w:rsid w:val="00D84EE1"/>
    <w:rsid w:val="00D853F1"/>
    <w:rsid w:val="00D854FD"/>
    <w:rsid w:val="00D85DCF"/>
    <w:rsid w:val="00D863FC"/>
    <w:rsid w:val="00D87CC0"/>
    <w:rsid w:val="00D9043C"/>
    <w:rsid w:val="00D906B2"/>
    <w:rsid w:val="00D90AE5"/>
    <w:rsid w:val="00D91390"/>
    <w:rsid w:val="00D914A6"/>
    <w:rsid w:val="00D916B7"/>
    <w:rsid w:val="00D917D0"/>
    <w:rsid w:val="00D918E1"/>
    <w:rsid w:val="00D91E52"/>
    <w:rsid w:val="00D923BD"/>
    <w:rsid w:val="00D926ED"/>
    <w:rsid w:val="00D93E80"/>
    <w:rsid w:val="00D9508A"/>
    <w:rsid w:val="00D97354"/>
    <w:rsid w:val="00DA0F00"/>
    <w:rsid w:val="00DA13E1"/>
    <w:rsid w:val="00DA1777"/>
    <w:rsid w:val="00DA4DCF"/>
    <w:rsid w:val="00DA562F"/>
    <w:rsid w:val="00DA5B75"/>
    <w:rsid w:val="00DA7209"/>
    <w:rsid w:val="00DB02C1"/>
    <w:rsid w:val="00DB0727"/>
    <w:rsid w:val="00DB164E"/>
    <w:rsid w:val="00DB1DA5"/>
    <w:rsid w:val="00DB2620"/>
    <w:rsid w:val="00DB3006"/>
    <w:rsid w:val="00DB413F"/>
    <w:rsid w:val="00DB42A8"/>
    <w:rsid w:val="00DB449B"/>
    <w:rsid w:val="00DB4770"/>
    <w:rsid w:val="00DB481C"/>
    <w:rsid w:val="00DB491F"/>
    <w:rsid w:val="00DB57F4"/>
    <w:rsid w:val="00DB62B2"/>
    <w:rsid w:val="00DC0C0F"/>
    <w:rsid w:val="00DC0E95"/>
    <w:rsid w:val="00DC0F3F"/>
    <w:rsid w:val="00DC0F50"/>
    <w:rsid w:val="00DC1439"/>
    <w:rsid w:val="00DC19A4"/>
    <w:rsid w:val="00DC1A0B"/>
    <w:rsid w:val="00DC36D5"/>
    <w:rsid w:val="00DC3CDE"/>
    <w:rsid w:val="00DD0291"/>
    <w:rsid w:val="00DD0585"/>
    <w:rsid w:val="00DD2385"/>
    <w:rsid w:val="00DD269E"/>
    <w:rsid w:val="00DD3502"/>
    <w:rsid w:val="00DD3BE8"/>
    <w:rsid w:val="00DD460F"/>
    <w:rsid w:val="00DD52E8"/>
    <w:rsid w:val="00DD62E3"/>
    <w:rsid w:val="00DD63FA"/>
    <w:rsid w:val="00DD6593"/>
    <w:rsid w:val="00DD7CFE"/>
    <w:rsid w:val="00DE1D48"/>
    <w:rsid w:val="00DE3178"/>
    <w:rsid w:val="00DE42CB"/>
    <w:rsid w:val="00DE437B"/>
    <w:rsid w:val="00DE4573"/>
    <w:rsid w:val="00DE4D21"/>
    <w:rsid w:val="00DE52C2"/>
    <w:rsid w:val="00DE5348"/>
    <w:rsid w:val="00DE55D7"/>
    <w:rsid w:val="00DE6548"/>
    <w:rsid w:val="00DE67AF"/>
    <w:rsid w:val="00DF0410"/>
    <w:rsid w:val="00DF1163"/>
    <w:rsid w:val="00DF16FF"/>
    <w:rsid w:val="00DF1782"/>
    <w:rsid w:val="00DF3C96"/>
    <w:rsid w:val="00DF3FBC"/>
    <w:rsid w:val="00DF4A98"/>
    <w:rsid w:val="00DF66E8"/>
    <w:rsid w:val="00DF6A79"/>
    <w:rsid w:val="00E035F7"/>
    <w:rsid w:val="00E03D0B"/>
    <w:rsid w:val="00E03D6E"/>
    <w:rsid w:val="00E048AF"/>
    <w:rsid w:val="00E052F1"/>
    <w:rsid w:val="00E05A21"/>
    <w:rsid w:val="00E067B5"/>
    <w:rsid w:val="00E069CF"/>
    <w:rsid w:val="00E07A33"/>
    <w:rsid w:val="00E07A37"/>
    <w:rsid w:val="00E07EB0"/>
    <w:rsid w:val="00E10559"/>
    <w:rsid w:val="00E10B42"/>
    <w:rsid w:val="00E1107C"/>
    <w:rsid w:val="00E1193C"/>
    <w:rsid w:val="00E12744"/>
    <w:rsid w:val="00E14456"/>
    <w:rsid w:val="00E1473C"/>
    <w:rsid w:val="00E154B3"/>
    <w:rsid w:val="00E1605E"/>
    <w:rsid w:val="00E1658B"/>
    <w:rsid w:val="00E20330"/>
    <w:rsid w:val="00E218C7"/>
    <w:rsid w:val="00E219EB"/>
    <w:rsid w:val="00E21B9F"/>
    <w:rsid w:val="00E2238E"/>
    <w:rsid w:val="00E231D7"/>
    <w:rsid w:val="00E23BB7"/>
    <w:rsid w:val="00E26D5D"/>
    <w:rsid w:val="00E27252"/>
    <w:rsid w:val="00E30BE9"/>
    <w:rsid w:val="00E30F3C"/>
    <w:rsid w:val="00E31650"/>
    <w:rsid w:val="00E31D9F"/>
    <w:rsid w:val="00E3234D"/>
    <w:rsid w:val="00E32367"/>
    <w:rsid w:val="00E323B9"/>
    <w:rsid w:val="00E33983"/>
    <w:rsid w:val="00E33F62"/>
    <w:rsid w:val="00E34A38"/>
    <w:rsid w:val="00E34E2D"/>
    <w:rsid w:val="00E35958"/>
    <w:rsid w:val="00E36649"/>
    <w:rsid w:val="00E36E5E"/>
    <w:rsid w:val="00E3710D"/>
    <w:rsid w:val="00E40910"/>
    <w:rsid w:val="00E40A14"/>
    <w:rsid w:val="00E40C72"/>
    <w:rsid w:val="00E4108C"/>
    <w:rsid w:val="00E413BF"/>
    <w:rsid w:val="00E4150F"/>
    <w:rsid w:val="00E4193E"/>
    <w:rsid w:val="00E42E15"/>
    <w:rsid w:val="00E43DAE"/>
    <w:rsid w:val="00E443C7"/>
    <w:rsid w:val="00E45267"/>
    <w:rsid w:val="00E453B5"/>
    <w:rsid w:val="00E459DA"/>
    <w:rsid w:val="00E46D32"/>
    <w:rsid w:val="00E50A93"/>
    <w:rsid w:val="00E51849"/>
    <w:rsid w:val="00E519C8"/>
    <w:rsid w:val="00E5226A"/>
    <w:rsid w:val="00E5238F"/>
    <w:rsid w:val="00E529D8"/>
    <w:rsid w:val="00E540E5"/>
    <w:rsid w:val="00E548E8"/>
    <w:rsid w:val="00E55470"/>
    <w:rsid w:val="00E55C47"/>
    <w:rsid w:val="00E565C1"/>
    <w:rsid w:val="00E5772D"/>
    <w:rsid w:val="00E611FD"/>
    <w:rsid w:val="00E62D01"/>
    <w:rsid w:val="00E63312"/>
    <w:rsid w:val="00E64F93"/>
    <w:rsid w:val="00E65EBE"/>
    <w:rsid w:val="00E6683D"/>
    <w:rsid w:val="00E67194"/>
    <w:rsid w:val="00E712B9"/>
    <w:rsid w:val="00E715BD"/>
    <w:rsid w:val="00E71FCC"/>
    <w:rsid w:val="00E72A0D"/>
    <w:rsid w:val="00E7334F"/>
    <w:rsid w:val="00E73701"/>
    <w:rsid w:val="00E737C8"/>
    <w:rsid w:val="00E7497E"/>
    <w:rsid w:val="00E7652E"/>
    <w:rsid w:val="00E80325"/>
    <w:rsid w:val="00E81972"/>
    <w:rsid w:val="00E81AA5"/>
    <w:rsid w:val="00E81E6E"/>
    <w:rsid w:val="00E82844"/>
    <w:rsid w:val="00E82D7B"/>
    <w:rsid w:val="00E84962"/>
    <w:rsid w:val="00E85B08"/>
    <w:rsid w:val="00E860AC"/>
    <w:rsid w:val="00E86C4D"/>
    <w:rsid w:val="00E905F2"/>
    <w:rsid w:val="00E90C85"/>
    <w:rsid w:val="00E90DB4"/>
    <w:rsid w:val="00E9220E"/>
    <w:rsid w:val="00E926A1"/>
    <w:rsid w:val="00E92BD5"/>
    <w:rsid w:val="00E93AFE"/>
    <w:rsid w:val="00E94587"/>
    <w:rsid w:val="00E94DB4"/>
    <w:rsid w:val="00EA02C9"/>
    <w:rsid w:val="00EA06AB"/>
    <w:rsid w:val="00EA1E14"/>
    <w:rsid w:val="00EA2083"/>
    <w:rsid w:val="00EA2AEF"/>
    <w:rsid w:val="00EA3006"/>
    <w:rsid w:val="00EA4451"/>
    <w:rsid w:val="00EA564B"/>
    <w:rsid w:val="00EA61DC"/>
    <w:rsid w:val="00EA65FD"/>
    <w:rsid w:val="00EA66FA"/>
    <w:rsid w:val="00EB2A13"/>
    <w:rsid w:val="00EB338E"/>
    <w:rsid w:val="00EB494B"/>
    <w:rsid w:val="00EB51D6"/>
    <w:rsid w:val="00EB52D1"/>
    <w:rsid w:val="00EB557F"/>
    <w:rsid w:val="00EB6767"/>
    <w:rsid w:val="00EB716F"/>
    <w:rsid w:val="00EB794F"/>
    <w:rsid w:val="00EC07EB"/>
    <w:rsid w:val="00EC0B5B"/>
    <w:rsid w:val="00EC0DA4"/>
    <w:rsid w:val="00EC17B2"/>
    <w:rsid w:val="00EC248F"/>
    <w:rsid w:val="00EC3B5A"/>
    <w:rsid w:val="00EC4743"/>
    <w:rsid w:val="00EC4C2C"/>
    <w:rsid w:val="00EC4E04"/>
    <w:rsid w:val="00EC5804"/>
    <w:rsid w:val="00EC5A64"/>
    <w:rsid w:val="00EC5B4F"/>
    <w:rsid w:val="00EC6090"/>
    <w:rsid w:val="00EC7230"/>
    <w:rsid w:val="00EC736D"/>
    <w:rsid w:val="00EC7DA9"/>
    <w:rsid w:val="00ED01B5"/>
    <w:rsid w:val="00ED0469"/>
    <w:rsid w:val="00ED05AF"/>
    <w:rsid w:val="00ED1F1D"/>
    <w:rsid w:val="00ED2269"/>
    <w:rsid w:val="00ED2543"/>
    <w:rsid w:val="00ED2784"/>
    <w:rsid w:val="00ED330D"/>
    <w:rsid w:val="00ED437E"/>
    <w:rsid w:val="00ED50D3"/>
    <w:rsid w:val="00ED579C"/>
    <w:rsid w:val="00ED5924"/>
    <w:rsid w:val="00ED7B02"/>
    <w:rsid w:val="00EE0144"/>
    <w:rsid w:val="00EE0361"/>
    <w:rsid w:val="00EE05A8"/>
    <w:rsid w:val="00EE1508"/>
    <w:rsid w:val="00EE2312"/>
    <w:rsid w:val="00EE3B8F"/>
    <w:rsid w:val="00EE5AB9"/>
    <w:rsid w:val="00EE5AD7"/>
    <w:rsid w:val="00EE71D3"/>
    <w:rsid w:val="00EE7A81"/>
    <w:rsid w:val="00EF1711"/>
    <w:rsid w:val="00EF300C"/>
    <w:rsid w:val="00EF3B61"/>
    <w:rsid w:val="00EF3ED3"/>
    <w:rsid w:val="00EF433B"/>
    <w:rsid w:val="00EF46FE"/>
    <w:rsid w:val="00EF4E35"/>
    <w:rsid w:val="00EF5606"/>
    <w:rsid w:val="00EF60E1"/>
    <w:rsid w:val="00F010B2"/>
    <w:rsid w:val="00F04260"/>
    <w:rsid w:val="00F0490D"/>
    <w:rsid w:val="00F04F7A"/>
    <w:rsid w:val="00F0517F"/>
    <w:rsid w:val="00F064B6"/>
    <w:rsid w:val="00F067A4"/>
    <w:rsid w:val="00F07190"/>
    <w:rsid w:val="00F1296E"/>
    <w:rsid w:val="00F12F43"/>
    <w:rsid w:val="00F15578"/>
    <w:rsid w:val="00F164D1"/>
    <w:rsid w:val="00F166BF"/>
    <w:rsid w:val="00F173F8"/>
    <w:rsid w:val="00F204EF"/>
    <w:rsid w:val="00F20552"/>
    <w:rsid w:val="00F20B9D"/>
    <w:rsid w:val="00F20DE1"/>
    <w:rsid w:val="00F20ED0"/>
    <w:rsid w:val="00F21B14"/>
    <w:rsid w:val="00F229DB"/>
    <w:rsid w:val="00F22B40"/>
    <w:rsid w:val="00F23293"/>
    <w:rsid w:val="00F232E0"/>
    <w:rsid w:val="00F23FBA"/>
    <w:rsid w:val="00F243C2"/>
    <w:rsid w:val="00F250E8"/>
    <w:rsid w:val="00F256BF"/>
    <w:rsid w:val="00F26113"/>
    <w:rsid w:val="00F27211"/>
    <w:rsid w:val="00F2776F"/>
    <w:rsid w:val="00F324E7"/>
    <w:rsid w:val="00F32BC2"/>
    <w:rsid w:val="00F352AC"/>
    <w:rsid w:val="00F364ED"/>
    <w:rsid w:val="00F36ADA"/>
    <w:rsid w:val="00F37970"/>
    <w:rsid w:val="00F402D8"/>
    <w:rsid w:val="00F40A9D"/>
    <w:rsid w:val="00F40E07"/>
    <w:rsid w:val="00F410C3"/>
    <w:rsid w:val="00F431F9"/>
    <w:rsid w:val="00F4477E"/>
    <w:rsid w:val="00F458A6"/>
    <w:rsid w:val="00F475F6"/>
    <w:rsid w:val="00F51573"/>
    <w:rsid w:val="00F51B4D"/>
    <w:rsid w:val="00F51B96"/>
    <w:rsid w:val="00F51C8E"/>
    <w:rsid w:val="00F52A6C"/>
    <w:rsid w:val="00F539FB"/>
    <w:rsid w:val="00F54C04"/>
    <w:rsid w:val="00F54E55"/>
    <w:rsid w:val="00F555BD"/>
    <w:rsid w:val="00F56369"/>
    <w:rsid w:val="00F56F53"/>
    <w:rsid w:val="00F57192"/>
    <w:rsid w:val="00F602F4"/>
    <w:rsid w:val="00F610F0"/>
    <w:rsid w:val="00F61935"/>
    <w:rsid w:val="00F61C07"/>
    <w:rsid w:val="00F62484"/>
    <w:rsid w:val="00F62A2C"/>
    <w:rsid w:val="00F634BE"/>
    <w:rsid w:val="00F63BF3"/>
    <w:rsid w:val="00F64A28"/>
    <w:rsid w:val="00F64C5A"/>
    <w:rsid w:val="00F64EFC"/>
    <w:rsid w:val="00F650BD"/>
    <w:rsid w:val="00F655CF"/>
    <w:rsid w:val="00F65C75"/>
    <w:rsid w:val="00F65FC4"/>
    <w:rsid w:val="00F662B1"/>
    <w:rsid w:val="00F674EC"/>
    <w:rsid w:val="00F676E8"/>
    <w:rsid w:val="00F67C41"/>
    <w:rsid w:val="00F67EFB"/>
    <w:rsid w:val="00F70F40"/>
    <w:rsid w:val="00F71E1A"/>
    <w:rsid w:val="00F727CC"/>
    <w:rsid w:val="00F72C8D"/>
    <w:rsid w:val="00F741C5"/>
    <w:rsid w:val="00F757B7"/>
    <w:rsid w:val="00F7678E"/>
    <w:rsid w:val="00F77110"/>
    <w:rsid w:val="00F77D63"/>
    <w:rsid w:val="00F8105B"/>
    <w:rsid w:val="00F8175C"/>
    <w:rsid w:val="00F824BF"/>
    <w:rsid w:val="00F8252C"/>
    <w:rsid w:val="00F830FB"/>
    <w:rsid w:val="00F8320C"/>
    <w:rsid w:val="00F83FD5"/>
    <w:rsid w:val="00F84199"/>
    <w:rsid w:val="00F846BE"/>
    <w:rsid w:val="00F84852"/>
    <w:rsid w:val="00F8695B"/>
    <w:rsid w:val="00F86ABC"/>
    <w:rsid w:val="00F86BF1"/>
    <w:rsid w:val="00F8718A"/>
    <w:rsid w:val="00F87839"/>
    <w:rsid w:val="00F87ACF"/>
    <w:rsid w:val="00F87BC2"/>
    <w:rsid w:val="00F907A3"/>
    <w:rsid w:val="00F90920"/>
    <w:rsid w:val="00F90ADA"/>
    <w:rsid w:val="00F90F29"/>
    <w:rsid w:val="00F9119E"/>
    <w:rsid w:val="00F94D2B"/>
    <w:rsid w:val="00F96D8A"/>
    <w:rsid w:val="00F97697"/>
    <w:rsid w:val="00FA059C"/>
    <w:rsid w:val="00FA0EC7"/>
    <w:rsid w:val="00FA12E2"/>
    <w:rsid w:val="00FA182B"/>
    <w:rsid w:val="00FA1CE0"/>
    <w:rsid w:val="00FA20EF"/>
    <w:rsid w:val="00FA354C"/>
    <w:rsid w:val="00FA35B2"/>
    <w:rsid w:val="00FA39F8"/>
    <w:rsid w:val="00FA419E"/>
    <w:rsid w:val="00FA4F6B"/>
    <w:rsid w:val="00FA6C90"/>
    <w:rsid w:val="00FB1264"/>
    <w:rsid w:val="00FB23D4"/>
    <w:rsid w:val="00FB2B81"/>
    <w:rsid w:val="00FB315E"/>
    <w:rsid w:val="00FB3922"/>
    <w:rsid w:val="00FB3EB9"/>
    <w:rsid w:val="00FB4918"/>
    <w:rsid w:val="00FB6758"/>
    <w:rsid w:val="00FB76AF"/>
    <w:rsid w:val="00FC0297"/>
    <w:rsid w:val="00FC0628"/>
    <w:rsid w:val="00FC1097"/>
    <w:rsid w:val="00FC1700"/>
    <w:rsid w:val="00FC45A6"/>
    <w:rsid w:val="00FC493D"/>
    <w:rsid w:val="00FC533F"/>
    <w:rsid w:val="00FC5385"/>
    <w:rsid w:val="00FD1606"/>
    <w:rsid w:val="00FD1B37"/>
    <w:rsid w:val="00FD2507"/>
    <w:rsid w:val="00FD29DB"/>
    <w:rsid w:val="00FD2F67"/>
    <w:rsid w:val="00FD3D49"/>
    <w:rsid w:val="00FD4B6F"/>
    <w:rsid w:val="00FD4CC8"/>
    <w:rsid w:val="00FD53AA"/>
    <w:rsid w:val="00FD6007"/>
    <w:rsid w:val="00FE0059"/>
    <w:rsid w:val="00FE06F4"/>
    <w:rsid w:val="00FE1B24"/>
    <w:rsid w:val="00FE2337"/>
    <w:rsid w:val="00FE460C"/>
    <w:rsid w:val="00FE50B5"/>
    <w:rsid w:val="00FF1AAC"/>
    <w:rsid w:val="00FF25C0"/>
    <w:rsid w:val="00FF2D3F"/>
    <w:rsid w:val="00FF2DBA"/>
    <w:rsid w:val="00FF479A"/>
    <w:rsid w:val="00FF54C8"/>
    <w:rsid w:val="00FF5795"/>
    <w:rsid w:val="00FF5E6C"/>
    <w:rsid w:val="00FF6552"/>
    <w:rsid w:val="00FF6968"/>
    <w:rsid w:val="00FF74E1"/>
    <w:rsid w:val="05FDF95A"/>
    <w:rsid w:val="07441106"/>
    <w:rsid w:val="07876527"/>
    <w:rsid w:val="07BAD07D"/>
    <w:rsid w:val="0B1AB2A4"/>
    <w:rsid w:val="0B690947"/>
    <w:rsid w:val="0C0FEFDC"/>
    <w:rsid w:val="0C598BCF"/>
    <w:rsid w:val="0DBBC6A8"/>
    <w:rsid w:val="0E9188D9"/>
    <w:rsid w:val="0F564B99"/>
    <w:rsid w:val="0F5FFF67"/>
    <w:rsid w:val="102D593A"/>
    <w:rsid w:val="1112FC28"/>
    <w:rsid w:val="121D9C19"/>
    <w:rsid w:val="126E95A1"/>
    <w:rsid w:val="12CBFB8B"/>
    <w:rsid w:val="135751DF"/>
    <w:rsid w:val="149AD412"/>
    <w:rsid w:val="16609789"/>
    <w:rsid w:val="1AA77F2F"/>
    <w:rsid w:val="1D713C6F"/>
    <w:rsid w:val="1DE2CDBD"/>
    <w:rsid w:val="1FC43DA2"/>
    <w:rsid w:val="223C634A"/>
    <w:rsid w:val="2261EB68"/>
    <w:rsid w:val="23362D39"/>
    <w:rsid w:val="25040551"/>
    <w:rsid w:val="272DF1E6"/>
    <w:rsid w:val="27D685C5"/>
    <w:rsid w:val="2D130DBD"/>
    <w:rsid w:val="2D66B6DB"/>
    <w:rsid w:val="2F8A3778"/>
    <w:rsid w:val="3102D699"/>
    <w:rsid w:val="3335D114"/>
    <w:rsid w:val="34E54217"/>
    <w:rsid w:val="3509581E"/>
    <w:rsid w:val="355D7EF9"/>
    <w:rsid w:val="3833204F"/>
    <w:rsid w:val="39B0A47C"/>
    <w:rsid w:val="3A1F2F0C"/>
    <w:rsid w:val="3DE0EA2D"/>
    <w:rsid w:val="3FB3A100"/>
    <w:rsid w:val="42F82C1A"/>
    <w:rsid w:val="432436E6"/>
    <w:rsid w:val="4392390C"/>
    <w:rsid w:val="43AEDE84"/>
    <w:rsid w:val="45CD6007"/>
    <w:rsid w:val="46F3EE96"/>
    <w:rsid w:val="492BCD30"/>
    <w:rsid w:val="4AB6218F"/>
    <w:rsid w:val="4BA8EBA7"/>
    <w:rsid w:val="4D708BC1"/>
    <w:rsid w:val="4E9EB478"/>
    <w:rsid w:val="4EC6BA09"/>
    <w:rsid w:val="521C56A4"/>
    <w:rsid w:val="548BB91D"/>
    <w:rsid w:val="564D9C7F"/>
    <w:rsid w:val="56DE8559"/>
    <w:rsid w:val="56EA9829"/>
    <w:rsid w:val="57B1F41B"/>
    <w:rsid w:val="5853F1F4"/>
    <w:rsid w:val="5BD283CF"/>
    <w:rsid w:val="5CA32A91"/>
    <w:rsid w:val="60432222"/>
    <w:rsid w:val="60905B47"/>
    <w:rsid w:val="6554B1D0"/>
    <w:rsid w:val="66620F11"/>
    <w:rsid w:val="699FB372"/>
    <w:rsid w:val="69F092CE"/>
    <w:rsid w:val="6B97C232"/>
    <w:rsid w:val="6CD638F8"/>
    <w:rsid w:val="6F440EF4"/>
    <w:rsid w:val="6FFEA0F2"/>
    <w:rsid w:val="701B8489"/>
    <w:rsid w:val="705889DA"/>
    <w:rsid w:val="733136D8"/>
    <w:rsid w:val="745A9F5D"/>
    <w:rsid w:val="758F442F"/>
    <w:rsid w:val="75D74611"/>
    <w:rsid w:val="76B60675"/>
    <w:rsid w:val="7B27EF1D"/>
    <w:rsid w:val="7CF28613"/>
    <w:rsid w:val="7E384AB1"/>
    <w:rsid w:val="7E41BC18"/>
    <w:rsid w:val="7EECCD50"/>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0F661"/>
  <w15:docId w15:val="{D09196D2-6EB6-48AF-B3F6-693126D4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DE3"/>
  </w:style>
  <w:style w:type="paragraph" w:styleId="Heading1">
    <w:name w:val="heading 1"/>
    <w:basedOn w:val="Normal"/>
    <w:link w:val="Heading1Char"/>
    <w:uiPriority w:val="9"/>
    <w:qFormat/>
    <w:rsid w:val="008C5E34"/>
    <w:pPr>
      <w:spacing w:before="100" w:beforeAutospacing="1" w:after="100" w:afterAutospacing="1" w:line="240" w:lineRule="auto"/>
      <w:outlineLvl w:val="0"/>
    </w:pPr>
    <w:rPr>
      <w:rFonts w:ascii="Times New Roman" w:eastAsia="Times New Roman" w:hAnsi="Times New Roman" w:cs="Times New Roman"/>
      <w:b/>
      <w:bCs/>
      <w:kern w:val="36"/>
      <w:sz w:val="48"/>
      <w:szCs w:val="48"/>
      <w:lang w:val="lt-LT" w:eastAsia="lt-LT"/>
    </w:rPr>
  </w:style>
  <w:style w:type="paragraph" w:styleId="Heading2">
    <w:name w:val="heading 2"/>
    <w:basedOn w:val="Normal"/>
    <w:link w:val="Heading2Char"/>
    <w:uiPriority w:val="9"/>
    <w:semiHidden/>
    <w:unhideWhenUsed/>
    <w:qFormat/>
    <w:rsid w:val="0047056D"/>
    <w:pPr>
      <w:keepNext/>
      <w:autoSpaceDE w:val="0"/>
      <w:autoSpaceDN w:val="0"/>
      <w:spacing w:before="240" w:after="200" w:line="240" w:lineRule="auto"/>
      <w:outlineLvl w:val="1"/>
    </w:pPr>
    <w:rPr>
      <w:rFonts w:ascii="Times New Roman" w:hAnsi="Times New Roman" w:cs="Times New Roman"/>
      <w:b/>
      <w:bCs/>
      <w:caps/>
      <w:color w:val="000000"/>
      <w:sz w:val="24"/>
      <w:szCs w:val="24"/>
      <w:lang w:val="lt-LT" w:bidi="bn-BD"/>
    </w:rPr>
  </w:style>
  <w:style w:type="paragraph" w:styleId="Heading3">
    <w:name w:val="heading 3"/>
    <w:basedOn w:val="Normal"/>
    <w:link w:val="Heading3Char"/>
    <w:uiPriority w:val="9"/>
    <w:semiHidden/>
    <w:unhideWhenUsed/>
    <w:qFormat/>
    <w:rsid w:val="0047056D"/>
    <w:pPr>
      <w:keepNext/>
      <w:autoSpaceDE w:val="0"/>
      <w:autoSpaceDN w:val="0"/>
      <w:spacing w:before="180" w:after="120" w:line="240" w:lineRule="auto"/>
      <w:jc w:val="both"/>
      <w:outlineLvl w:val="2"/>
    </w:pPr>
    <w:rPr>
      <w:rFonts w:ascii="Times New Roman" w:hAnsi="Times New Roman" w:cs="Times New Roman"/>
      <w:b/>
      <w:bCs/>
      <w:sz w:val="24"/>
      <w:szCs w:val="24"/>
      <w:lang w:val="lt-LT" w:bidi="bn-BD"/>
    </w:rPr>
  </w:style>
  <w:style w:type="paragraph" w:styleId="Heading4">
    <w:name w:val="heading 4"/>
    <w:basedOn w:val="Normal"/>
    <w:link w:val="Heading4Char"/>
    <w:uiPriority w:val="9"/>
    <w:semiHidden/>
    <w:unhideWhenUsed/>
    <w:qFormat/>
    <w:rsid w:val="0047056D"/>
    <w:pPr>
      <w:keepNext/>
      <w:autoSpaceDE w:val="0"/>
      <w:autoSpaceDN w:val="0"/>
      <w:spacing w:before="240" w:after="120" w:line="240" w:lineRule="auto"/>
      <w:jc w:val="both"/>
      <w:outlineLvl w:val="3"/>
    </w:pPr>
    <w:rPr>
      <w:rFonts w:ascii="Times New Roman" w:hAnsi="Times New Roman" w:cs="Times New Roman"/>
      <w:b/>
      <w:bCs/>
      <w:sz w:val="24"/>
      <w:szCs w:val="24"/>
      <w:lang w:val="lt-LT" w:bidi="bn-BD"/>
    </w:rPr>
  </w:style>
  <w:style w:type="paragraph" w:styleId="Heading5">
    <w:name w:val="heading 5"/>
    <w:basedOn w:val="Normal"/>
    <w:link w:val="Heading5Char"/>
    <w:uiPriority w:val="9"/>
    <w:semiHidden/>
    <w:unhideWhenUsed/>
    <w:qFormat/>
    <w:rsid w:val="0047056D"/>
    <w:pPr>
      <w:keepNext/>
      <w:autoSpaceDE w:val="0"/>
      <w:autoSpaceDN w:val="0"/>
      <w:spacing w:before="240" w:after="120" w:line="240" w:lineRule="auto"/>
      <w:jc w:val="both"/>
      <w:outlineLvl w:val="4"/>
    </w:pPr>
    <w:rPr>
      <w:rFonts w:ascii="Times New Roman" w:hAnsi="Times New Roman" w:cs="Times New Roman"/>
      <w:b/>
      <w:bCs/>
      <w:sz w:val="24"/>
      <w:szCs w:val="24"/>
      <w:lang w:val="lt-LT" w:bidi="bn-BD"/>
    </w:rPr>
  </w:style>
  <w:style w:type="paragraph" w:styleId="Heading6">
    <w:name w:val="heading 6"/>
    <w:basedOn w:val="Normal"/>
    <w:link w:val="Heading6Char"/>
    <w:uiPriority w:val="9"/>
    <w:semiHidden/>
    <w:unhideWhenUsed/>
    <w:qFormat/>
    <w:rsid w:val="0047056D"/>
    <w:pPr>
      <w:autoSpaceDE w:val="0"/>
      <w:autoSpaceDN w:val="0"/>
      <w:spacing w:before="240" w:after="60" w:line="240" w:lineRule="auto"/>
      <w:jc w:val="center"/>
      <w:outlineLvl w:val="5"/>
    </w:pPr>
    <w:rPr>
      <w:rFonts w:ascii="Times New Roman" w:hAnsi="Times New Roman" w:cs="Times New Roman"/>
      <w:i/>
      <w:iCs/>
      <w:lang w:val="lt-LT" w:bidi="bn-BD"/>
    </w:rPr>
  </w:style>
  <w:style w:type="paragraph" w:styleId="Heading9">
    <w:name w:val="heading 9"/>
    <w:aliases w:val="Tekstas"/>
    <w:basedOn w:val="Normal"/>
    <w:next w:val="Normal"/>
    <w:link w:val="Heading9Char"/>
    <w:uiPriority w:val="9"/>
    <w:semiHidden/>
    <w:unhideWhenUsed/>
    <w:qFormat/>
    <w:rsid w:val="0047056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39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96B"/>
  </w:style>
  <w:style w:type="paragraph" w:styleId="Footer">
    <w:name w:val="footer"/>
    <w:basedOn w:val="Normal"/>
    <w:link w:val="FooterChar"/>
    <w:uiPriority w:val="99"/>
    <w:unhideWhenUsed/>
    <w:rsid w:val="007139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96B"/>
  </w:style>
  <w:style w:type="character" w:styleId="Hyperlink">
    <w:name w:val="Hyperlink"/>
    <w:basedOn w:val="DefaultParagraphFont"/>
    <w:uiPriority w:val="99"/>
    <w:unhideWhenUsed/>
    <w:rsid w:val="0006299F"/>
    <w:rPr>
      <w:color w:val="0563C1" w:themeColor="hyperlink"/>
      <w:u w:val="single"/>
    </w:rPr>
  </w:style>
  <w:style w:type="character" w:styleId="CommentReference">
    <w:name w:val="annotation reference"/>
    <w:basedOn w:val="DefaultParagraphFont"/>
    <w:uiPriority w:val="99"/>
    <w:semiHidden/>
    <w:unhideWhenUsed/>
    <w:rsid w:val="00BA65EF"/>
    <w:rPr>
      <w:sz w:val="16"/>
      <w:szCs w:val="16"/>
    </w:rPr>
  </w:style>
  <w:style w:type="paragraph" w:styleId="CommentText">
    <w:name w:val="annotation text"/>
    <w:basedOn w:val="Normal"/>
    <w:link w:val="CommentTextChar"/>
    <w:uiPriority w:val="99"/>
    <w:unhideWhenUsed/>
    <w:rsid w:val="00BA65EF"/>
    <w:pPr>
      <w:spacing w:line="240" w:lineRule="auto"/>
    </w:pPr>
    <w:rPr>
      <w:sz w:val="20"/>
      <w:szCs w:val="20"/>
    </w:rPr>
  </w:style>
  <w:style w:type="character" w:customStyle="1" w:styleId="CommentTextChar">
    <w:name w:val="Comment Text Char"/>
    <w:basedOn w:val="DefaultParagraphFont"/>
    <w:link w:val="CommentText"/>
    <w:uiPriority w:val="99"/>
    <w:rsid w:val="00BA65EF"/>
    <w:rPr>
      <w:sz w:val="20"/>
      <w:szCs w:val="20"/>
    </w:rPr>
  </w:style>
  <w:style w:type="paragraph" w:styleId="CommentSubject">
    <w:name w:val="annotation subject"/>
    <w:basedOn w:val="CommentText"/>
    <w:next w:val="CommentText"/>
    <w:link w:val="CommentSubjectChar"/>
    <w:uiPriority w:val="99"/>
    <w:semiHidden/>
    <w:unhideWhenUsed/>
    <w:rsid w:val="00BA65EF"/>
    <w:rPr>
      <w:b/>
      <w:bCs/>
    </w:rPr>
  </w:style>
  <w:style w:type="character" w:customStyle="1" w:styleId="CommentSubjectChar">
    <w:name w:val="Comment Subject Char"/>
    <w:basedOn w:val="CommentTextChar"/>
    <w:link w:val="CommentSubject"/>
    <w:uiPriority w:val="99"/>
    <w:semiHidden/>
    <w:rsid w:val="00BA65EF"/>
    <w:rPr>
      <w:b/>
      <w:bCs/>
      <w:sz w:val="20"/>
      <w:szCs w:val="20"/>
    </w:rPr>
  </w:style>
  <w:style w:type="paragraph" w:styleId="BalloonText">
    <w:name w:val="Balloon Text"/>
    <w:basedOn w:val="Normal"/>
    <w:link w:val="BalloonTextChar"/>
    <w:uiPriority w:val="99"/>
    <w:semiHidden/>
    <w:unhideWhenUsed/>
    <w:rsid w:val="00BA65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5EF"/>
    <w:rPr>
      <w:rFonts w:ascii="Segoe UI" w:hAnsi="Segoe UI" w:cs="Segoe UI"/>
      <w:sz w:val="18"/>
      <w:szCs w:val="18"/>
    </w:rPr>
  </w:style>
  <w:style w:type="paragraph" w:styleId="NoSpacing">
    <w:name w:val="No Spacing"/>
    <w:uiPriority w:val="1"/>
    <w:qFormat/>
    <w:rsid w:val="00BA65EF"/>
    <w:pPr>
      <w:spacing w:after="0" w:line="240" w:lineRule="auto"/>
      <w:jc w:val="both"/>
    </w:pPr>
    <w:rPr>
      <w:lang w:val="lt-LT"/>
    </w:rPr>
  </w:style>
  <w:style w:type="paragraph" w:styleId="ListParagraph">
    <w:name w:val="List Paragraph"/>
    <w:basedOn w:val="Normal"/>
    <w:uiPriority w:val="34"/>
    <w:qFormat/>
    <w:rsid w:val="005040DF"/>
    <w:pPr>
      <w:ind w:left="720"/>
      <w:contextualSpacing/>
    </w:pPr>
  </w:style>
  <w:style w:type="character" w:styleId="FollowedHyperlink">
    <w:name w:val="FollowedHyperlink"/>
    <w:basedOn w:val="DefaultParagraphFont"/>
    <w:uiPriority w:val="99"/>
    <w:semiHidden/>
    <w:unhideWhenUsed/>
    <w:rsid w:val="00D32477"/>
    <w:rPr>
      <w:color w:val="954F72" w:themeColor="followedHyperlink"/>
      <w:u w:val="single"/>
    </w:rPr>
  </w:style>
  <w:style w:type="character" w:styleId="Strong">
    <w:name w:val="Strong"/>
    <w:basedOn w:val="DefaultParagraphFont"/>
    <w:uiPriority w:val="22"/>
    <w:qFormat/>
    <w:rsid w:val="00CB697E"/>
    <w:rPr>
      <w:b/>
      <w:bCs/>
    </w:rPr>
  </w:style>
  <w:style w:type="paragraph" w:styleId="NormalWeb">
    <w:name w:val="Normal (Web)"/>
    <w:basedOn w:val="Normal"/>
    <w:uiPriority w:val="99"/>
    <w:semiHidden/>
    <w:unhideWhenUsed/>
    <w:rsid w:val="005433A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9D0318"/>
    <w:pPr>
      <w:spacing w:after="0" w:line="240" w:lineRule="auto"/>
    </w:pPr>
  </w:style>
  <w:style w:type="character" w:styleId="UnresolvedMention">
    <w:name w:val="Unresolved Mention"/>
    <w:basedOn w:val="DefaultParagraphFont"/>
    <w:uiPriority w:val="99"/>
    <w:semiHidden/>
    <w:unhideWhenUsed/>
    <w:rsid w:val="00CC031D"/>
    <w:rPr>
      <w:color w:val="605E5C"/>
      <w:shd w:val="clear" w:color="auto" w:fill="E1DFDD"/>
    </w:rPr>
  </w:style>
  <w:style w:type="character" w:customStyle="1" w:styleId="Heading1Char">
    <w:name w:val="Heading 1 Char"/>
    <w:basedOn w:val="DefaultParagraphFont"/>
    <w:link w:val="Heading1"/>
    <w:uiPriority w:val="9"/>
    <w:rsid w:val="008C5E34"/>
    <w:rPr>
      <w:rFonts w:ascii="Times New Roman" w:eastAsia="Times New Roman" w:hAnsi="Times New Roman" w:cs="Times New Roman"/>
      <w:b/>
      <w:bCs/>
      <w:kern w:val="36"/>
      <w:sz w:val="48"/>
      <w:szCs w:val="48"/>
      <w:lang w:val="lt-LT" w:eastAsia="lt-LT"/>
    </w:rPr>
  </w:style>
  <w:style w:type="character" w:customStyle="1" w:styleId="Heading9Char">
    <w:name w:val="Heading 9 Char"/>
    <w:aliases w:val="Tekstas Char"/>
    <w:basedOn w:val="DefaultParagraphFont"/>
    <w:link w:val="Heading9"/>
    <w:uiPriority w:val="9"/>
    <w:semiHidden/>
    <w:rsid w:val="0047056D"/>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semiHidden/>
    <w:rsid w:val="0047056D"/>
    <w:rPr>
      <w:rFonts w:ascii="Times New Roman" w:hAnsi="Times New Roman" w:cs="Times New Roman"/>
      <w:b/>
      <w:bCs/>
      <w:caps/>
      <w:color w:val="000000"/>
      <w:sz w:val="24"/>
      <w:szCs w:val="24"/>
      <w:lang w:val="lt-LT" w:bidi="bn-BD"/>
    </w:rPr>
  </w:style>
  <w:style w:type="character" w:customStyle="1" w:styleId="Heading3Char">
    <w:name w:val="Heading 3 Char"/>
    <w:basedOn w:val="DefaultParagraphFont"/>
    <w:link w:val="Heading3"/>
    <w:uiPriority w:val="9"/>
    <w:semiHidden/>
    <w:rsid w:val="0047056D"/>
    <w:rPr>
      <w:rFonts w:ascii="Times New Roman" w:hAnsi="Times New Roman" w:cs="Times New Roman"/>
      <w:b/>
      <w:bCs/>
      <w:sz w:val="24"/>
      <w:szCs w:val="24"/>
      <w:lang w:val="lt-LT" w:bidi="bn-BD"/>
    </w:rPr>
  </w:style>
  <w:style w:type="character" w:customStyle="1" w:styleId="Heading4Char">
    <w:name w:val="Heading 4 Char"/>
    <w:basedOn w:val="DefaultParagraphFont"/>
    <w:link w:val="Heading4"/>
    <w:uiPriority w:val="9"/>
    <w:semiHidden/>
    <w:rsid w:val="0047056D"/>
    <w:rPr>
      <w:rFonts w:ascii="Times New Roman" w:hAnsi="Times New Roman" w:cs="Times New Roman"/>
      <w:b/>
      <w:bCs/>
      <w:sz w:val="24"/>
      <w:szCs w:val="24"/>
      <w:lang w:val="lt-LT" w:bidi="bn-BD"/>
    </w:rPr>
  </w:style>
  <w:style w:type="character" w:customStyle="1" w:styleId="Heading5Char">
    <w:name w:val="Heading 5 Char"/>
    <w:basedOn w:val="DefaultParagraphFont"/>
    <w:link w:val="Heading5"/>
    <w:uiPriority w:val="9"/>
    <w:semiHidden/>
    <w:rsid w:val="0047056D"/>
    <w:rPr>
      <w:rFonts w:ascii="Times New Roman" w:hAnsi="Times New Roman" w:cs="Times New Roman"/>
      <w:b/>
      <w:bCs/>
      <w:sz w:val="24"/>
      <w:szCs w:val="24"/>
      <w:lang w:val="lt-LT" w:bidi="bn-BD"/>
    </w:rPr>
  </w:style>
  <w:style w:type="character" w:customStyle="1" w:styleId="Heading6Char">
    <w:name w:val="Heading 6 Char"/>
    <w:basedOn w:val="DefaultParagraphFont"/>
    <w:link w:val="Heading6"/>
    <w:uiPriority w:val="9"/>
    <w:semiHidden/>
    <w:rsid w:val="0047056D"/>
    <w:rPr>
      <w:rFonts w:ascii="Times New Roman" w:hAnsi="Times New Roman" w:cs="Times New Roman"/>
      <w:i/>
      <w:iCs/>
      <w:lang w:val="lt-LT" w:bidi="bn-BD"/>
    </w:rPr>
  </w:style>
  <w:style w:type="character" w:styleId="Emphasis">
    <w:name w:val="Emphasis"/>
    <w:basedOn w:val="DefaultParagraphFont"/>
    <w:uiPriority w:val="20"/>
    <w:qFormat/>
    <w:rsid w:val="005F522D"/>
    <w:rPr>
      <w:i/>
      <w:iCs/>
    </w:rPr>
  </w:style>
  <w:style w:type="paragraph" w:customStyle="1" w:styleId="paragraph">
    <w:name w:val="paragraph"/>
    <w:basedOn w:val="Normal"/>
    <w:rsid w:val="00227BC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textrun">
    <w:name w:val="normaltextrun"/>
    <w:basedOn w:val="DefaultParagraphFont"/>
    <w:rsid w:val="00227BCF"/>
  </w:style>
  <w:style w:type="character" w:customStyle="1" w:styleId="eop">
    <w:name w:val="eop"/>
    <w:basedOn w:val="DefaultParagraphFont"/>
    <w:rsid w:val="00227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4755">
      <w:bodyDiv w:val="1"/>
      <w:marLeft w:val="0"/>
      <w:marRight w:val="0"/>
      <w:marTop w:val="0"/>
      <w:marBottom w:val="0"/>
      <w:divBdr>
        <w:top w:val="none" w:sz="0" w:space="0" w:color="auto"/>
        <w:left w:val="none" w:sz="0" w:space="0" w:color="auto"/>
        <w:bottom w:val="none" w:sz="0" w:space="0" w:color="auto"/>
        <w:right w:val="none" w:sz="0" w:space="0" w:color="auto"/>
      </w:divBdr>
      <w:divsChild>
        <w:div w:id="607471859">
          <w:marLeft w:val="0"/>
          <w:marRight w:val="0"/>
          <w:marTop w:val="0"/>
          <w:marBottom w:val="0"/>
          <w:divBdr>
            <w:top w:val="none" w:sz="0" w:space="0" w:color="auto"/>
            <w:left w:val="none" w:sz="0" w:space="0" w:color="auto"/>
            <w:bottom w:val="none" w:sz="0" w:space="0" w:color="auto"/>
            <w:right w:val="none" w:sz="0" w:space="0" w:color="auto"/>
          </w:divBdr>
        </w:div>
        <w:div w:id="964232299">
          <w:marLeft w:val="0"/>
          <w:marRight w:val="0"/>
          <w:marTop w:val="0"/>
          <w:marBottom w:val="0"/>
          <w:divBdr>
            <w:top w:val="none" w:sz="0" w:space="0" w:color="auto"/>
            <w:left w:val="none" w:sz="0" w:space="0" w:color="auto"/>
            <w:bottom w:val="none" w:sz="0" w:space="0" w:color="auto"/>
            <w:right w:val="none" w:sz="0" w:space="0" w:color="auto"/>
          </w:divBdr>
        </w:div>
        <w:div w:id="1072266310">
          <w:marLeft w:val="0"/>
          <w:marRight w:val="0"/>
          <w:marTop w:val="0"/>
          <w:marBottom w:val="0"/>
          <w:divBdr>
            <w:top w:val="none" w:sz="0" w:space="0" w:color="auto"/>
            <w:left w:val="none" w:sz="0" w:space="0" w:color="auto"/>
            <w:bottom w:val="none" w:sz="0" w:space="0" w:color="auto"/>
            <w:right w:val="none" w:sz="0" w:space="0" w:color="auto"/>
          </w:divBdr>
        </w:div>
      </w:divsChild>
    </w:div>
    <w:div w:id="94449188">
      <w:bodyDiv w:val="1"/>
      <w:marLeft w:val="0"/>
      <w:marRight w:val="0"/>
      <w:marTop w:val="0"/>
      <w:marBottom w:val="0"/>
      <w:divBdr>
        <w:top w:val="none" w:sz="0" w:space="0" w:color="auto"/>
        <w:left w:val="none" w:sz="0" w:space="0" w:color="auto"/>
        <w:bottom w:val="none" w:sz="0" w:space="0" w:color="auto"/>
        <w:right w:val="none" w:sz="0" w:space="0" w:color="auto"/>
      </w:divBdr>
    </w:div>
    <w:div w:id="172260476">
      <w:bodyDiv w:val="1"/>
      <w:marLeft w:val="0"/>
      <w:marRight w:val="0"/>
      <w:marTop w:val="0"/>
      <w:marBottom w:val="0"/>
      <w:divBdr>
        <w:top w:val="none" w:sz="0" w:space="0" w:color="auto"/>
        <w:left w:val="none" w:sz="0" w:space="0" w:color="auto"/>
        <w:bottom w:val="none" w:sz="0" w:space="0" w:color="auto"/>
        <w:right w:val="none" w:sz="0" w:space="0" w:color="auto"/>
      </w:divBdr>
    </w:div>
    <w:div w:id="275328434">
      <w:bodyDiv w:val="1"/>
      <w:marLeft w:val="0"/>
      <w:marRight w:val="0"/>
      <w:marTop w:val="0"/>
      <w:marBottom w:val="0"/>
      <w:divBdr>
        <w:top w:val="none" w:sz="0" w:space="0" w:color="auto"/>
        <w:left w:val="none" w:sz="0" w:space="0" w:color="auto"/>
        <w:bottom w:val="none" w:sz="0" w:space="0" w:color="auto"/>
        <w:right w:val="none" w:sz="0" w:space="0" w:color="auto"/>
      </w:divBdr>
    </w:div>
    <w:div w:id="293676838">
      <w:bodyDiv w:val="1"/>
      <w:marLeft w:val="0"/>
      <w:marRight w:val="0"/>
      <w:marTop w:val="0"/>
      <w:marBottom w:val="0"/>
      <w:divBdr>
        <w:top w:val="none" w:sz="0" w:space="0" w:color="auto"/>
        <w:left w:val="none" w:sz="0" w:space="0" w:color="auto"/>
        <w:bottom w:val="none" w:sz="0" w:space="0" w:color="auto"/>
        <w:right w:val="none" w:sz="0" w:space="0" w:color="auto"/>
      </w:divBdr>
    </w:div>
    <w:div w:id="357851943">
      <w:bodyDiv w:val="1"/>
      <w:marLeft w:val="0"/>
      <w:marRight w:val="0"/>
      <w:marTop w:val="0"/>
      <w:marBottom w:val="0"/>
      <w:divBdr>
        <w:top w:val="none" w:sz="0" w:space="0" w:color="auto"/>
        <w:left w:val="none" w:sz="0" w:space="0" w:color="auto"/>
        <w:bottom w:val="none" w:sz="0" w:space="0" w:color="auto"/>
        <w:right w:val="none" w:sz="0" w:space="0" w:color="auto"/>
      </w:divBdr>
    </w:div>
    <w:div w:id="411782385">
      <w:bodyDiv w:val="1"/>
      <w:marLeft w:val="0"/>
      <w:marRight w:val="0"/>
      <w:marTop w:val="0"/>
      <w:marBottom w:val="0"/>
      <w:divBdr>
        <w:top w:val="none" w:sz="0" w:space="0" w:color="auto"/>
        <w:left w:val="none" w:sz="0" w:space="0" w:color="auto"/>
        <w:bottom w:val="none" w:sz="0" w:space="0" w:color="auto"/>
        <w:right w:val="none" w:sz="0" w:space="0" w:color="auto"/>
      </w:divBdr>
    </w:div>
    <w:div w:id="450176446">
      <w:bodyDiv w:val="1"/>
      <w:marLeft w:val="0"/>
      <w:marRight w:val="0"/>
      <w:marTop w:val="0"/>
      <w:marBottom w:val="0"/>
      <w:divBdr>
        <w:top w:val="none" w:sz="0" w:space="0" w:color="auto"/>
        <w:left w:val="none" w:sz="0" w:space="0" w:color="auto"/>
        <w:bottom w:val="none" w:sz="0" w:space="0" w:color="auto"/>
        <w:right w:val="none" w:sz="0" w:space="0" w:color="auto"/>
      </w:divBdr>
    </w:div>
    <w:div w:id="488248558">
      <w:bodyDiv w:val="1"/>
      <w:marLeft w:val="0"/>
      <w:marRight w:val="0"/>
      <w:marTop w:val="0"/>
      <w:marBottom w:val="0"/>
      <w:divBdr>
        <w:top w:val="none" w:sz="0" w:space="0" w:color="auto"/>
        <w:left w:val="none" w:sz="0" w:space="0" w:color="auto"/>
        <w:bottom w:val="none" w:sz="0" w:space="0" w:color="auto"/>
        <w:right w:val="none" w:sz="0" w:space="0" w:color="auto"/>
      </w:divBdr>
      <w:divsChild>
        <w:div w:id="139159293">
          <w:marLeft w:val="0"/>
          <w:marRight w:val="0"/>
          <w:marTop w:val="0"/>
          <w:marBottom w:val="0"/>
          <w:divBdr>
            <w:top w:val="none" w:sz="0" w:space="0" w:color="auto"/>
            <w:left w:val="none" w:sz="0" w:space="0" w:color="auto"/>
            <w:bottom w:val="none" w:sz="0" w:space="0" w:color="auto"/>
            <w:right w:val="none" w:sz="0" w:space="0" w:color="auto"/>
          </w:divBdr>
        </w:div>
        <w:div w:id="285939390">
          <w:marLeft w:val="0"/>
          <w:marRight w:val="0"/>
          <w:marTop w:val="0"/>
          <w:marBottom w:val="0"/>
          <w:divBdr>
            <w:top w:val="none" w:sz="0" w:space="0" w:color="auto"/>
            <w:left w:val="none" w:sz="0" w:space="0" w:color="auto"/>
            <w:bottom w:val="none" w:sz="0" w:space="0" w:color="auto"/>
            <w:right w:val="none" w:sz="0" w:space="0" w:color="auto"/>
          </w:divBdr>
        </w:div>
      </w:divsChild>
    </w:div>
    <w:div w:id="506672995">
      <w:bodyDiv w:val="1"/>
      <w:marLeft w:val="0"/>
      <w:marRight w:val="0"/>
      <w:marTop w:val="0"/>
      <w:marBottom w:val="0"/>
      <w:divBdr>
        <w:top w:val="none" w:sz="0" w:space="0" w:color="auto"/>
        <w:left w:val="none" w:sz="0" w:space="0" w:color="auto"/>
        <w:bottom w:val="none" w:sz="0" w:space="0" w:color="auto"/>
        <w:right w:val="none" w:sz="0" w:space="0" w:color="auto"/>
      </w:divBdr>
    </w:div>
    <w:div w:id="552927731">
      <w:bodyDiv w:val="1"/>
      <w:marLeft w:val="0"/>
      <w:marRight w:val="0"/>
      <w:marTop w:val="0"/>
      <w:marBottom w:val="0"/>
      <w:divBdr>
        <w:top w:val="none" w:sz="0" w:space="0" w:color="auto"/>
        <w:left w:val="none" w:sz="0" w:space="0" w:color="auto"/>
        <w:bottom w:val="none" w:sz="0" w:space="0" w:color="auto"/>
        <w:right w:val="none" w:sz="0" w:space="0" w:color="auto"/>
      </w:divBdr>
      <w:divsChild>
        <w:div w:id="1088305660">
          <w:marLeft w:val="0"/>
          <w:marRight w:val="0"/>
          <w:marTop w:val="0"/>
          <w:marBottom w:val="0"/>
          <w:divBdr>
            <w:top w:val="none" w:sz="0" w:space="0" w:color="auto"/>
            <w:left w:val="none" w:sz="0" w:space="0" w:color="auto"/>
            <w:bottom w:val="none" w:sz="0" w:space="0" w:color="auto"/>
            <w:right w:val="none" w:sz="0" w:space="0" w:color="auto"/>
          </w:divBdr>
        </w:div>
      </w:divsChild>
    </w:div>
    <w:div w:id="652293047">
      <w:bodyDiv w:val="1"/>
      <w:marLeft w:val="0"/>
      <w:marRight w:val="0"/>
      <w:marTop w:val="0"/>
      <w:marBottom w:val="0"/>
      <w:divBdr>
        <w:top w:val="none" w:sz="0" w:space="0" w:color="auto"/>
        <w:left w:val="none" w:sz="0" w:space="0" w:color="auto"/>
        <w:bottom w:val="none" w:sz="0" w:space="0" w:color="auto"/>
        <w:right w:val="none" w:sz="0" w:space="0" w:color="auto"/>
      </w:divBdr>
    </w:div>
    <w:div w:id="674503152">
      <w:bodyDiv w:val="1"/>
      <w:marLeft w:val="0"/>
      <w:marRight w:val="0"/>
      <w:marTop w:val="0"/>
      <w:marBottom w:val="0"/>
      <w:divBdr>
        <w:top w:val="none" w:sz="0" w:space="0" w:color="auto"/>
        <w:left w:val="none" w:sz="0" w:space="0" w:color="auto"/>
        <w:bottom w:val="none" w:sz="0" w:space="0" w:color="auto"/>
        <w:right w:val="none" w:sz="0" w:space="0" w:color="auto"/>
      </w:divBdr>
    </w:div>
    <w:div w:id="701325948">
      <w:bodyDiv w:val="1"/>
      <w:marLeft w:val="0"/>
      <w:marRight w:val="0"/>
      <w:marTop w:val="0"/>
      <w:marBottom w:val="0"/>
      <w:divBdr>
        <w:top w:val="none" w:sz="0" w:space="0" w:color="auto"/>
        <w:left w:val="none" w:sz="0" w:space="0" w:color="auto"/>
        <w:bottom w:val="none" w:sz="0" w:space="0" w:color="auto"/>
        <w:right w:val="none" w:sz="0" w:space="0" w:color="auto"/>
      </w:divBdr>
    </w:div>
    <w:div w:id="785274556">
      <w:bodyDiv w:val="1"/>
      <w:marLeft w:val="0"/>
      <w:marRight w:val="0"/>
      <w:marTop w:val="0"/>
      <w:marBottom w:val="0"/>
      <w:divBdr>
        <w:top w:val="none" w:sz="0" w:space="0" w:color="auto"/>
        <w:left w:val="none" w:sz="0" w:space="0" w:color="auto"/>
        <w:bottom w:val="none" w:sz="0" w:space="0" w:color="auto"/>
        <w:right w:val="none" w:sz="0" w:space="0" w:color="auto"/>
      </w:divBdr>
    </w:div>
    <w:div w:id="808672805">
      <w:bodyDiv w:val="1"/>
      <w:marLeft w:val="0"/>
      <w:marRight w:val="0"/>
      <w:marTop w:val="0"/>
      <w:marBottom w:val="0"/>
      <w:divBdr>
        <w:top w:val="none" w:sz="0" w:space="0" w:color="auto"/>
        <w:left w:val="none" w:sz="0" w:space="0" w:color="auto"/>
        <w:bottom w:val="none" w:sz="0" w:space="0" w:color="auto"/>
        <w:right w:val="none" w:sz="0" w:space="0" w:color="auto"/>
      </w:divBdr>
    </w:div>
    <w:div w:id="874461682">
      <w:bodyDiv w:val="1"/>
      <w:marLeft w:val="0"/>
      <w:marRight w:val="0"/>
      <w:marTop w:val="0"/>
      <w:marBottom w:val="0"/>
      <w:divBdr>
        <w:top w:val="none" w:sz="0" w:space="0" w:color="auto"/>
        <w:left w:val="none" w:sz="0" w:space="0" w:color="auto"/>
        <w:bottom w:val="none" w:sz="0" w:space="0" w:color="auto"/>
        <w:right w:val="none" w:sz="0" w:space="0" w:color="auto"/>
      </w:divBdr>
    </w:div>
    <w:div w:id="1137722051">
      <w:bodyDiv w:val="1"/>
      <w:marLeft w:val="0"/>
      <w:marRight w:val="0"/>
      <w:marTop w:val="0"/>
      <w:marBottom w:val="0"/>
      <w:divBdr>
        <w:top w:val="none" w:sz="0" w:space="0" w:color="auto"/>
        <w:left w:val="none" w:sz="0" w:space="0" w:color="auto"/>
        <w:bottom w:val="none" w:sz="0" w:space="0" w:color="auto"/>
        <w:right w:val="none" w:sz="0" w:space="0" w:color="auto"/>
      </w:divBdr>
    </w:div>
    <w:div w:id="1147360557">
      <w:bodyDiv w:val="1"/>
      <w:marLeft w:val="0"/>
      <w:marRight w:val="0"/>
      <w:marTop w:val="0"/>
      <w:marBottom w:val="0"/>
      <w:divBdr>
        <w:top w:val="none" w:sz="0" w:space="0" w:color="auto"/>
        <w:left w:val="none" w:sz="0" w:space="0" w:color="auto"/>
        <w:bottom w:val="none" w:sz="0" w:space="0" w:color="auto"/>
        <w:right w:val="none" w:sz="0" w:space="0" w:color="auto"/>
      </w:divBdr>
    </w:div>
    <w:div w:id="1204098841">
      <w:bodyDiv w:val="1"/>
      <w:marLeft w:val="0"/>
      <w:marRight w:val="0"/>
      <w:marTop w:val="0"/>
      <w:marBottom w:val="0"/>
      <w:divBdr>
        <w:top w:val="none" w:sz="0" w:space="0" w:color="auto"/>
        <w:left w:val="none" w:sz="0" w:space="0" w:color="auto"/>
        <w:bottom w:val="none" w:sz="0" w:space="0" w:color="auto"/>
        <w:right w:val="none" w:sz="0" w:space="0" w:color="auto"/>
      </w:divBdr>
    </w:div>
    <w:div w:id="1210723166">
      <w:bodyDiv w:val="1"/>
      <w:marLeft w:val="0"/>
      <w:marRight w:val="0"/>
      <w:marTop w:val="0"/>
      <w:marBottom w:val="0"/>
      <w:divBdr>
        <w:top w:val="none" w:sz="0" w:space="0" w:color="auto"/>
        <w:left w:val="none" w:sz="0" w:space="0" w:color="auto"/>
        <w:bottom w:val="none" w:sz="0" w:space="0" w:color="auto"/>
        <w:right w:val="none" w:sz="0" w:space="0" w:color="auto"/>
      </w:divBdr>
    </w:div>
    <w:div w:id="1230380843">
      <w:bodyDiv w:val="1"/>
      <w:marLeft w:val="0"/>
      <w:marRight w:val="0"/>
      <w:marTop w:val="0"/>
      <w:marBottom w:val="0"/>
      <w:divBdr>
        <w:top w:val="none" w:sz="0" w:space="0" w:color="auto"/>
        <w:left w:val="none" w:sz="0" w:space="0" w:color="auto"/>
        <w:bottom w:val="none" w:sz="0" w:space="0" w:color="auto"/>
        <w:right w:val="none" w:sz="0" w:space="0" w:color="auto"/>
      </w:divBdr>
    </w:div>
    <w:div w:id="1281956489">
      <w:bodyDiv w:val="1"/>
      <w:marLeft w:val="0"/>
      <w:marRight w:val="0"/>
      <w:marTop w:val="0"/>
      <w:marBottom w:val="0"/>
      <w:divBdr>
        <w:top w:val="none" w:sz="0" w:space="0" w:color="auto"/>
        <w:left w:val="none" w:sz="0" w:space="0" w:color="auto"/>
        <w:bottom w:val="none" w:sz="0" w:space="0" w:color="auto"/>
        <w:right w:val="none" w:sz="0" w:space="0" w:color="auto"/>
      </w:divBdr>
    </w:div>
    <w:div w:id="1292983462">
      <w:bodyDiv w:val="1"/>
      <w:marLeft w:val="0"/>
      <w:marRight w:val="0"/>
      <w:marTop w:val="0"/>
      <w:marBottom w:val="0"/>
      <w:divBdr>
        <w:top w:val="none" w:sz="0" w:space="0" w:color="auto"/>
        <w:left w:val="none" w:sz="0" w:space="0" w:color="auto"/>
        <w:bottom w:val="none" w:sz="0" w:space="0" w:color="auto"/>
        <w:right w:val="none" w:sz="0" w:space="0" w:color="auto"/>
      </w:divBdr>
      <w:divsChild>
        <w:div w:id="33384438">
          <w:marLeft w:val="0"/>
          <w:marRight w:val="0"/>
          <w:marTop w:val="0"/>
          <w:marBottom w:val="0"/>
          <w:divBdr>
            <w:top w:val="none" w:sz="0" w:space="0" w:color="auto"/>
            <w:left w:val="none" w:sz="0" w:space="0" w:color="auto"/>
            <w:bottom w:val="none" w:sz="0" w:space="0" w:color="auto"/>
            <w:right w:val="none" w:sz="0" w:space="0" w:color="auto"/>
          </w:divBdr>
        </w:div>
        <w:div w:id="73940827">
          <w:marLeft w:val="0"/>
          <w:marRight w:val="0"/>
          <w:marTop w:val="0"/>
          <w:marBottom w:val="0"/>
          <w:divBdr>
            <w:top w:val="none" w:sz="0" w:space="0" w:color="auto"/>
            <w:left w:val="none" w:sz="0" w:space="0" w:color="auto"/>
            <w:bottom w:val="none" w:sz="0" w:space="0" w:color="auto"/>
            <w:right w:val="none" w:sz="0" w:space="0" w:color="auto"/>
          </w:divBdr>
        </w:div>
        <w:div w:id="84309117">
          <w:marLeft w:val="0"/>
          <w:marRight w:val="0"/>
          <w:marTop w:val="0"/>
          <w:marBottom w:val="0"/>
          <w:divBdr>
            <w:top w:val="none" w:sz="0" w:space="0" w:color="auto"/>
            <w:left w:val="none" w:sz="0" w:space="0" w:color="auto"/>
            <w:bottom w:val="none" w:sz="0" w:space="0" w:color="auto"/>
            <w:right w:val="none" w:sz="0" w:space="0" w:color="auto"/>
          </w:divBdr>
        </w:div>
        <w:div w:id="189688008">
          <w:marLeft w:val="0"/>
          <w:marRight w:val="0"/>
          <w:marTop w:val="0"/>
          <w:marBottom w:val="0"/>
          <w:divBdr>
            <w:top w:val="none" w:sz="0" w:space="0" w:color="auto"/>
            <w:left w:val="none" w:sz="0" w:space="0" w:color="auto"/>
            <w:bottom w:val="none" w:sz="0" w:space="0" w:color="auto"/>
            <w:right w:val="none" w:sz="0" w:space="0" w:color="auto"/>
          </w:divBdr>
        </w:div>
        <w:div w:id="280574908">
          <w:marLeft w:val="0"/>
          <w:marRight w:val="0"/>
          <w:marTop w:val="0"/>
          <w:marBottom w:val="0"/>
          <w:divBdr>
            <w:top w:val="none" w:sz="0" w:space="0" w:color="auto"/>
            <w:left w:val="none" w:sz="0" w:space="0" w:color="auto"/>
            <w:bottom w:val="none" w:sz="0" w:space="0" w:color="auto"/>
            <w:right w:val="none" w:sz="0" w:space="0" w:color="auto"/>
          </w:divBdr>
        </w:div>
        <w:div w:id="336659074">
          <w:marLeft w:val="0"/>
          <w:marRight w:val="0"/>
          <w:marTop w:val="0"/>
          <w:marBottom w:val="0"/>
          <w:divBdr>
            <w:top w:val="none" w:sz="0" w:space="0" w:color="auto"/>
            <w:left w:val="none" w:sz="0" w:space="0" w:color="auto"/>
            <w:bottom w:val="none" w:sz="0" w:space="0" w:color="auto"/>
            <w:right w:val="none" w:sz="0" w:space="0" w:color="auto"/>
          </w:divBdr>
        </w:div>
        <w:div w:id="520900154">
          <w:marLeft w:val="0"/>
          <w:marRight w:val="0"/>
          <w:marTop w:val="0"/>
          <w:marBottom w:val="0"/>
          <w:divBdr>
            <w:top w:val="none" w:sz="0" w:space="0" w:color="auto"/>
            <w:left w:val="none" w:sz="0" w:space="0" w:color="auto"/>
            <w:bottom w:val="none" w:sz="0" w:space="0" w:color="auto"/>
            <w:right w:val="none" w:sz="0" w:space="0" w:color="auto"/>
          </w:divBdr>
        </w:div>
        <w:div w:id="669261189">
          <w:marLeft w:val="0"/>
          <w:marRight w:val="0"/>
          <w:marTop w:val="0"/>
          <w:marBottom w:val="0"/>
          <w:divBdr>
            <w:top w:val="none" w:sz="0" w:space="0" w:color="auto"/>
            <w:left w:val="none" w:sz="0" w:space="0" w:color="auto"/>
            <w:bottom w:val="none" w:sz="0" w:space="0" w:color="auto"/>
            <w:right w:val="none" w:sz="0" w:space="0" w:color="auto"/>
          </w:divBdr>
        </w:div>
        <w:div w:id="722602052">
          <w:marLeft w:val="0"/>
          <w:marRight w:val="0"/>
          <w:marTop w:val="0"/>
          <w:marBottom w:val="0"/>
          <w:divBdr>
            <w:top w:val="none" w:sz="0" w:space="0" w:color="auto"/>
            <w:left w:val="none" w:sz="0" w:space="0" w:color="auto"/>
            <w:bottom w:val="none" w:sz="0" w:space="0" w:color="auto"/>
            <w:right w:val="none" w:sz="0" w:space="0" w:color="auto"/>
          </w:divBdr>
        </w:div>
        <w:div w:id="786239855">
          <w:marLeft w:val="0"/>
          <w:marRight w:val="0"/>
          <w:marTop w:val="0"/>
          <w:marBottom w:val="0"/>
          <w:divBdr>
            <w:top w:val="none" w:sz="0" w:space="0" w:color="auto"/>
            <w:left w:val="none" w:sz="0" w:space="0" w:color="auto"/>
            <w:bottom w:val="none" w:sz="0" w:space="0" w:color="auto"/>
            <w:right w:val="none" w:sz="0" w:space="0" w:color="auto"/>
          </w:divBdr>
        </w:div>
        <w:div w:id="797921024">
          <w:marLeft w:val="0"/>
          <w:marRight w:val="0"/>
          <w:marTop w:val="0"/>
          <w:marBottom w:val="0"/>
          <w:divBdr>
            <w:top w:val="none" w:sz="0" w:space="0" w:color="auto"/>
            <w:left w:val="none" w:sz="0" w:space="0" w:color="auto"/>
            <w:bottom w:val="none" w:sz="0" w:space="0" w:color="auto"/>
            <w:right w:val="none" w:sz="0" w:space="0" w:color="auto"/>
          </w:divBdr>
        </w:div>
        <w:div w:id="856967982">
          <w:marLeft w:val="0"/>
          <w:marRight w:val="0"/>
          <w:marTop w:val="0"/>
          <w:marBottom w:val="0"/>
          <w:divBdr>
            <w:top w:val="none" w:sz="0" w:space="0" w:color="auto"/>
            <w:left w:val="none" w:sz="0" w:space="0" w:color="auto"/>
            <w:bottom w:val="none" w:sz="0" w:space="0" w:color="auto"/>
            <w:right w:val="none" w:sz="0" w:space="0" w:color="auto"/>
          </w:divBdr>
        </w:div>
        <w:div w:id="911348547">
          <w:marLeft w:val="0"/>
          <w:marRight w:val="0"/>
          <w:marTop w:val="0"/>
          <w:marBottom w:val="0"/>
          <w:divBdr>
            <w:top w:val="none" w:sz="0" w:space="0" w:color="auto"/>
            <w:left w:val="none" w:sz="0" w:space="0" w:color="auto"/>
            <w:bottom w:val="none" w:sz="0" w:space="0" w:color="auto"/>
            <w:right w:val="none" w:sz="0" w:space="0" w:color="auto"/>
          </w:divBdr>
        </w:div>
        <w:div w:id="917326828">
          <w:marLeft w:val="0"/>
          <w:marRight w:val="0"/>
          <w:marTop w:val="0"/>
          <w:marBottom w:val="0"/>
          <w:divBdr>
            <w:top w:val="none" w:sz="0" w:space="0" w:color="auto"/>
            <w:left w:val="none" w:sz="0" w:space="0" w:color="auto"/>
            <w:bottom w:val="none" w:sz="0" w:space="0" w:color="auto"/>
            <w:right w:val="none" w:sz="0" w:space="0" w:color="auto"/>
          </w:divBdr>
        </w:div>
        <w:div w:id="1220435430">
          <w:marLeft w:val="0"/>
          <w:marRight w:val="0"/>
          <w:marTop w:val="0"/>
          <w:marBottom w:val="0"/>
          <w:divBdr>
            <w:top w:val="none" w:sz="0" w:space="0" w:color="auto"/>
            <w:left w:val="none" w:sz="0" w:space="0" w:color="auto"/>
            <w:bottom w:val="none" w:sz="0" w:space="0" w:color="auto"/>
            <w:right w:val="none" w:sz="0" w:space="0" w:color="auto"/>
          </w:divBdr>
        </w:div>
        <w:div w:id="1423988436">
          <w:marLeft w:val="0"/>
          <w:marRight w:val="0"/>
          <w:marTop w:val="0"/>
          <w:marBottom w:val="0"/>
          <w:divBdr>
            <w:top w:val="none" w:sz="0" w:space="0" w:color="auto"/>
            <w:left w:val="none" w:sz="0" w:space="0" w:color="auto"/>
            <w:bottom w:val="none" w:sz="0" w:space="0" w:color="auto"/>
            <w:right w:val="none" w:sz="0" w:space="0" w:color="auto"/>
          </w:divBdr>
        </w:div>
        <w:div w:id="1554006404">
          <w:marLeft w:val="0"/>
          <w:marRight w:val="0"/>
          <w:marTop w:val="0"/>
          <w:marBottom w:val="0"/>
          <w:divBdr>
            <w:top w:val="none" w:sz="0" w:space="0" w:color="auto"/>
            <w:left w:val="none" w:sz="0" w:space="0" w:color="auto"/>
            <w:bottom w:val="none" w:sz="0" w:space="0" w:color="auto"/>
            <w:right w:val="none" w:sz="0" w:space="0" w:color="auto"/>
          </w:divBdr>
        </w:div>
        <w:div w:id="1707754902">
          <w:marLeft w:val="0"/>
          <w:marRight w:val="0"/>
          <w:marTop w:val="0"/>
          <w:marBottom w:val="0"/>
          <w:divBdr>
            <w:top w:val="none" w:sz="0" w:space="0" w:color="auto"/>
            <w:left w:val="none" w:sz="0" w:space="0" w:color="auto"/>
            <w:bottom w:val="none" w:sz="0" w:space="0" w:color="auto"/>
            <w:right w:val="none" w:sz="0" w:space="0" w:color="auto"/>
          </w:divBdr>
        </w:div>
        <w:div w:id="1725326946">
          <w:marLeft w:val="0"/>
          <w:marRight w:val="0"/>
          <w:marTop w:val="0"/>
          <w:marBottom w:val="0"/>
          <w:divBdr>
            <w:top w:val="none" w:sz="0" w:space="0" w:color="auto"/>
            <w:left w:val="none" w:sz="0" w:space="0" w:color="auto"/>
            <w:bottom w:val="none" w:sz="0" w:space="0" w:color="auto"/>
            <w:right w:val="none" w:sz="0" w:space="0" w:color="auto"/>
          </w:divBdr>
        </w:div>
        <w:div w:id="1792942148">
          <w:marLeft w:val="0"/>
          <w:marRight w:val="0"/>
          <w:marTop w:val="0"/>
          <w:marBottom w:val="0"/>
          <w:divBdr>
            <w:top w:val="none" w:sz="0" w:space="0" w:color="auto"/>
            <w:left w:val="none" w:sz="0" w:space="0" w:color="auto"/>
            <w:bottom w:val="none" w:sz="0" w:space="0" w:color="auto"/>
            <w:right w:val="none" w:sz="0" w:space="0" w:color="auto"/>
          </w:divBdr>
        </w:div>
        <w:div w:id="1837957297">
          <w:marLeft w:val="0"/>
          <w:marRight w:val="0"/>
          <w:marTop w:val="0"/>
          <w:marBottom w:val="0"/>
          <w:divBdr>
            <w:top w:val="none" w:sz="0" w:space="0" w:color="auto"/>
            <w:left w:val="none" w:sz="0" w:space="0" w:color="auto"/>
            <w:bottom w:val="none" w:sz="0" w:space="0" w:color="auto"/>
            <w:right w:val="none" w:sz="0" w:space="0" w:color="auto"/>
          </w:divBdr>
        </w:div>
        <w:div w:id="1838425681">
          <w:marLeft w:val="0"/>
          <w:marRight w:val="0"/>
          <w:marTop w:val="0"/>
          <w:marBottom w:val="0"/>
          <w:divBdr>
            <w:top w:val="none" w:sz="0" w:space="0" w:color="auto"/>
            <w:left w:val="none" w:sz="0" w:space="0" w:color="auto"/>
            <w:bottom w:val="none" w:sz="0" w:space="0" w:color="auto"/>
            <w:right w:val="none" w:sz="0" w:space="0" w:color="auto"/>
          </w:divBdr>
        </w:div>
        <w:div w:id="1848787825">
          <w:marLeft w:val="0"/>
          <w:marRight w:val="0"/>
          <w:marTop w:val="0"/>
          <w:marBottom w:val="0"/>
          <w:divBdr>
            <w:top w:val="none" w:sz="0" w:space="0" w:color="auto"/>
            <w:left w:val="none" w:sz="0" w:space="0" w:color="auto"/>
            <w:bottom w:val="none" w:sz="0" w:space="0" w:color="auto"/>
            <w:right w:val="none" w:sz="0" w:space="0" w:color="auto"/>
          </w:divBdr>
        </w:div>
        <w:div w:id="1874145796">
          <w:marLeft w:val="0"/>
          <w:marRight w:val="0"/>
          <w:marTop w:val="0"/>
          <w:marBottom w:val="0"/>
          <w:divBdr>
            <w:top w:val="none" w:sz="0" w:space="0" w:color="auto"/>
            <w:left w:val="none" w:sz="0" w:space="0" w:color="auto"/>
            <w:bottom w:val="none" w:sz="0" w:space="0" w:color="auto"/>
            <w:right w:val="none" w:sz="0" w:space="0" w:color="auto"/>
          </w:divBdr>
        </w:div>
        <w:div w:id="1961111185">
          <w:marLeft w:val="0"/>
          <w:marRight w:val="0"/>
          <w:marTop w:val="0"/>
          <w:marBottom w:val="0"/>
          <w:divBdr>
            <w:top w:val="none" w:sz="0" w:space="0" w:color="auto"/>
            <w:left w:val="none" w:sz="0" w:space="0" w:color="auto"/>
            <w:bottom w:val="none" w:sz="0" w:space="0" w:color="auto"/>
            <w:right w:val="none" w:sz="0" w:space="0" w:color="auto"/>
          </w:divBdr>
        </w:div>
        <w:div w:id="2080008035">
          <w:marLeft w:val="0"/>
          <w:marRight w:val="0"/>
          <w:marTop w:val="0"/>
          <w:marBottom w:val="0"/>
          <w:divBdr>
            <w:top w:val="none" w:sz="0" w:space="0" w:color="auto"/>
            <w:left w:val="none" w:sz="0" w:space="0" w:color="auto"/>
            <w:bottom w:val="none" w:sz="0" w:space="0" w:color="auto"/>
            <w:right w:val="none" w:sz="0" w:space="0" w:color="auto"/>
          </w:divBdr>
        </w:div>
      </w:divsChild>
    </w:div>
    <w:div w:id="1323240572">
      <w:bodyDiv w:val="1"/>
      <w:marLeft w:val="0"/>
      <w:marRight w:val="0"/>
      <w:marTop w:val="0"/>
      <w:marBottom w:val="0"/>
      <w:divBdr>
        <w:top w:val="none" w:sz="0" w:space="0" w:color="auto"/>
        <w:left w:val="none" w:sz="0" w:space="0" w:color="auto"/>
        <w:bottom w:val="none" w:sz="0" w:space="0" w:color="auto"/>
        <w:right w:val="none" w:sz="0" w:space="0" w:color="auto"/>
      </w:divBdr>
    </w:div>
    <w:div w:id="1326663238">
      <w:bodyDiv w:val="1"/>
      <w:marLeft w:val="0"/>
      <w:marRight w:val="0"/>
      <w:marTop w:val="0"/>
      <w:marBottom w:val="0"/>
      <w:divBdr>
        <w:top w:val="none" w:sz="0" w:space="0" w:color="auto"/>
        <w:left w:val="none" w:sz="0" w:space="0" w:color="auto"/>
        <w:bottom w:val="none" w:sz="0" w:space="0" w:color="auto"/>
        <w:right w:val="none" w:sz="0" w:space="0" w:color="auto"/>
      </w:divBdr>
    </w:div>
    <w:div w:id="1381054537">
      <w:bodyDiv w:val="1"/>
      <w:marLeft w:val="0"/>
      <w:marRight w:val="0"/>
      <w:marTop w:val="0"/>
      <w:marBottom w:val="0"/>
      <w:divBdr>
        <w:top w:val="none" w:sz="0" w:space="0" w:color="auto"/>
        <w:left w:val="none" w:sz="0" w:space="0" w:color="auto"/>
        <w:bottom w:val="none" w:sz="0" w:space="0" w:color="auto"/>
        <w:right w:val="none" w:sz="0" w:space="0" w:color="auto"/>
      </w:divBdr>
    </w:div>
    <w:div w:id="1389112388">
      <w:bodyDiv w:val="1"/>
      <w:marLeft w:val="0"/>
      <w:marRight w:val="0"/>
      <w:marTop w:val="0"/>
      <w:marBottom w:val="0"/>
      <w:divBdr>
        <w:top w:val="none" w:sz="0" w:space="0" w:color="auto"/>
        <w:left w:val="none" w:sz="0" w:space="0" w:color="auto"/>
        <w:bottom w:val="none" w:sz="0" w:space="0" w:color="auto"/>
        <w:right w:val="none" w:sz="0" w:space="0" w:color="auto"/>
      </w:divBdr>
    </w:div>
    <w:div w:id="1404065747">
      <w:bodyDiv w:val="1"/>
      <w:marLeft w:val="0"/>
      <w:marRight w:val="0"/>
      <w:marTop w:val="0"/>
      <w:marBottom w:val="0"/>
      <w:divBdr>
        <w:top w:val="none" w:sz="0" w:space="0" w:color="auto"/>
        <w:left w:val="none" w:sz="0" w:space="0" w:color="auto"/>
        <w:bottom w:val="none" w:sz="0" w:space="0" w:color="auto"/>
        <w:right w:val="none" w:sz="0" w:space="0" w:color="auto"/>
      </w:divBdr>
      <w:divsChild>
        <w:div w:id="81609247">
          <w:marLeft w:val="0"/>
          <w:marRight w:val="0"/>
          <w:marTop w:val="0"/>
          <w:marBottom w:val="0"/>
          <w:divBdr>
            <w:top w:val="none" w:sz="0" w:space="0" w:color="auto"/>
            <w:left w:val="none" w:sz="0" w:space="0" w:color="auto"/>
            <w:bottom w:val="none" w:sz="0" w:space="0" w:color="auto"/>
            <w:right w:val="none" w:sz="0" w:space="0" w:color="auto"/>
          </w:divBdr>
        </w:div>
        <w:div w:id="215774040">
          <w:marLeft w:val="0"/>
          <w:marRight w:val="0"/>
          <w:marTop w:val="0"/>
          <w:marBottom w:val="0"/>
          <w:divBdr>
            <w:top w:val="none" w:sz="0" w:space="0" w:color="auto"/>
            <w:left w:val="none" w:sz="0" w:space="0" w:color="auto"/>
            <w:bottom w:val="none" w:sz="0" w:space="0" w:color="auto"/>
            <w:right w:val="none" w:sz="0" w:space="0" w:color="auto"/>
          </w:divBdr>
        </w:div>
        <w:div w:id="260839968">
          <w:marLeft w:val="0"/>
          <w:marRight w:val="0"/>
          <w:marTop w:val="0"/>
          <w:marBottom w:val="0"/>
          <w:divBdr>
            <w:top w:val="none" w:sz="0" w:space="0" w:color="auto"/>
            <w:left w:val="none" w:sz="0" w:space="0" w:color="auto"/>
            <w:bottom w:val="none" w:sz="0" w:space="0" w:color="auto"/>
            <w:right w:val="none" w:sz="0" w:space="0" w:color="auto"/>
          </w:divBdr>
        </w:div>
        <w:div w:id="331295706">
          <w:marLeft w:val="0"/>
          <w:marRight w:val="0"/>
          <w:marTop w:val="0"/>
          <w:marBottom w:val="0"/>
          <w:divBdr>
            <w:top w:val="none" w:sz="0" w:space="0" w:color="auto"/>
            <w:left w:val="none" w:sz="0" w:space="0" w:color="auto"/>
            <w:bottom w:val="none" w:sz="0" w:space="0" w:color="auto"/>
            <w:right w:val="none" w:sz="0" w:space="0" w:color="auto"/>
          </w:divBdr>
        </w:div>
        <w:div w:id="401565863">
          <w:marLeft w:val="0"/>
          <w:marRight w:val="0"/>
          <w:marTop w:val="0"/>
          <w:marBottom w:val="0"/>
          <w:divBdr>
            <w:top w:val="none" w:sz="0" w:space="0" w:color="auto"/>
            <w:left w:val="none" w:sz="0" w:space="0" w:color="auto"/>
            <w:bottom w:val="none" w:sz="0" w:space="0" w:color="auto"/>
            <w:right w:val="none" w:sz="0" w:space="0" w:color="auto"/>
          </w:divBdr>
        </w:div>
        <w:div w:id="728841329">
          <w:marLeft w:val="0"/>
          <w:marRight w:val="0"/>
          <w:marTop w:val="0"/>
          <w:marBottom w:val="0"/>
          <w:divBdr>
            <w:top w:val="none" w:sz="0" w:space="0" w:color="auto"/>
            <w:left w:val="none" w:sz="0" w:space="0" w:color="auto"/>
            <w:bottom w:val="none" w:sz="0" w:space="0" w:color="auto"/>
            <w:right w:val="none" w:sz="0" w:space="0" w:color="auto"/>
          </w:divBdr>
        </w:div>
        <w:div w:id="780996451">
          <w:marLeft w:val="0"/>
          <w:marRight w:val="0"/>
          <w:marTop w:val="0"/>
          <w:marBottom w:val="0"/>
          <w:divBdr>
            <w:top w:val="none" w:sz="0" w:space="0" w:color="auto"/>
            <w:left w:val="none" w:sz="0" w:space="0" w:color="auto"/>
            <w:bottom w:val="none" w:sz="0" w:space="0" w:color="auto"/>
            <w:right w:val="none" w:sz="0" w:space="0" w:color="auto"/>
          </w:divBdr>
        </w:div>
        <w:div w:id="953096275">
          <w:marLeft w:val="0"/>
          <w:marRight w:val="0"/>
          <w:marTop w:val="0"/>
          <w:marBottom w:val="0"/>
          <w:divBdr>
            <w:top w:val="none" w:sz="0" w:space="0" w:color="auto"/>
            <w:left w:val="none" w:sz="0" w:space="0" w:color="auto"/>
            <w:bottom w:val="none" w:sz="0" w:space="0" w:color="auto"/>
            <w:right w:val="none" w:sz="0" w:space="0" w:color="auto"/>
          </w:divBdr>
        </w:div>
        <w:div w:id="968508273">
          <w:marLeft w:val="0"/>
          <w:marRight w:val="0"/>
          <w:marTop w:val="0"/>
          <w:marBottom w:val="0"/>
          <w:divBdr>
            <w:top w:val="none" w:sz="0" w:space="0" w:color="auto"/>
            <w:left w:val="none" w:sz="0" w:space="0" w:color="auto"/>
            <w:bottom w:val="none" w:sz="0" w:space="0" w:color="auto"/>
            <w:right w:val="none" w:sz="0" w:space="0" w:color="auto"/>
          </w:divBdr>
        </w:div>
        <w:div w:id="978268053">
          <w:marLeft w:val="0"/>
          <w:marRight w:val="0"/>
          <w:marTop w:val="0"/>
          <w:marBottom w:val="0"/>
          <w:divBdr>
            <w:top w:val="none" w:sz="0" w:space="0" w:color="auto"/>
            <w:left w:val="none" w:sz="0" w:space="0" w:color="auto"/>
            <w:bottom w:val="none" w:sz="0" w:space="0" w:color="auto"/>
            <w:right w:val="none" w:sz="0" w:space="0" w:color="auto"/>
          </w:divBdr>
        </w:div>
        <w:div w:id="985664907">
          <w:marLeft w:val="0"/>
          <w:marRight w:val="0"/>
          <w:marTop w:val="0"/>
          <w:marBottom w:val="0"/>
          <w:divBdr>
            <w:top w:val="none" w:sz="0" w:space="0" w:color="auto"/>
            <w:left w:val="none" w:sz="0" w:space="0" w:color="auto"/>
            <w:bottom w:val="none" w:sz="0" w:space="0" w:color="auto"/>
            <w:right w:val="none" w:sz="0" w:space="0" w:color="auto"/>
          </w:divBdr>
        </w:div>
        <w:div w:id="1017196070">
          <w:marLeft w:val="0"/>
          <w:marRight w:val="0"/>
          <w:marTop w:val="0"/>
          <w:marBottom w:val="0"/>
          <w:divBdr>
            <w:top w:val="none" w:sz="0" w:space="0" w:color="auto"/>
            <w:left w:val="none" w:sz="0" w:space="0" w:color="auto"/>
            <w:bottom w:val="none" w:sz="0" w:space="0" w:color="auto"/>
            <w:right w:val="none" w:sz="0" w:space="0" w:color="auto"/>
          </w:divBdr>
        </w:div>
        <w:div w:id="1166096587">
          <w:marLeft w:val="0"/>
          <w:marRight w:val="0"/>
          <w:marTop w:val="0"/>
          <w:marBottom w:val="0"/>
          <w:divBdr>
            <w:top w:val="none" w:sz="0" w:space="0" w:color="auto"/>
            <w:left w:val="none" w:sz="0" w:space="0" w:color="auto"/>
            <w:bottom w:val="none" w:sz="0" w:space="0" w:color="auto"/>
            <w:right w:val="none" w:sz="0" w:space="0" w:color="auto"/>
          </w:divBdr>
        </w:div>
        <w:div w:id="1278681724">
          <w:marLeft w:val="0"/>
          <w:marRight w:val="0"/>
          <w:marTop w:val="0"/>
          <w:marBottom w:val="0"/>
          <w:divBdr>
            <w:top w:val="none" w:sz="0" w:space="0" w:color="auto"/>
            <w:left w:val="none" w:sz="0" w:space="0" w:color="auto"/>
            <w:bottom w:val="none" w:sz="0" w:space="0" w:color="auto"/>
            <w:right w:val="none" w:sz="0" w:space="0" w:color="auto"/>
          </w:divBdr>
        </w:div>
        <w:div w:id="1379889493">
          <w:marLeft w:val="0"/>
          <w:marRight w:val="0"/>
          <w:marTop w:val="0"/>
          <w:marBottom w:val="0"/>
          <w:divBdr>
            <w:top w:val="none" w:sz="0" w:space="0" w:color="auto"/>
            <w:left w:val="none" w:sz="0" w:space="0" w:color="auto"/>
            <w:bottom w:val="none" w:sz="0" w:space="0" w:color="auto"/>
            <w:right w:val="none" w:sz="0" w:space="0" w:color="auto"/>
          </w:divBdr>
        </w:div>
        <w:div w:id="1445004523">
          <w:marLeft w:val="0"/>
          <w:marRight w:val="0"/>
          <w:marTop w:val="0"/>
          <w:marBottom w:val="0"/>
          <w:divBdr>
            <w:top w:val="none" w:sz="0" w:space="0" w:color="auto"/>
            <w:left w:val="none" w:sz="0" w:space="0" w:color="auto"/>
            <w:bottom w:val="none" w:sz="0" w:space="0" w:color="auto"/>
            <w:right w:val="none" w:sz="0" w:space="0" w:color="auto"/>
          </w:divBdr>
        </w:div>
        <w:div w:id="1459059022">
          <w:marLeft w:val="0"/>
          <w:marRight w:val="0"/>
          <w:marTop w:val="0"/>
          <w:marBottom w:val="0"/>
          <w:divBdr>
            <w:top w:val="none" w:sz="0" w:space="0" w:color="auto"/>
            <w:left w:val="none" w:sz="0" w:space="0" w:color="auto"/>
            <w:bottom w:val="none" w:sz="0" w:space="0" w:color="auto"/>
            <w:right w:val="none" w:sz="0" w:space="0" w:color="auto"/>
          </w:divBdr>
        </w:div>
        <w:div w:id="1476218227">
          <w:marLeft w:val="0"/>
          <w:marRight w:val="0"/>
          <w:marTop w:val="0"/>
          <w:marBottom w:val="0"/>
          <w:divBdr>
            <w:top w:val="none" w:sz="0" w:space="0" w:color="auto"/>
            <w:left w:val="none" w:sz="0" w:space="0" w:color="auto"/>
            <w:bottom w:val="none" w:sz="0" w:space="0" w:color="auto"/>
            <w:right w:val="none" w:sz="0" w:space="0" w:color="auto"/>
          </w:divBdr>
        </w:div>
        <w:div w:id="1554610327">
          <w:marLeft w:val="0"/>
          <w:marRight w:val="0"/>
          <w:marTop w:val="0"/>
          <w:marBottom w:val="0"/>
          <w:divBdr>
            <w:top w:val="none" w:sz="0" w:space="0" w:color="auto"/>
            <w:left w:val="none" w:sz="0" w:space="0" w:color="auto"/>
            <w:bottom w:val="none" w:sz="0" w:space="0" w:color="auto"/>
            <w:right w:val="none" w:sz="0" w:space="0" w:color="auto"/>
          </w:divBdr>
        </w:div>
        <w:div w:id="1576166135">
          <w:marLeft w:val="0"/>
          <w:marRight w:val="0"/>
          <w:marTop w:val="0"/>
          <w:marBottom w:val="0"/>
          <w:divBdr>
            <w:top w:val="none" w:sz="0" w:space="0" w:color="auto"/>
            <w:left w:val="none" w:sz="0" w:space="0" w:color="auto"/>
            <w:bottom w:val="none" w:sz="0" w:space="0" w:color="auto"/>
            <w:right w:val="none" w:sz="0" w:space="0" w:color="auto"/>
          </w:divBdr>
        </w:div>
        <w:div w:id="1586915351">
          <w:marLeft w:val="0"/>
          <w:marRight w:val="0"/>
          <w:marTop w:val="0"/>
          <w:marBottom w:val="0"/>
          <w:divBdr>
            <w:top w:val="none" w:sz="0" w:space="0" w:color="auto"/>
            <w:left w:val="none" w:sz="0" w:space="0" w:color="auto"/>
            <w:bottom w:val="none" w:sz="0" w:space="0" w:color="auto"/>
            <w:right w:val="none" w:sz="0" w:space="0" w:color="auto"/>
          </w:divBdr>
        </w:div>
        <w:div w:id="1691032713">
          <w:marLeft w:val="0"/>
          <w:marRight w:val="0"/>
          <w:marTop w:val="0"/>
          <w:marBottom w:val="0"/>
          <w:divBdr>
            <w:top w:val="none" w:sz="0" w:space="0" w:color="auto"/>
            <w:left w:val="none" w:sz="0" w:space="0" w:color="auto"/>
            <w:bottom w:val="none" w:sz="0" w:space="0" w:color="auto"/>
            <w:right w:val="none" w:sz="0" w:space="0" w:color="auto"/>
          </w:divBdr>
        </w:div>
        <w:div w:id="1702625384">
          <w:marLeft w:val="0"/>
          <w:marRight w:val="0"/>
          <w:marTop w:val="0"/>
          <w:marBottom w:val="0"/>
          <w:divBdr>
            <w:top w:val="none" w:sz="0" w:space="0" w:color="auto"/>
            <w:left w:val="none" w:sz="0" w:space="0" w:color="auto"/>
            <w:bottom w:val="none" w:sz="0" w:space="0" w:color="auto"/>
            <w:right w:val="none" w:sz="0" w:space="0" w:color="auto"/>
          </w:divBdr>
        </w:div>
        <w:div w:id="1806241140">
          <w:marLeft w:val="0"/>
          <w:marRight w:val="0"/>
          <w:marTop w:val="0"/>
          <w:marBottom w:val="0"/>
          <w:divBdr>
            <w:top w:val="none" w:sz="0" w:space="0" w:color="auto"/>
            <w:left w:val="none" w:sz="0" w:space="0" w:color="auto"/>
            <w:bottom w:val="none" w:sz="0" w:space="0" w:color="auto"/>
            <w:right w:val="none" w:sz="0" w:space="0" w:color="auto"/>
          </w:divBdr>
        </w:div>
        <w:div w:id="1910264978">
          <w:marLeft w:val="0"/>
          <w:marRight w:val="0"/>
          <w:marTop w:val="0"/>
          <w:marBottom w:val="0"/>
          <w:divBdr>
            <w:top w:val="none" w:sz="0" w:space="0" w:color="auto"/>
            <w:left w:val="none" w:sz="0" w:space="0" w:color="auto"/>
            <w:bottom w:val="none" w:sz="0" w:space="0" w:color="auto"/>
            <w:right w:val="none" w:sz="0" w:space="0" w:color="auto"/>
          </w:divBdr>
        </w:div>
        <w:div w:id="2102948043">
          <w:marLeft w:val="0"/>
          <w:marRight w:val="0"/>
          <w:marTop w:val="0"/>
          <w:marBottom w:val="0"/>
          <w:divBdr>
            <w:top w:val="none" w:sz="0" w:space="0" w:color="auto"/>
            <w:left w:val="none" w:sz="0" w:space="0" w:color="auto"/>
            <w:bottom w:val="none" w:sz="0" w:space="0" w:color="auto"/>
            <w:right w:val="none" w:sz="0" w:space="0" w:color="auto"/>
          </w:divBdr>
        </w:div>
      </w:divsChild>
    </w:div>
    <w:div w:id="1427112695">
      <w:bodyDiv w:val="1"/>
      <w:marLeft w:val="0"/>
      <w:marRight w:val="0"/>
      <w:marTop w:val="0"/>
      <w:marBottom w:val="0"/>
      <w:divBdr>
        <w:top w:val="none" w:sz="0" w:space="0" w:color="auto"/>
        <w:left w:val="none" w:sz="0" w:space="0" w:color="auto"/>
        <w:bottom w:val="none" w:sz="0" w:space="0" w:color="auto"/>
        <w:right w:val="none" w:sz="0" w:space="0" w:color="auto"/>
      </w:divBdr>
    </w:div>
    <w:div w:id="1438987409">
      <w:bodyDiv w:val="1"/>
      <w:marLeft w:val="0"/>
      <w:marRight w:val="0"/>
      <w:marTop w:val="0"/>
      <w:marBottom w:val="0"/>
      <w:divBdr>
        <w:top w:val="none" w:sz="0" w:space="0" w:color="auto"/>
        <w:left w:val="none" w:sz="0" w:space="0" w:color="auto"/>
        <w:bottom w:val="none" w:sz="0" w:space="0" w:color="auto"/>
        <w:right w:val="none" w:sz="0" w:space="0" w:color="auto"/>
      </w:divBdr>
      <w:divsChild>
        <w:div w:id="2029914952">
          <w:marLeft w:val="0"/>
          <w:marRight w:val="0"/>
          <w:marTop w:val="0"/>
          <w:marBottom w:val="0"/>
          <w:divBdr>
            <w:top w:val="none" w:sz="0" w:space="0" w:color="auto"/>
            <w:left w:val="none" w:sz="0" w:space="0" w:color="auto"/>
            <w:bottom w:val="none" w:sz="0" w:space="0" w:color="auto"/>
            <w:right w:val="none" w:sz="0" w:space="0" w:color="auto"/>
          </w:divBdr>
        </w:div>
      </w:divsChild>
    </w:div>
    <w:div w:id="1481194001">
      <w:bodyDiv w:val="1"/>
      <w:marLeft w:val="0"/>
      <w:marRight w:val="0"/>
      <w:marTop w:val="0"/>
      <w:marBottom w:val="0"/>
      <w:divBdr>
        <w:top w:val="none" w:sz="0" w:space="0" w:color="auto"/>
        <w:left w:val="none" w:sz="0" w:space="0" w:color="auto"/>
        <w:bottom w:val="none" w:sz="0" w:space="0" w:color="auto"/>
        <w:right w:val="none" w:sz="0" w:space="0" w:color="auto"/>
      </w:divBdr>
    </w:div>
    <w:div w:id="1543395748">
      <w:bodyDiv w:val="1"/>
      <w:marLeft w:val="0"/>
      <w:marRight w:val="0"/>
      <w:marTop w:val="0"/>
      <w:marBottom w:val="0"/>
      <w:divBdr>
        <w:top w:val="none" w:sz="0" w:space="0" w:color="auto"/>
        <w:left w:val="none" w:sz="0" w:space="0" w:color="auto"/>
        <w:bottom w:val="none" w:sz="0" w:space="0" w:color="auto"/>
        <w:right w:val="none" w:sz="0" w:space="0" w:color="auto"/>
      </w:divBdr>
    </w:div>
    <w:div w:id="1547643809">
      <w:bodyDiv w:val="1"/>
      <w:marLeft w:val="0"/>
      <w:marRight w:val="0"/>
      <w:marTop w:val="0"/>
      <w:marBottom w:val="0"/>
      <w:divBdr>
        <w:top w:val="none" w:sz="0" w:space="0" w:color="auto"/>
        <w:left w:val="none" w:sz="0" w:space="0" w:color="auto"/>
        <w:bottom w:val="none" w:sz="0" w:space="0" w:color="auto"/>
        <w:right w:val="none" w:sz="0" w:space="0" w:color="auto"/>
      </w:divBdr>
    </w:div>
    <w:div w:id="1574195945">
      <w:bodyDiv w:val="1"/>
      <w:marLeft w:val="0"/>
      <w:marRight w:val="0"/>
      <w:marTop w:val="0"/>
      <w:marBottom w:val="0"/>
      <w:divBdr>
        <w:top w:val="none" w:sz="0" w:space="0" w:color="auto"/>
        <w:left w:val="none" w:sz="0" w:space="0" w:color="auto"/>
        <w:bottom w:val="none" w:sz="0" w:space="0" w:color="auto"/>
        <w:right w:val="none" w:sz="0" w:space="0" w:color="auto"/>
      </w:divBdr>
    </w:div>
    <w:div w:id="1585652023">
      <w:bodyDiv w:val="1"/>
      <w:marLeft w:val="0"/>
      <w:marRight w:val="0"/>
      <w:marTop w:val="0"/>
      <w:marBottom w:val="0"/>
      <w:divBdr>
        <w:top w:val="none" w:sz="0" w:space="0" w:color="auto"/>
        <w:left w:val="none" w:sz="0" w:space="0" w:color="auto"/>
        <w:bottom w:val="none" w:sz="0" w:space="0" w:color="auto"/>
        <w:right w:val="none" w:sz="0" w:space="0" w:color="auto"/>
      </w:divBdr>
      <w:divsChild>
        <w:div w:id="25184350">
          <w:marLeft w:val="0"/>
          <w:marRight w:val="0"/>
          <w:marTop w:val="0"/>
          <w:marBottom w:val="0"/>
          <w:divBdr>
            <w:top w:val="none" w:sz="0" w:space="0" w:color="auto"/>
            <w:left w:val="none" w:sz="0" w:space="0" w:color="auto"/>
            <w:bottom w:val="none" w:sz="0" w:space="0" w:color="auto"/>
            <w:right w:val="none" w:sz="0" w:space="0" w:color="auto"/>
          </w:divBdr>
        </w:div>
        <w:div w:id="46028946">
          <w:marLeft w:val="0"/>
          <w:marRight w:val="0"/>
          <w:marTop w:val="0"/>
          <w:marBottom w:val="0"/>
          <w:divBdr>
            <w:top w:val="none" w:sz="0" w:space="0" w:color="auto"/>
            <w:left w:val="none" w:sz="0" w:space="0" w:color="auto"/>
            <w:bottom w:val="none" w:sz="0" w:space="0" w:color="auto"/>
            <w:right w:val="none" w:sz="0" w:space="0" w:color="auto"/>
          </w:divBdr>
        </w:div>
        <w:div w:id="47920637">
          <w:marLeft w:val="0"/>
          <w:marRight w:val="0"/>
          <w:marTop w:val="0"/>
          <w:marBottom w:val="0"/>
          <w:divBdr>
            <w:top w:val="none" w:sz="0" w:space="0" w:color="auto"/>
            <w:left w:val="none" w:sz="0" w:space="0" w:color="auto"/>
            <w:bottom w:val="none" w:sz="0" w:space="0" w:color="auto"/>
            <w:right w:val="none" w:sz="0" w:space="0" w:color="auto"/>
          </w:divBdr>
        </w:div>
        <w:div w:id="59258547">
          <w:marLeft w:val="0"/>
          <w:marRight w:val="0"/>
          <w:marTop w:val="0"/>
          <w:marBottom w:val="0"/>
          <w:divBdr>
            <w:top w:val="none" w:sz="0" w:space="0" w:color="auto"/>
            <w:left w:val="none" w:sz="0" w:space="0" w:color="auto"/>
            <w:bottom w:val="none" w:sz="0" w:space="0" w:color="auto"/>
            <w:right w:val="none" w:sz="0" w:space="0" w:color="auto"/>
          </w:divBdr>
        </w:div>
        <w:div w:id="96413446">
          <w:marLeft w:val="0"/>
          <w:marRight w:val="0"/>
          <w:marTop w:val="0"/>
          <w:marBottom w:val="0"/>
          <w:divBdr>
            <w:top w:val="none" w:sz="0" w:space="0" w:color="auto"/>
            <w:left w:val="none" w:sz="0" w:space="0" w:color="auto"/>
            <w:bottom w:val="none" w:sz="0" w:space="0" w:color="auto"/>
            <w:right w:val="none" w:sz="0" w:space="0" w:color="auto"/>
          </w:divBdr>
        </w:div>
        <w:div w:id="110126251">
          <w:marLeft w:val="0"/>
          <w:marRight w:val="0"/>
          <w:marTop w:val="0"/>
          <w:marBottom w:val="0"/>
          <w:divBdr>
            <w:top w:val="none" w:sz="0" w:space="0" w:color="auto"/>
            <w:left w:val="none" w:sz="0" w:space="0" w:color="auto"/>
            <w:bottom w:val="none" w:sz="0" w:space="0" w:color="auto"/>
            <w:right w:val="none" w:sz="0" w:space="0" w:color="auto"/>
          </w:divBdr>
        </w:div>
        <w:div w:id="134880625">
          <w:marLeft w:val="0"/>
          <w:marRight w:val="0"/>
          <w:marTop w:val="0"/>
          <w:marBottom w:val="0"/>
          <w:divBdr>
            <w:top w:val="none" w:sz="0" w:space="0" w:color="auto"/>
            <w:left w:val="none" w:sz="0" w:space="0" w:color="auto"/>
            <w:bottom w:val="none" w:sz="0" w:space="0" w:color="auto"/>
            <w:right w:val="none" w:sz="0" w:space="0" w:color="auto"/>
          </w:divBdr>
        </w:div>
        <w:div w:id="198401724">
          <w:marLeft w:val="0"/>
          <w:marRight w:val="0"/>
          <w:marTop w:val="0"/>
          <w:marBottom w:val="0"/>
          <w:divBdr>
            <w:top w:val="none" w:sz="0" w:space="0" w:color="auto"/>
            <w:left w:val="none" w:sz="0" w:space="0" w:color="auto"/>
            <w:bottom w:val="none" w:sz="0" w:space="0" w:color="auto"/>
            <w:right w:val="none" w:sz="0" w:space="0" w:color="auto"/>
          </w:divBdr>
        </w:div>
        <w:div w:id="258561928">
          <w:marLeft w:val="0"/>
          <w:marRight w:val="0"/>
          <w:marTop w:val="0"/>
          <w:marBottom w:val="0"/>
          <w:divBdr>
            <w:top w:val="none" w:sz="0" w:space="0" w:color="auto"/>
            <w:left w:val="none" w:sz="0" w:space="0" w:color="auto"/>
            <w:bottom w:val="none" w:sz="0" w:space="0" w:color="auto"/>
            <w:right w:val="none" w:sz="0" w:space="0" w:color="auto"/>
          </w:divBdr>
        </w:div>
        <w:div w:id="300816040">
          <w:marLeft w:val="0"/>
          <w:marRight w:val="0"/>
          <w:marTop w:val="0"/>
          <w:marBottom w:val="0"/>
          <w:divBdr>
            <w:top w:val="none" w:sz="0" w:space="0" w:color="auto"/>
            <w:left w:val="none" w:sz="0" w:space="0" w:color="auto"/>
            <w:bottom w:val="none" w:sz="0" w:space="0" w:color="auto"/>
            <w:right w:val="none" w:sz="0" w:space="0" w:color="auto"/>
          </w:divBdr>
        </w:div>
        <w:div w:id="319119153">
          <w:marLeft w:val="0"/>
          <w:marRight w:val="0"/>
          <w:marTop w:val="0"/>
          <w:marBottom w:val="0"/>
          <w:divBdr>
            <w:top w:val="none" w:sz="0" w:space="0" w:color="auto"/>
            <w:left w:val="none" w:sz="0" w:space="0" w:color="auto"/>
            <w:bottom w:val="none" w:sz="0" w:space="0" w:color="auto"/>
            <w:right w:val="none" w:sz="0" w:space="0" w:color="auto"/>
          </w:divBdr>
        </w:div>
        <w:div w:id="325401132">
          <w:marLeft w:val="0"/>
          <w:marRight w:val="0"/>
          <w:marTop w:val="0"/>
          <w:marBottom w:val="0"/>
          <w:divBdr>
            <w:top w:val="none" w:sz="0" w:space="0" w:color="auto"/>
            <w:left w:val="none" w:sz="0" w:space="0" w:color="auto"/>
            <w:bottom w:val="none" w:sz="0" w:space="0" w:color="auto"/>
            <w:right w:val="none" w:sz="0" w:space="0" w:color="auto"/>
          </w:divBdr>
        </w:div>
        <w:div w:id="428234038">
          <w:marLeft w:val="0"/>
          <w:marRight w:val="0"/>
          <w:marTop w:val="0"/>
          <w:marBottom w:val="0"/>
          <w:divBdr>
            <w:top w:val="none" w:sz="0" w:space="0" w:color="auto"/>
            <w:left w:val="none" w:sz="0" w:space="0" w:color="auto"/>
            <w:bottom w:val="none" w:sz="0" w:space="0" w:color="auto"/>
            <w:right w:val="none" w:sz="0" w:space="0" w:color="auto"/>
          </w:divBdr>
        </w:div>
        <w:div w:id="765927232">
          <w:marLeft w:val="0"/>
          <w:marRight w:val="0"/>
          <w:marTop w:val="0"/>
          <w:marBottom w:val="0"/>
          <w:divBdr>
            <w:top w:val="none" w:sz="0" w:space="0" w:color="auto"/>
            <w:left w:val="none" w:sz="0" w:space="0" w:color="auto"/>
            <w:bottom w:val="none" w:sz="0" w:space="0" w:color="auto"/>
            <w:right w:val="none" w:sz="0" w:space="0" w:color="auto"/>
          </w:divBdr>
        </w:div>
        <w:div w:id="905187923">
          <w:marLeft w:val="0"/>
          <w:marRight w:val="0"/>
          <w:marTop w:val="0"/>
          <w:marBottom w:val="0"/>
          <w:divBdr>
            <w:top w:val="none" w:sz="0" w:space="0" w:color="auto"/>
            <w:left w:val="none" w:sz="0" w:space="0" w:color="auto"/>
            <w:bottom w:val="none" w:sz="0" w:space="0" w:color="auto"/>
            <w:right w:val="none" w:sz="0" w:space="0" w:color="auto"/>
          </w:divBdr>
        </w:div>
        <w:div w:id="906960209">
          <w:marLeft w:val="0"/>
          <w:marRight w:val="0"/>
          <w:marTop w:val="0"/>
          <w:marBottom w:val="0"/>
          <w:divBdr>
            <w:top w:val="none" w:sz="0" w:space="0" w:color="auto"/>
            <w:left w:val="none" w:sz="0" w:space="0" w:color="auto"/>
            <w:bottom w:val="none" w:sz="0" w:space="0" w:color="auto"/>
            <w:right w:val="none" w:sz="0" w:space="0" w:color="auto"/>
          </w:divBdr>
        </w:div>
        <w:div w:id="924535758">
          <w:marLeft w:val="0"/>
          <w:marRight w:val="0"/>
          <w:marTop w:val="0"/>
          <w:marBottom w:val="0"/>
          <w:divBdr>
            <w:top w:val="none" w:sz="0" w:space="0" w:color="auto"/>
            <w:left w:val="none" w:sz="0" w:space="0" w:color="auto"/>
            <w:bottom w:val="none" w:sz="0" w:space="0" w:color="auto"/>
            <w:right w:val="none" w:sz="0" w:space="0" w:color="auto"/>
          </w:divBdr>
        </w:div>
        <w:div w:id="1022779969">
          <w:marLeft w:val="0"/>
          <w:marRight w:val="0"/>
          <w:marTop w:val="0"/>
          <w:marBottom w:val="0"/>
          <w:divBdr>
            <w:top w:val="none" w:sz="0" w:space="0" w:color="auto"/>
            <w:left w:val="none" w:sz="0" w:space="0" w:color="auto"/>
            <w:bottom w:val="none" w:sz="0" w:space="0" w:color="auto"/>
            <w:right w:val="none" w:sz="0" w:space="0" w:color="auto"/>
          </w:divBdr>
        </w:div>
        <w:div w:id="1033925039">
          <w:marLeft w:val="0"/>
          <w:marRight w:val="0"/>
          <w:marTop w:val="0"/>
          <w:marBottom w:val="0"/>
          <w:divBdr>
            <w:top w:val="none" w:sz="0" w:space="0" w:color="auto"/>
            <w:left w:val="none" w:sz="0" w:space="0" w:color="auto"/>
            <w:bottom w:val="none" w:sz="0" w:space="0" w:color="auto"/>
            <w:right w:val="none" w:sz="0" w:space="0" w:color="auto"/>
          </w:divBdr>
        </w:div>
        <w:div w:id="1113331214">
          <w:marLeft w:val="0"/>
          <w:marRight w:val="0"/>
          <w:marTop w:val="0"/>
          <w:marBottom w:val="0"/>
          <w:divBdr>
            <w:top w:val="none" w:sz="0" w:space="0" w:color="auto"/>
            <w:left w:val="none" w:sz="0" w:space="0" w:color="auto"/>
            <w:bottom w:val="none" w:sz="0" w:space="0" w:color="auto"/>
            <w:right w:val="none" w:sz="0" w:space="0" w:color="auto"/>
          </w:divBdr>
        </w:div>
        <w:div w:id="1423258959">
          <w:marLeft w:val="0"/>
          <w:marRight w:val="0"/>
          <w:marTop w:val="0"/>
          <w:marBottom w:val="0"/>
          <w:divBdr>
            <w:top w:val="none" w:sz="0" w:space="0" w:color="auto"/>
            <w:left w:val="none" w:sz="0" w:space="0" w:color="auto"/>
            <w:bottom w:val="none" w:sz="0" w:space="0" w:color="auto"/>
            <w:right w:val="none" w:sz="0" w:space="0" w:color="auto"/>
          </w:divBdr>
        </w:div>
        <w:div w:id="1545823954">
          <w:marLeft w:val="0"/>
          <w:marRight w:val="0"/>
          <w:marTop w:val="0"/>
          <w:marBottom w:val="0"/>
          <w:divBdr>
            <w:top w:val="none" w:sz="0" w:space="0" w:color="auto"/>
            <w:left w:val="none" w:sz="0" w:space="0" w:color="auto"/>
            <w:bottom w:val="none" w:sz="0" w:space="0" w:color="auto"/>
            <w:right w:val="none" w:sz="0" w:space="0" w:color="auto"/>
          </w:divBdr>
        </w:div>
        <w:div w:id="1911622740">
          <w:marLeft w:val="0"/>
          <w:marRight w:val="0"/>
          <w:marTop w:val="0"/>
          <w:marBottom w:val="0"/>
          <w:divBdr>
            <w:top w:val="none" w:sz="0" w:space="0" w:color="auto"/>
            <w:left w:val="none" w:sz="0" w:space="0" w:color="auto"/>
            <w:bottom w:val="none" w:sz="0" w:space="0" w:color="auto"/>
            <w:right w:val="none" w:sz="0" w:space="0" w:color="auto"/>
          </w:divBdr>
        </w:div>
        <w:div w:id="2043898026">
          <w:marLeft w:val="0"/>
          <w:marRight w:val="0"/>
          <w:marTop w:val="0"/>
          <w:marBottom w:val="0"/>
          <w:divBdr>
            <w:top w:val="none" w:sz="0" w:space="0" w:color="auto"/>
            <w:left w:val="none" w:sz="0" w:space="0" w:color="auto"/>
            <w:bottom w:val="none" w:sz="0" w:space="0" w:color="auto"/>
            <w:right w:val="none" w:sz="0" w:space="0" w:color="auto"/>
          </w:divBdr>
        </w:div>
        <w:div w:id="2073192161">
          <w:marLeft w:val="0"/>
          <w:marRight w:val="0"/>
          <w:marTop w:val="0"/>
          <w:marBottom w:val="0"/>
          <w:divBdr>
            <w:top w:val="none" w:sz="0" w:space="0" w:color="auto"/>
            <w:left w:val="none" w:sz="0" w:space="0" w:color="auto"/>
            <w:bottom w:val="none" w:sz="0" w:space="0" w:color="auto"/>
            <w:right w:val="none" w:sz="0" w:space="0" w:color="auto"/>
          </w:divBdr>
        </w:div>
        <w:div w:id="2113699562">
          <w:marLeft w:val="0"/>
          <w:marRight w:val="0"/>
          <w:marTop w:val="0"/>
          <w:marBottom w:val="0"/>
          <w:divBdr>
            <w:top w:val="none" w:sz="0" w:space="0" w:color="auto"/>
            <w:left w:val="none" w:sz="0" w:space="0" w:color="auto"/>
            <w:bottom w:val="none" w:sz="0" w:space="0" w:color="auto"/>
            <w:right w:val="none" w:sz="0" w:space="0" w:color="auto"/>
          </w:divBdr>
        </w:div>
      </w:divsChild>
    </w:div>
    <w:div w:id="1607734756">
      <w:bodyDiv w:val="1"/>
      <w:marLeft w:val="0"/>
      <w:marRight w:val="0"/>
      <w:marTop w:val="0"/>
      <w:marBottom w:val="0"/>
      <w:divBdr>
        <w:top w:val="none" w:sz="0" w:space="0" w:color="auto"/>
        <w:left w:val="none" w:sz="0" w:space="0" w:color="auto"/>
        <w:bottom w:val="none" w:sz="0" w:space="0" w:color="auto"/>
        <w:right w:val="none" w:sz="0" w:space="0" w:color="auto"/>
      </w:divBdr>
      <w:divsChild>
        <w:div w:id="1062945712">
          <w:marLeft w:val="0"/>
          <w:marRight w:val="0"/>
          <w:marTop w:val="0"/>
          <w:marBottom w:val="0"/>
          <w:divBdr>
            <w:top w:val="none" w:sz="0" w:space="0" w:color="auto"/>
            <w:left w:val="none" w:sz="0" w:space="0" w:color="auto"/>
            <w:bottom w:val="none" w:sz="0" w:space="0" w:color="auto"/>
            <w:right w:val="none" w:sz="0" w:space="0" w:color="auto"/>
          </w:divBdr>
        </w:div>
        <w:div w:id="1218468569">
          <w:marLeft w:val="0"/>
          <w:marRight w:val="0"/>
          <w:marTop w:val="0"/>
          <w:marBottom w:val="0"/>
          <w:divBdr>
            <w:top w:val="none" w:sz="0" w:space="0" w:color="auto"/>
            <w:left w:val="none" w:sz="0" w:space="0" w:color="auto"/>
            <w:bottom w:val="none" w:sz="0" w:space="0" w:color="auto"/>
            <w:right w:val="none" w:sz="0" w:space="0" w:color="auto"/>
          </w:divBdr>
        </w:div>
      </w:divsChild>
    </w:div>
    <w:div w:id="1670063859">
      <w:bodyDiv w:val="1"/>
      <w:marLeft w:val="0"/>
      <w:marRight w:val="0"/>
      <w:marTop w:val="0"/>
      <w:marBottom w:val="0"/>
      <w:divBdr>
        <w:top w:val="none" w:sz="0" w:space="0" w:color="auto"/>
        <w:left w:val="none" w:sz="0" w:space="0" w:color="auto"/>
        <w:bottom w:val="none" w:sz="0" w:space="0" w:color="auto"/>
        <w:right w:val="none" w:sz="0" w:space="0" w:color="auto"/>
      </w:divBdr>
    </w:div>
    <w:div w:id="1785688075">
      <w:bodyDiv w:val="1"/>
      <w:marLeft w:val="0"/>
      <w:marRight w:val="0"/>
      <w:marTop w:val="0"/>
      <w:marBottom w:val="0"/>
      <w:divBdr>
        <w:top w:val="none" w:sz="0" w:space="0" w:color="auto"/>
        <w:left w:val="none" w:sz="0" w:space="0" w:color="auto"/>
        <w:bottom w:val="none" w:sz="0" w:space="0" w:color="auto"/>
        <w:right w:val="none" w:sz="0" w:space="0" w:color="auto"/>
      </w:divBdr>
    </w:div>
    <w:div w:id="1809324316">
      <w:bodyDiv w:val="1"/>
      <w:marLeft w:val="0"/>
      <w:marRight w:val="0"/>
      <w:marTop w:val="0"/>
      <w:marBottom w:val="0"/>
      <w:divBdr>
        <w:top w:val="none" w:sz="0" w:space="0" w:color="auto"/>
        <w:left w:val="none" w:sz="0" w:space="0" w:color="auto"/>
        <w:bottom w:val="none" w:sz="0" w:space="0" w:color="auto"/>
        <w:right w:val="none" w:sz="0" w:space="0" w:color="auto"/>
      </w:divBdr>
    </w:div>
    <w:div w:id="1880238030">
      <w:bodyDiv w:val="1"/>
      <w:marLeft w:val="0"/>
      <w:marRight w:val="0"/>
      <w:marTop w:val="0"/>
      <w:marBottom w:val="0"/>
      <w:divBdr>
        <w:top w:val="none" w:sz="0" w:space="0" w:color="auto"/>
        <w:left w:val="none" w:sz="0" w:space="0" w:color="auto"/>
        <w:bottom w:val="none" w:sz="0" w:space="0" w:color="auto"/>
        <w:right w:val="none" w:sz="0" w:space="0" w:color="auto"/>
      </w:divBdr>
    </w:div>
    <w:div w:id="1965039361">
      <w:bodyDiv w:val="1"/>
      <w:marLeft w:val="0"/>
      <w:marRight w:val="0"/>
      <w:marTop w:val="0"/>
      <w:marBottom w:val="0"/>
      <w:divBdr>
        <w:top w:val="none" w:sz="0" w:space="0" w:color="auto"/>
        <w:left w:val="none" w:sz="0" w:space="0" w:color="auto"/>
        <w:bottom w:val="none" w:sz="0" w:space="0" w:color="auto"/>
        <w:right w:val="none" w:sz="0" w:space="0" w:color="auto"/>
      </w:divBdr>
      <w:divsChild>
        <w:div w:id="2101947325">
          <w:marLeft w:val="0"/>
          <w:marRight w:val="0"/>
          <w:marTop w:val="0"/>
          <w:marBottom w:val="0"/>
          <w:divBdr>
            <w:top w:val="none" w:sz="0" w:space="0" w:color="auto"/>
            <w:left w:val="none" w:sz="0" w:space="0" w:color="auto"/>
            <w:bottom w:val="none" w:sz="0" w:space="0" w:color="auto"/>
            <w:right w:val="none" w:sz="0" w:space="0" w:color="auto"/>
          </w:divBdr>
        </w:div>
      </w:divsChild>
    </w:div>
    <w:div w:id="196576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6CC8A0532B8C94DA5D9603AF3814BBD" ma:contentTypeVersion="19" ma:contentTypeDescription="Kurkite naują dokumentą." ma:contentTypeScope="" ma:versionID="65b727df589f082ebf37864a16289ee3">
  <xsd:schema xmlns:xsd="http://www.w3.org/2001/XMLSchema" xmlns:xs="http://www.w3.org/2001/XMLSchema" xmlns:p="http://schemas.microsoft.com/office/2006/metadata/properties" xmlns:ns2="a5ed4b36-8d0f-4ac7-9e63-bd011cec9e23" xmlns:ns3="0d3f8117-61b7-41ae-bdd6-28cff6356af4" targetNamespace="http://schemas.microsoft.com/office/2006/metadata/properties" ma:root="true" ma:fieldsID="b6cdbb2c0406279299e6fc80b325c5b9" ns2:_="" ns3:_="">
    <xsd:import namespace="a5ed4b36-8d0f-4ac7-9e63-bd011cec9e23"/>
    <xsd:import namespace="0d3f8117-61b7-41ae-bdd6-28cff6356a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d4b36-8d0f-4ac7-9e63-bd011cec9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3f8117-61b7-41ae-bdd6-28cff6356af4"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8d9b27bd-a913-4838-8ac4-d9e9b6d50e42}" ma:internalName="TaxCatchAll" ma:showField="CatchAllData" ma:web="0d3f8117-61b7-41ae-bdd6-28cff6356a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d3f8117-61b7-41ae-bdd6-28cff6356af4">
      <UserInfo>
        <DisplayName>Kęstutis Gramba</DisplayName>
        <AccountId>162</AccountId>
        <AccountType/>
      </UserInfo>
      <UserInfo>
        <DisplayName>Ana Krisiūnienė</DisplayName>
        <AccountId>59</AccountId>
        <AccountType/>
      </UserInfo>
      <UserInfo>
        <DisplayName>Arūnas Jurgelaitis</DisplayName>
        <AccountId>60</AccountId>
        <AccountType/>
      </UserInfo>
      <UserInfo>
        <DisplayName>Edita Kazakevičienė</DisplayName>
        <AccountId>171</AccountId>
        <AccountType/>
      </UserInfo>
    </SharedWithUsers>
    <TaxCatchAll xmlns="0d3f8117-61b7-41ae-bdd6-28cff6356af4" xsi:nil="true"/>
    <lcf76f155ced4ddcb4097134ff3c332f xmlns="a5ed4b36-8d0f-4ac7-9e63-bd011cec9e2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ADF6E7-24A4-44C0-90D0-CEA4524D3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d4b36-8d0f-4ac7-9e63-bd011cec9e23"/>
    <ds:schemaRef ds:uri="0d3f8117-61b7-41ae-bdd6-28cff6356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6899A7-ADC3-43DA-8ABD-F9D0C6C745CC}">
  <ds:schemaRefs>
    <ds:schemaRef ds:uri="http://schemas.microsoft.com/office/2006/metadata/properties"/>
    <ds:schemaRef ds:uri="http://schemas.microsoft.com/office/infopath/2007/PartnerControls"/>
    <ds:schemaRef ds:uri="0d3f8117-61b7-41ae-bdd6-28cff6356af4"/>
    <ds:schemaRef ds:uri="a5ed4b36-8d0f-4ac7-9e63-bd011cec9e23"/>
  </ds:schemaRefs>
</ds:datastoreItem>
</file>

<file path=customXml/itemProps3.xml><?xml version="1.0" encoding="utf-8"?>
<ds:datastoreItem xmlns:ds="http://schemas.openxmlformats.org/officeDocument/2006/customXml" ds:itemID="{6516D483-F533-43B5-95A6-A892D0B9620D}">
  <ds:schemaRefs>
    <ds:schemaRef ds:uri="http://schemas.openxmlformats.org/officeDocument/2006/bibliography"/>
  </ds:schemaRefs>
</ds:datastoreItem>
</file>

<file path=customXml/itemProps4.xml><?xml version="1.0" encoding="utf-8"?>
<ds:datastoreItem xmlns:ds="http://schemas.openxmlformats.org/officeDocument/2006/customXml" ds:itemID="{BA6EE474-9992-4669-A70F-7DB66113F5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4687</Words>
  <Characters>2672</Characters>
  <Application>Microsoft Office Word</Application>
  <DocSecurity>0</DocSecurity>
  <Lines>22</Lines>
  <Paragraphs>14</Paragraphs>
  <ScaleCrop>false</ScaleCrop>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Adverum</dc:creator>
  <cp:keywords/>
  <cp:lastModifiedBy>Matas Noreika</cp:lastModifiedBy>
  <cp:revision>15</cp:revision>
  <dcterms:created xsi:type="dcterms:W3CDTF">2025-08-08T12:10:00Z</dcterms:created>
  <dcterms:modified xsi:type="dcterms:W3CDTF">2025-08-08T12:21:00Z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2021-11-15T07:20:54Z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f146e647-1e1b-4d5c-8500-d75d46ed79fc</vt:lpwstr>
  </property>
  <property fmtid="{D5CDD505-2E9C-101B-9397-08002B2CF9AE}" pid="8" name="MSIP_Label_32ae7b5d-0aac-474b-ae2b-02c331ef2874_ContentBits">
    <vt:lpwstr>0</vt:lpwstr>
  </property>
  <property fmtid="{D5CDD505-2E9C-101B-9397-08002B2CF9AE}" pid="9" name="ContentTypeId">
    <vt:lpwstr>0x010100E6CC8A0532B8C94DA5D9603AF3814BBD</vt:lpwstr>
  </property>
  <property fmtid="{D5CDD505-2E9C-101B-9397-08002B2CF9AE}" pid="10" name="MediaServiceImageTags">
    <vt:lpwstr/>
  </property>
</Properties>
</file>