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4B4FF" w14:textId="77777777" w:rsidR="003E692D" w:rsidRPr="009C296D" w:rsidRDefault="003E692D" w:rsidP="0090406B">
      <w:pPr>
        <w:jc w:val="right"/>
        <w:rPr>
          <w:rFonts w:ascii="Nunito Sans" w:hAnsi="Nunito Sans" w:cs="Calibri"/>
          <w:sz w:val="22"/>
          <w:szCs w:val="22"/>
          <w:lang w:val="en-US"/>
        </w:rPr>
      </w:pPr>
      <w:r w:rsidRPr="009C296D">
        <w:rPr>
          <w:rFonts w:ascii="Nunito Sans" w:hAnsi="Nunito Sans" w:cs="Calibri"/>
          <w:sz w:val="22"/>
          <w:szCs w:val="22"/>
          <w:lang w:val="en-US"/>
        </w:rPr>
        <w:t>Press Release</w:t>
      </w:r>
      <w:r w:rsidRPr="009C296D">
        <w:rPr>
          <w:rFonts w:ascii="Nunito Sans" w:hAnsi="Nunito Sans" w:cs="Calibri"/>
          <w:sz w:val="22"/>
          <w:szCs w:val="22"/>
          <w:lang w:val="en-US"/>
        </w:rPr>
        <w:br/>
        <w:t>8 May 2026</w:t>
      </w:r>
    </w:p>
    <w:p w14:paraId="62507898" w14:textId="77777777" w:rsidR="003E692D" w:rsidRPr="009C296D" w:rsidRDefault="003E692D" w:rsidP="003E692D">
      <w:pPr>
        <w:jc w:val="both"/>
        <w:rPr>
          <w:rFonts w:ascii="Nunito Sans" w:hAnsi="Nunito Sans" w:cs="Calibri"/>
          <w:b/>
          <w:bCs/>
          <w:sz w:val="22"/>
          <w:szCs w:val="22"/>
          <w:lang w:val="en-US"/>
        </w:rPr>
      </w:pPr>
      <w:r w:rsidRPr="009C296D">
        <w:rPr>
          <w:rFonts w:ascii="Nunito Sans" w:hAnsi="Nunito Sans" w:cs="Calibri"/>
          <w:b/>
          <w:bCs/>
          <w:sz w:val="22"/>
          <w:szCs w:val="22"/>
          <w:lang w:val="en-US"/>
        </w:rPr>
        <w:t>Amber Grid’s revenue reached EUR 32.9 million in the first quarter, net profit grew nearly fourfold</w:t>
      </w:r>
    </w:p>
    <w:p w14:paraId="261CFD9D" w14:textId="77777777" w:rsidR="0090406B" w:rsidRPr="009C296D" w:rsidRDefault="0090406B" w:rsidP="003E692D">
      <w:pPr>
        <w:jc w:val="both"/>
        <w:rPr>
          <w:rFonts w:ascii="Nunito Sans" w:hAnsi="Nunito Sans" w:cs="Calibri"/>
          <w:b/>
          <w:bCs/>
          <w:sz w:val="22"/>
          <w:szCs w:val="22"/>
          <w:lang w:val="en-US"/>
        </w:rPr>
      </w:pPr>
    </w:p>
    <w:p w14:paraId="442F56E1" w14:textId="77777777"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 xml:space="preserve">The revenue of Lithuania’s gas transmission system operator Amber Grid reached EUR 32.9 million in the first quarter of 2026 – 58% more than in the same period last year, when it amounted to EUR 20.8 million. Net profit </w:t>
      </w:r>
      <w:proofErr w:type="spellStart"/>
      <w:r w:rsidRPr="009C296D">
        <w:rPr>
          <w:rFonts w:ascii="Nunito Sans" w:hAnsi="Nunito Sans" w:cs="Calibri"/>
          <w:sz w:val="22"/>
          <w:szCs w:val="22"/>
          <w:lang w:val="en-US"/>
        </w:rPr>
        <w:t>totalled</w:t>
      </w:r>
      <w:proofErr w:type="spellEnd"/>
      <w:r w:rsidRPr="009C296D">
        <w:rPr>
          <w:rFonts w:ascii="Nunito Sans" w:hAnsi="Nunito Sans" w:cs="Calibri"/>
          <w:sz w:val="22"/>
          <w:szCs w:val="22"/>
          <w:lang w:val="en-US"/>
        </w:rPr>
        <w:t xml:space="preserve"> EUR 15.8 million and was nearly four times higher than in the first quarter of 2025, when it reached EUR 4.2 million.</w:t>
      </w:r>
    </w:p>
    <w:p w14:paraId="6C3345E3" w14:textId="77777777" w:rsidR="0090406B" w:rsidRPr="009C296D" w:rsidRDefault="0090406B" w:rsidP="003E692D">
      <w:pPr>
        <w:jc w:val="both"/>
        <w:rPr>
          <w:rFonts w:ascii="Nunito Sans" w:hAnsi="Nunito Sans" w:cs="Calibri"/>
          <w:sz w:val="22"/>
          <w:szCs w:val="22"/>
          <w:lang w:val="en-US"/>
        </w:rPr>
      </w:pPr>
    </w:p>
    <w:p w14:paraId="6724D2A6" w14:textId="77777777"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“In the first quarter of this year, gas transmission increased both in Lithuania and across the region. This growth was mainly driven by a prolonged and colder-than-usual winter, which significantly increased gas demand for heat and energy production. Higher transmission volumes resulted in significantly improved financial performance. Revenue, EBITDA and profit indicators all increased. This shows that the company is effectively leveraging market conditions and ensuring a stable return on regulated activities,” says Amber Grid’s Chief Financial Officer Gytis Fominas.</w:t>
      </w:r>
    </w:p>
    <w:p w14:paraId="2CB9FC8F" w14:textId="77777777" w:rsidR="0090406B" w:rsidRPr="009C296D" w:rsidRDefault="0090406B" w:rsidP="003E692D">
      <w:pPr>
        <w:jc w:val="both"/>
        <w:rPr>
          <w:rFonts w:ascii="Nunito Sans" w:hAnsi="Nunito Sans" w:cs="Calibri"/>
          <w:sz w:val="22"/>
          <w:szCs w:val="22"/>
          <w:lang w:val="en-US"/>
        </w:rPr>
      </w:pPr>
    </w:p>
    <w:p w14:paraId="0AB20D24" w14:textId="77777777"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 xml:space="preserve">The company’s EBITDA (earnings before interest, taxes, depreciation and </w:t>
      </w:r>
      <w:proofErr w:type="spellStart"/>
      <w:r w:rsidRPr="009C296D">
        <w:rPr>
          <w:rFonts w:ascii="Nunito Sans" w:hAnsi="Nunito Sans" w:cs="Calibri"/>
          <w:sz w:val="22"/>
          <w:szCs w:val="22"/>
          <w:lang w:val="en-US"/>
        </w:rPr>
        <w:t>amortisation</w:t>
      </w:r>
      <w:proofErr w:type="spellEnd"/>
      <w:r w:rsidRPr="009C296D">
        <w:rPr>
          <w:rFonts w:ascii="Nunito Sans" w:hAnsi="Nunito Sans" w:cs="Calibri"/>
          <w:sz w:val="22"/>
          <w:szCs w:val="22"/>
          <w:lang w:val="en-US"/>
        </w:rPr>
        <w:t>) reached EUR 23.3 million in the first quarter of this year, more than three times higher than in the same period of 2025, when it amounted to EUR 8.9 million. The average return on equity (ROE) for the last 12 months stood at 7.1% as of 31 March 2026 (4.6% as of 31 March 2025).</w:t>
      </w:r>
    </w:p>
    <w:p w14:paraId="7EC9F5AE" w14:textId="77777777" w:rsidR="0090406B" w:rsidRPr="009C296D" w:rsidRDefault="0090406B" w:rsidP="003E692D">
      <w:pPr>
        <w:jc w:val="both"/>
        <w:rPr>
          <w:rFonts w:ascii="Nunito Sans" w:hAnsi="Nunito Sans" w:cs="Calibri"/>
          <w:sz w:val="22"/>
          <w:szCs w:val="22"/>
          <w:lang w:val="en-US"/>
        </w:rPr>
      </w:pPr>
    </w:p>
    <w:p w14:paraId="6BAEC198" w14:textId="77777777"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 xml:space="preserve">The company’s adjusted financial indicators, which eliminate the impact of temporary regulatory deviations, one-off transactions and other non-recurring gains or losses, remained stable: adjusted net profit amounted to EUR 3.2 million (EUR 3.8 million in Q1 2025), while adjusted EBITDA </w:t>
      </w:r>
      <w:proofErr w:type="spellStart"/>
      <w:r w:rsidRPr="009C296D">
        <w:rPr>
          <w:rFonts w:ascii="Nunito Sans" w:hAnsi="Nunito Sans" w:cs="Calibri"/>
          <w:sz w:val="22"/>
          <w:szCs w:val="22"/>
          <w:lang w:val="en-US"/>
        </w:rPr>
        <w:t>totalled</w:t>
      </w:r>
      <w:proofErr w:type="spellEnd"/>
      <w:r w:rsidRPr="009C296D">
        <w:rPr>
          <w:rFonts w:ascii="Nunito Sans" w:hAnsi="Nunito Sans" w:cs="Calibri"/>
          <w:sz w:val="22"/>
          <w:szCs w:val="22"/>
          <w:lang w:val="en-US"/>
        </w:rPr>
        <w:t xml:space="preserve"> EUR 8.3 million, the same as a year earlier.</w:t>
      </w:r>
    </w:p>
    <w:p w14:paraId="057C99DD" w14:textId="77777777" w:rsidR="0090406B" w:rsidRPr="009C296D" w:rsidRDefault="0090406B" w:rsidP="003E692D">
      <w:pPr>
        <w:jc w:val="both"/>
        <w:rPr>
          <w:rFonts w:ascii="Nunito Sans" w:hAnsi="Nunito Sans" w:cs="Calibri"/>
          <w:sz w:val="22"/>
          <w:szCs w:val="22"/>
          <w:lang w:val="en-US"/>
        </w:rPr>
      </w:pPr>
    </w:p>
    <w:p w14:paraId="2A45C1CE" w14:textId="1F1D8FF4"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 xml:space="preserve">During the reporting period, the company recorded EUR 1.47 million in natural gas expenses (EUR 4.6 million in Q1 2025). The positive change was driven by a reduced need for balancing gas, influenced by the new transit agreement to Kaliningrad. </w:t>
      </w:r>
    </w:p>
    <w:p w14:paraId="11A69AAE" w14:textId="77777777" w:rsidR="0090406B" w:rsidRPr="009C296D" w:rsidRDefault="0090406B" w:rsidP="003E692D">
      <w:pPr>
        <w:jc w:val="both"/>
        <w:rPr>
          <w:rFonts w:ascii="Nunito Sans" w:hAnsi="Nunito Sans" w:cs="Calibri"/>
          <w:sz w:val="22"/>
          <w:szCs w:val="22"/>
          <w:lang w:val="en-US"/>
        </w:rPr>
      </w:pPr>
    </w:p>
    <w:p w14:paraId="5128D0BB" w14:textId="77777777" w:rsidR="003E692D" w:rsidRPr="009C296D" w:rsidRDefault="003E692D" w:rsidP="003E692D">
      <w:pPr>
        <w:jc w:val="both"/>
        <w:rPr>
          <w:rFonts w:ascii="Nunito Sans" w:hAnsi="Nunito Sans" w:cs="Calibri"/>
          <w:b/>
          <w:bCs/>
          <w:sz w:val="22"/>
          <w:szCs w:val="22"/>
          <w:lang w:val="en-US"/>
        </w:rPr>
      </w:pPr>
      <w:r w:rsidRPr="009C296D">
        <w:rPr>
          <w:rFonts w:ascii="Nunito Sans" w:hAnsi="Nunito Sans" w:cs="Calibri"/>
          <w:b/>
          <w:bCs/>
          <w:sz w:val="22"/>
          <w:szCs w:val="22"/>
          <w:lang w:val="en-US"/>
        </w:rPr>
        <w:t>Transmission volumes</w:t>
      </w:r>
    </w:p>
    <w:p w14:paraId="5774C5E9" w14:textId="77777777" w:rsidR="0090406B" w:rsidRPr="009C296D" w:rsidRDefault="0090406B" w:rsidP="003E692D">
      <w:pPr>
        <w:jc w:val="both"/>
        <w:rPr>
          <w:rFonts w:ascii="Nunito Sans" w:hAnsi="Nunito Sans" w:cs="Calibri"/>
          <w:sz w:val="22"/>
          <w:szCs w:val="22"/>
          <w:lang w:val="en-US"/>
        </w:rPr>
      </w:pPr>
    </w:p>
    <w:p w14:paraId="25DC680F" w14:textId="77777777"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In Q1 2026, Lithuania consumed 6.77 terawatt-hours (TWh) of natural gas, 19% more than in the same period last year (5.67 TWh). The main reason for this growth was the prolonged and colder-than-usual winter, which significantly increased gas demand for heat and energy production.</w:t>
      </w:r>
    </w:p>
    <w:p w14:paraId="580DEFE5" w14:textId="77777777" w:rsidR="0090406B" w:rsidRPr="009C296D" w:rsidRDefault="0090406B" w:rsidP="003E692D">
      <w:pPr>
        <w:jc w:val="both"/>
        <w:rPr>
          <w:rFonts w:ascii="Nunito Sans" w:hAnsi="Nunito Sans" w:cs="Calibri"/>
          <w:sz w:val="22"/>
          <w:szCs w:val="22"/>
          <w:lang w:val="en-US"/>
        </w:rPr>
      </w:pPr>
    </w:p>
    <w:p w14:paraId="1390BDED" w14:textId="77777777"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Revenue from gas transmission activities increased to EUR 32.7 million (EUR 16.3 million in Q1 2025). At the beginning of this year, gas transmission to other EU countries and Ukraine grew by 88% compared to the same period last year, reaching 5.66 TWh (3.01 TWh last year).</w:t>
      </w:r>
    </w:p>
    <w:p w14:paraId="32D2E299" w14:textId="77777777"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 xml:space="preserve">Gas transmission from Lithuania to Poland via the </w:t>
      </w:r>
      <w:proofErr w:type="spellStart"/>
      <w:r w:rsidRPr="009C296D">
        <w:rPr>
          <w:rFonts w:ascii="Nunito Sans" w:hAnsi="Nunito Sans" w:cs="Calibri"/>
          <w:sz w:val="22"/>
          <w:szCs w:val="22"/>
          <w:lang w:val="en-US"/>
        </w:rPr>
        <w:t>Santaka</w:t>
      </w:r>
      <w:proofErr w:type="spellEnd"/>
      <w:r w:rsidRPr="009C296D">
        <w:rPr>
          <w:rFonts w:ascii="Nunito Sans" w:hAnsi="Nunito Sans" w:cs="Calibri"/>
          <w:sz w:val="22"/>
          <w:szCs w:val="22"/>
          <w:lang w:val="en-US"/>
        </w:rPr>
        <w:t xml:space="preserve"> gas metering station increased 2.5 times in the first quarter – to 1.47 TWh, compared to 0.57 TWh in the same period last </w:t>
      </w:r>
      <w:r w:rsidRPr="009C296D">
        <w:rPr>
          <w:rFonts w:ascii="Nunito Sans" w:hAnsi="Nunito Sans" w:cs="Calibri"/>
          <w:sz w:val="22"/>
          <w:szCs w:val="22"/>
          <w:lang w:val="en-US"/>
        </w:rPr>
        <w:lastRenderedPageBreak/>
        <w:t>year. Lithuania’s pipelines in the direction of Poland became a particularly important route for gas deliveries to Ukraine.</w:t>
      </w:r>
    </w:p>
    <w:p w14:paraId="31BB4560" w14:textId="77777777" w:rsidR="0090406B" w:rsidRPr="009C296D" w:rsidRDefault="0090406B" w:rsidP="003E692D">
      <w:pPr>
        <w:jc w:val="both"/>
        <w:rPr>
          <w:rFonts w:ascii="Nunito Sans" w:hAnsi="Nunito Sans" w:cs="Calibri"/>
          <w:sz w:val="22"/>
          <w:szCs w:val="22"/>
          <w:lang w:val="en-US"/>
        </w:rPr>
      </w:pPr>
    </w:p>
    <w:p w14:paraId="5F4BD595" w14:textId="77777777"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Meanwhile, gas flows from Poland to Lithuania jumped 33-fold in the first quarter – from 56 GWh to 1.85 TWh. Gas transmission from Poland to Lithuania helped ensure reliable gas supply across the region during the extremely cold winter.</w:t>
      </w:r>
    </w:p>
    <w:p w14:paraId="5A3806D9" w14:textId="77777777" w:rsidR="0090406B" w:rsidRPr="009C296D" w:rsidRDefault="0090406B" w:rsidP="003E692D">
      <w:pPr>
        <w:jc w:val="both"/>
        <w:rPr>
          <w:rFonts w:ascii="Nunito Sans" w:hAnsi="Nunito Sans" w:cs="Calibri"/>
          <w:sz w:val="22"/>
          <w:szCs w:val="22"/>
          <w:lang w:val="en-US"/>
        </w:rPr>
      </w:pPr>
    </w:p>
    <w:p w14:paraId="7B4D9256" w14:textId="77777777"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 xml:space="preserve">The largest gas volume (4.19 TWh) was transmitted through the </w:t>
      </w:r>
      <w:proofErr w:type="spellStart"/>
      <w:r w:rsidRPr="009C296D">
        <w:rPr>
          <w:rFonts w:ascii="Nunito Sans" w:hAnsi="Nunito Sans" w:cs="Calibri"/>
          <w:sz w:val="22"/>
          <w:szCs w:val="22"/>
          <w:lang w:val="en-US"/>
        </w:rPr>
        <w:t>Kiemėnai</w:t>
      </w:r>
      <w:proofErr w:type="spellEnd"/>
      <w:r w:rsidRPr="009C296D">
        <w:rPr>
          <w:rFonts w:ascii="Nunito Sans" w:hAnsi="Nunito Sans" w:cs="Calibri"/>
          <w:sz w:val="22"/>
          <w:szCs w:val="22"/>
          <w:lang w:val="en-US"/>
        </w:rPr>
        <w:t xml:space="preserve"> interconnection to Latvia. This is 72% more than in Q1 2025, when 2.44 TWh was transmitted in this direction.</w:t>
      </w:r>
    </w:p>
    <w:p w14:paraId="03D3A7E2" w14:textId="77777777" w:rsidR="0090406B" w:rsidRPr="009C296D" w:rsidRDefault="0090406B" w:rsidP="003E692D">
      <w:pPr>
        <w:jc w:val="both"/>
        <w:rPr>
          <w:rFonts w:ascii="Nunito Sans" w:hAnsi="Nunito Sans" w:cs="Calibri"/>
          <w:sz w:val="22"/>
          <w:szCs w:val="22"/>
          <w:lang w:val="en-US"/>
        </w:rPr>
      </w:pPr>
    </w:p>
    <w:p w14:paraId="69F3EBF2" w14:textId="77777777"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 xml:space="preserve">From the </w:t>
      </w:r>
      <w:proofErr w:type="spellStart"/>
      <w:r w:rsidRPr="009C296D">
        <w:rPr>
          <w:rFonts w:ascii="Nunito Sans" w:hAnsi="Nunito Sans" w:cs="Calibri"/>
          <w:sz w:val="22"/>
          <w:szCs w:val="22"/>
          <w:lang w:val="en-US"/>
        </w:rPr>
        <w:t>Klaipėda</w:t>
      </w:r>
      <w:proofErr w:type="spellEnd"/>
      <w:r w:rsidRPr="009C296D">
        <w:rPr>
          <w:rFonts w:ascii="Nunito Sans" w:hAnsi="Nunito Sans" w:cs="Calibri"/>
          <w:sz w:val="22"/>
          <w:szCs w:val="22"/>
          <w:lang w:val="en-US"/>
        </w:rPr>
        <w:t xml:space="preserve"> LNG terminal, 10.16 TWh of gas was injected into the system during the first three months of this year – 37% more than in the same period last year (7.4 TWh).</w:t>
      </w:r>
    </w:p>
    <w:p w14:paraId="4DAF82BF" w14:textId="77777777" w:rsidR="003E692D" w:rsidRPr="009C296D" w:rsidRDefault="003E692D" w:rsidP="003E692D">
      <w:pPr>
        <w:jc w:val="both"/>
        <w:rPr>
          <w:rFonts w:ascii="Nunito Sans" w:hAnsi="Nunito Sans" w:cs="Calibri"/>
          <w:sz w:val="22"/>
          <w:szCs w:val="22"/>
          <w:lang w:val="en-US"/>
        </w:rPr>
      </w:pPr>
      <w:r w:rsidRPr="009C296D">
        <w:rPr>
          <w:rFonts w:ascii="Nunito Sans" w:hAnsi="Nunito Sans" w:cs="Calibri"/>
          <w:sz w:val="22"/>
          <w:szCs w:val="22"/>
          <w:lang w:val="en-US"/>
        </w:rPr>
        <w:t>In the first quarter of 2026, 107 GWh of biomethane was also injected into the system – 2.8 times more than in the same period last year (38 GWh).</w:t>
      </w:r>
    </w:p>
    <w:p w14:paraId="68ADB613" w14:textId="77777777" w:rsidR="0090406B" w:rsidRPr="009C296D" w:rsidRDefault="0090406B" w:rsidP="003E692D">
      <w:pPr>
        <w:jc w:val="both"/>
        <w:rPr>
          <w:rFonts w:ascii="Nunito Sans" w:hAnsi="Nunito Sans" w:cs="Calibri"/>
          <w:sz w:val="22"/>
          <w:szCs w:val="22"/>
          <w:lang w:val="en-US"/>
        </w:rPr>
      </w:pPr>
    </w:p>
    <w:p w14:paraId="6137BF70" w14:textId="77777777" w:rsidR="003E692D" w:rsidRPr="009C296D" w:rsidRDefault="003E692D" w:rsidP="003E692D">
      <w:pPr>
        <w:jc w:val="both"/>
        <w:rPr>
          <w:rFonts w:ascii="Nunito Sans" w:hAnsi="Nunito Sans" w:cs="Calibri"/>
          <w:i/>
          <w:iCs/>
          <w:sz w:val="22"/>
          <w:szCs w:val="22"/>
          <w:lang w:val="en-US"/>
        </w:rPr>
      </w:pPr>
      <w:r w:rsidRPr="009C296D">
        <w:rPr>
          <w:rFonts w:ascii="Nunito Sans" w:hAnsi="Nunito Sans" w:cs="Calibri"/>
          <w:i/>
          <w:iCs/>
          <w:sz w:val="22"/>
          <w:szCs w:val="22"/>
          <w:lang w:val="en-US"/>
        </w:rPr>
        <w:t>AB Amber Grid is Lithuania’s gas transmission system operator and a member of the EPSO-G group of companies. The company operates a 2,288 km high-pressure gas pipeline network across Lithuania. It also manages more than 60 gas distribution and metering stations and two gas compressor stations.</w:t>
      </w:r>
    </w:p>
    <w:p w14:paraId="55BBFA1E" w14:textId="77777777" w:rsidR="0090406B" w:rsidRPr="009C296D" w:rsidRDefault="0090406B" w:rsidP="003E692D">
      <w:pPr>
        <w:jc w:val="both"/>
        <w:rPr>
          <w:rFonts w:ascii="Nunito Sans" w:hAnsi="Nunito Sans" w:cs="Calibri"/>
          <w:i/>
          <w:iCs/>
          <w:sz w:val="22"/>
          <w:szCs w:val="22"/>
          <w:lang w:val="en-US"/>
        </w:rPr>
      </w:pPr>
    </w:p>
    <w:p w14:paraId="32B814AA" w14:textId="77777777" w:rsidR="003E692D" w:rsidRPr="009C296D" w:rsidRDefault="003E692D" w:rsidP="003E692D">
      <w:pPr>
        <w:jc w:val="both"/>
        <w:rPr>
          <w:rFonts w:ascii="Nunito Sans" w:hAnsi="Nunito Sans" w:cs="Calibri"/>
          <w:i/>
          <w:iCs/>
          <w:sz w:val="22"/>
          <w:szCs w:val="22"/>
          <w:lang w:val="en-US"/>
        </w:rPr>
      </w:pPr>
      <w:r w:rsidRPr="009C296D">
        <w:rPr>
          <w:rFonts w:ascii="Nunito Sans" w:hAnsi="Nunito Sans" w:cs="Calibri"/>
          <w:i/>
          <w:iCs/>
          <w:sz w:val="22"/>
          <w:szCs w:val="22"/>
          <w:lang w:val="en-US"/>
        </w:rPr>
        <w:t xml:space="preserve">Amber Grid’s system is interconnected with the gas transmission systems of four </w:t>
      </w:r>
      <w:proofErr w:type="spellStart"/>
      <w:r w:rsidRPr="009C296D">
        <w:rPr>
          <w:rFonts w:ascii="Nunito Sans" w:hAnsi="Nunito Sans" w:cs="Calibri"/>
          <w:i/>
          <w:iCs/>
          <w:sz w:val="22"/>
          <w:szCs w:val="22"/>
          <w:lang w:val="en-US"/>
        </w:rPr>
        <w:t>neighbouring</w:t>
      </w:r>
      <w:proofErr w:type="spellEnd"/>
      <w:r w:rsidRPr="009C296D">
        <w:rPr>
          <w:rFonts w:ascii="Nunito Sans" w:hAnsi="Nunito Sans" w:cs="Calibri"/>
          <w:i/>
          <w:iCs/>
          <w:sz w:val="22"/>
          <w:szCs w:val="22"/>
          <w:lang w:val="en-US"/>
        </w:rPr>
        <w:t xml:space="preserve"> countries and with the </w:t>
      </w:r>
      <w:proofErr w:type="spellStart"/>
      <w:r w:rsidRPr="009C296D">
        <w:rPr>
          <w:rFonts w:ascii="Nunito Sans" w:hAnsi="Nunito Sans" w:cs="Calibri"/>
          <w:i/>
          <w:iCs/>
          <w:sz w:val="22"/>
          <w:szCs w:val="22"/>
          <w:lang w:val="en-US"/>
        </w:rPr>
        <w:t>Klaipėda</w:t>
      </w:r>
      <w:proofErr w:type="spellEnd"/>
      <w:r w:rsidRPr="009C296D">
        <w:rPr>
          <w:rFonts w:ascii="Nunito Sans" w:hAnsi="Nunito Sans" w:cs="Calibri"/>
          <w:i/>
          <w:iCs/>
          <w:sz w:val="22"/>
          <w:szCs w:val="22"/>
          <w:lang w:val="en-US"/>
        </w:rPr>
        <w:t xml:space="preserve"> LNG terminal. Amber Grid shares are listed on the Baltic Secondary List of the NASDAQ Vilnius Stock Exchange. The company’s main shareholder is EPSO-G, whose shares are 100% owned by the Ministry of Energy of the Republic of Lithuania.</w:t>
      </w:r>
    </w:p>
    <w:p w14:paraId="69C7E4A3" w14:textId="77777777" w:rsidR="00BF0B88" w:rsidRPr="009C296D" w:rsidRDefault="00BF0B88" w:rsidP="004927B5">
      <w:pPr>
        <w:jc w:val="both"/>
        <w:rPr>
          <w:rFonts w:ascii="Nunito Sans" w:hAnsi="Nunito Sans"/>
          <w:i/>
          <w:iCs/>
          <w:lang w:val="en-US"/>
        </w:rPr>
      </w:pPr>
    </w:p>
    <w:sectPr w:rsidR="00BF0B88" w:rsidRPr="009C296D">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AA53E" w14:textId="77777777" w:rsidR="00455F5B" w:rsidRDefault="00455F5B" w:rsidP="00B46AC1">
      <w:r>
        <w:separator/>
      </w:r>
    </w:p>
  </w:endnote>
  <w:endnote w:type="continuationSeparator" w:id="0">
    <w:p w14:paraId="320CE70F" w14:textId="77777777" w:rsidR="00455F5B" w:rsidRDefault="00455F5B" w:rsidP="00B46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Nunito Sans">
    <w:altName w:val="Calibri"/>
    <w:charset w:val="BA"/>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EADD" w14:textId="4D6E6594" w:rsidR="007437E5" w:rsidRDefault="007437E5">
    <w:pPr>
      <w:pStyle w:val="Footer"/>
    </w:pPr>
    <w:r>
      <w:rPr>
        <w:noProof/>
      </w:rPr>
      <w:drawing>
        <wp:inline distT="0" distB="0" distL="0" distR="0" wp14:anchorId="1F3BB9E1" wp14:editId="137A5DCA">
          <wp:extent cx="5731510" cy="200097"/>
          <wp:effectExtent l="0" t="0" r="2540" b="9525"/>
          <wp:docPr id="446806934" name="Graphic 10">
            <a:extLst xmlns:a="http://schemas.openxmlformats.org/drawingml/2006/main">
              <a:ext uri="{FF2B5EF4-FFF2-40B4-BE49-F238E27FC236}">
                <a16:creationId xmlns:a16="http://schemas.microsoft.com/office/drawing/2014/main" id="{B65AB2FF-E9F4-4C2F-AA85-BE72A29937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5731510" cy="2000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7E910" w14:textId="77777777" w:rsidR="00455F5B" w:rsidRDefault="00455F5B" w:rsidP="00B46AC1">
      <w:r>
        <w:separator/>
      </w:r>
    </w:p>
  </w:footnote>
  <w:footnote w:type="continuationSeparator" w:id="0">
    <w:p w14:paraId="315D7150" w14:textId="77777777" w:rsidR="00455F5B" w:rsidRDefault="00455F5B" w:rsidP="00B46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9AC9" w14:textId="1267DFB5" w:rsidR="00B46AC1" w:rsidRDefault="00B46AC1">
    <w:pPr>
      <w:pStyle w:val="Header"/>
    </w:pPr>
    <w:r>
      <w:rPr>
        <w:noProof/>
      </w:rPr>
      <w:drawing>
        <wp:inline distT="0" distB="0" distL="0" distR="0" wp14:anchorId="35FDDF86" wp14:editId="6774D711">
          <wp:extent cx="895350" cy="284884"/>
          <wp:effectExtent l="0" t="0" r="0" b="0"/>
          <wp:docPr id="2064413739" name="Graphic 1">
            <a:extLst xmlns:a="http://schemas.openxmlformats.org/drawingml/2006/main">
              <a:ext uri="{FF2B5EF4-FFF2-40B4-BE49-F238E27FC236}">
                <a16:creationId xmlns:a16="http://schemas.microsoft.com/office/drawing/2014/main" id="{92415567-4BF1-4830-86D4-D51EB90E57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75044" name="Graphic 1412275044"/>
                  <pic:cNvPicPr/>
                </pic:nvPicPr>
                <pic:blipFill>
                  <a:blip r:embed="rId1">
                    <a:extLst>
                      <a:ext uri="{96DAC541-7B7A-43D3-8B79-37D633B846F1}">
                        <asvg:svgBlip xmlns:asvg="http://schemas.microsoft.com/office/drawing/2016/SVG/main" r:embed="rId2"/>
                      </a:ext>
                    </a:extLst>
                  </a:blip>
                  <a:stretch>
                    <a:fillRect/>
                  </a:stretch>
                </pic:blipFill>
                <pic:spPr>
                  <a:xfrm>
                    <a:off x="0" y="0"/>
                    <a:ext cx="971682" cy="3091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FE"/>
    <w:rsid w:val="00025B31"/>
    <w:rsid w:val="000470BD"/>
    <w:rsid w:val="00062E27"/>
    <w:rsid w:val="00071270"/>
    <w:rsid w:val="000751ED"/>
    <w:rsid w:val="000807A6"/>
    <w:rsid w:val="0008405B"/>
    <w:rsid w:val="00085E28"/>
    <w:rsid w:val="000861B2"/>
    <w:rsid w:val="000911F1"/>
    <w:rsid w:val="0009360E"/>
    <w:rsid w:val="00096AE4"/>
    <w:rsid w:val="000A0799"/>
    <w:rsid w:val="000A40C6"/>
    <w:rsid w:val="000C6190"/>
    <w:rsid w:val="000D2749"/>
    <w:rsid w:val="000F07C7"/>
    <w:rsid w:val="000F397B"/>
    <w:rsid w:val="0010164A"/>
    <w:rsid w:val="0011657D"/>
    <w:rsid w:val="0012286D"/>
    <w:rsid w:val="00127CF1"/>
    <w:rsid w:val="00150077"/>
    <w:rsid w:val="0016177F"/>
    <w:rsid w:val="001625A5"/>
    <w:rsid w:val="001636E5"/>
    <w:rsid w:val="00167A51"/>
    <w:rsid w:val="00183158"/>
    <w:rsid w:val="00185F62"/>
    <w:rsid w:val="001865F6"/>
    <w:rsid w:val="00190D98"/>
    <w:rsid w:val="001A4890"/>
    <w:rsid w:val="001B2A55"/>
    <w:rsid w:val="001B3F77"/>
    <w:rsid w:val="001C6F07"/>
    <w:rsid w:val="001D1145"/>
    <w:rsid w:val="001D3BBF"/>
    <w:rsid w:val="001E2C31"/>
    <w:rsid w:val="001F13CE"/>
    <w:rsid w:val="00201E05"/>
    <w:rsid w:val="002023B0"/>
    <w:rsid w:val="00207D08"/>
    <w:rsid w:val="002106F4"/>
    <w:rsid w:val="00210C7A"/>
    <w:rsid w:val="0022220D"/>
    <w:rsid w:val="0023068E"/>
    <w:rsid w:val="00233AFE"/>
    <w:rsid w:val="00253ABE"/>
    <w:rsid w:val="00254E33"/>
    <w:rsid w:val="002557BC"/>
    <w:rsid w:val="00263F50"/>
    <w:rsid w:val="00270706"/>
    <w:rsid w:val="00270A60"/>
    <w:rsid w:val="0027777D"/>
    <w:rsid w:val="002835B1"/>
    <w:rsid w:val="002A04D8"/>
    <w:rsid w:val="002A2C1F"/>
    <w:rsid w:val="002B7114"/>
    <w:rsid w:val="002B7894"/>
    <w:rsid w:val="002C2094"/>
    <w:rsid w:val="002E5CFE"/>
    <w:rsid w:val="002F282B"/>
    <w:rsid w:val="00300B2E"/>
    <w:rsid w:val="00303433"/>
    <w:rsid w:val="00321CC4"/>
    <w:rsid w:val="00340D7D"/>
    <w:rsid w:val="0034563B"/>
    <w:rsid w:val="00346E9A"/>
    <w:rsid w:val="00351639"/>
    <w:rsid w:val="003538B1"/>
    <w:rsid w:val="00377F91"/>
    <w:rsid w:val="0038230C"/>
    <w:rsid w:val="00391D92"/>
    <w:rsid w:val="00393491"/>
    <w:rsid w:val="003B0656"/>
    <w:rsid w:val="003D4C99"/>
    <w:rsid w:val="003E4220"/>
    <w:rsid w:val="003E4DBB"/>
    <w:rsid w:val="003E692D"/>
    <w:rsid w:val="003F7593"/>
    <w:rsid w:val="00402271"/>
    <w:rsid w:val="00406244"/>
    <w:rsid w:val="004129E4"/>
    <w:rsid w:val="004147E2"/>
    <w:rsid w:val="0041755F"/>
    <w:rsid w:val="0042782C"/>
    <w:rsid w:val="00455F5B"/>
    <w:rsid w:val="00460FFB"/>
    <w:rsid w:val="00461DF1"/>
    <w:rsid w:val="00467D59"/>
    <w:rsid w:val="00467E6F"/>
    <w:rsid w:val="004822EF"/>
    <w:rsid w:val="00484A50"/>
    <w:rsid w:val="00485EF5"/>
    <w:rsid w:val="00486430"/>
    <w:rsid w:val="004927B5"/>
    <w:rsid w:val="00494124"/>
    <w:rsid w:val="00494E9F"/>
    <w:rsid w:val="00495C01"/>
    <w:rsid w:val="004967A6"/>
    <w:rsid w:val="00497678"/>
    <w:rsid w:val="004D360C"/>
    <w:rsid w:val="004D77EA"/>
    <w:rsid w:val="004D7DB2"/>
    <w:rsid w:val="004E02AA"/>
    <w:rsid w:val="004E5F12"/>
    <w:rsid w:val="004F2153"/>
    <w:rsid w:val="00504767"/>
    <w:rsid w:val="0052544F"/>
    <w:rsid w:val="005310E5"/>
    <w:rsid w:val="005311F9"/>
    <w:rsid w:val="005342FC"/>
    <w:rsid w:val="005372AA"/>
    <w:rsid w:val="005378FE"/>
    <w:rsid w:val="0054076D"/>
    <w:rsid w:val="0054639C"/>
    <w:rsid w:val="00551B9F"/>
    <w:rsid w:val="0055338B"/>
    <w:rsid w:val="00553F35"/>
    <w:rsid w:val="00562F8B"/>
    <w:rsid w:val="0058040F"/>
    <w:rsid w:val="00580D02"/>
    <w:rsid w:val="00581558"/>
    <w:rsid w:val="00595CC1"/>
    <w:rsid w:val="005B0C09"/>
    <w:rsid w:val="005B586A"/>
    <w:rsid w:val="005C6A65"/>
    <w:rsid w:val="005D46CC"/>
    <w:rsid w:val="005E206B"/>
    <w:rsid w:val="00602B9C"/>
    <w:rsid w:val="00614FE4"/>
    <w:rsid w:val="00630087"/>
    <w:rsid w:val="0063381C"/>
    <w:rsid w:val="0063792C"/>
    <w:rsid w:val="00647CA5"/>
    <w:rsid w:val="00660B05"/>
    <w:rsid w:val="00664C33"/>
    <w:rsid w:val="00665039"/>
    <w:rsid w:val="00672A9C"/>
    <w:rsid w:val="00697DB6"/>
    <w:rsid w:val="006A23B0"/>
    <w:rsid w:val="006A4D1D"/>
    <w:rsid w:val="006C5BC5"/>
    <w:rsid w:val="006C6133"/>
    <w:rsid w:val="006D1595"/>
    <w:rsid w:val="007001B0"/>
    <w:rsid w:val="007018E8"/>
    <w:rsid w:val="00712EF9"/>
    <w:rsid w:val="00720226"/>
    <w:rsid w:val="00723C5E"/>
    <w:rsid w:val="00725437"/>
    <w:rsid w:val="00740C46"/>
    <w:rsid w:val="007437E5"/>
    <w:rsid w:val="00743C14"/>
    <w:rsid w:val="00746EC9"/>
    <w:rsid w:val="0077274D"/>
    <w:rsid w:val="00780846"/>
    <w:rsid w:val="007A0907"/>
    <w:rsid w:val="007B7BBC"/>
    <w:rsid w:val="007C05BA"/>
    <w:rsid w:val="007D6ACC"/>
    <w:rsid w:val="007E3A3E"/>
    <w:rsid w:val="007E56A1"/>
    <w:rsid w:val="007F18E4"/>
    <w:rsid w:val="007F7B85"/>
    <w:rsid w:val="00814CE0"/>
    <w:rsid w:val="00825B92"/>
    <w:rsid w:val="00830B74"/>
    <w:rsid w:val="00845C16"/>
    <w:rsid w:val="0084746F"/>
    <w:rsid w:val="008518E3"/>
    <w:rsid w:val="00853068"/>
    <w:rsid w:val="00880770"/>
    <w:rsid w:val="008930A5"/>
    <w:rsid w:val="00894F84"/>
    <w:rsid w:val="008A2B27"/>
    <w:rsid w:val="008A557A"/>
    <w:rsid w:val="008B00B6"/>
    <w:rsid w:val="008B7454"/>
    <w:rsid w:val="008C423B"/>
    <w:rsid w:val="008D2E3C"/>
    <w:rsid w:val="008D3258"/>
    <w:rsid w:val="008D53DD"/>
    <w:rsid w:val="008E008A"/>
    <w:rsid w:val="008F3215"/>
    <w:rsid w:val="008F4706"/>
    <w:rsid w:val="0090406B"/>
    <w:rsid w:val="00911A07"/>
    <w:rsid w:val="00922E5C"/>
    <w:rsid w:val="00927E3C"/>
    <w:rsid w:val="009304C2"/>
    <w:rsid w:val="00934646"/>
    <w:rsid w:val="009347F6"/>
    <w:rsid w:val="00943171"/>
    <w:rsid w:val="00952AC1"/>
    <w:rsid w:val="00954E7D"/>
    <w:rsid w:val="009644F0"/>
    <w:rsid w:val="00965DE3"/>
    <w:rsid w:val="00971B3E"/>
    <w:rsid w:val="00977649"/>
    <w:rsid w:val="009811CF"/>
    <w:rsid w:val="0099252B"/>
    <w:rsid w:val="00993175"/>
    <w:rsid w:val="009B1DDB"/>
    <w:rsid w:val="009C13F4"/>
    <w:rsid w:val="009C296D"/>
    <w:rsid w:val="009C6F28"/>
    <w:rsid w:val="009C7E13"/>
    <w:rsid w:val="009D17FE"/>
    <w:rsid w:val="009D72F0"/>
    <w:rsid w:val="009F3876"/>
    <w:rsid w:val="009F6DA7"/>
    <w:rsid w:val="00A03949"/>
    <w:rsid w:val="00A108B1"/>
    <w:rsid w:val="00A24C07"/>
    <w:rsid w:val="00A31097"/>
    <w:rsid w:val="00A31A06"/>
    <w:rsid w:val="00A369F6"/>
    <w:rsid w:val="00A36BFA"/>
    <w:rsid w:val="00A456F6"/>
    <w:rsid w:val="00A555CC"/>
    <w:rsid w:val="00A56266"/>
    <w:rsid w:val="00A62034"/>
    <w:rsid w:val="00A6391C"/>
    <w:rsid w:val="00A642DE"/>
    <w:rsid w:val="00A6550C"/>
    <w:rsid w:val="00A67660"/>
    <w:rsid w:val="00A676B9"/>
    <w:rsid w:val="00A678F6"/>
    <w:rsid w:val="00A750DC"/>
    <w:rsid w:val="00A773D8"/>
    <w:rsid w:val="00A816FE"/>
    <w:rsid w:val="00AA7653"/>
    <w:rsid w:val="00AB13FE"/>
    <w:rsid w:val="00AC3B8C"/>
    <w:rsid w:val="00AD0C70"/>
    <w:rsid w:val="00AD55D1"/>
    <w:rsid w:val="00AE16E5"/>
    <w:rsid w:val="00B01DAC"/>
    <w:rsid w:val="00B02831"/>
    <w:rsid w:val="00B049A6"/>
    <w:rsid w:val="00B049DB"/>
    <w:rsid w:val="00B054E3"/>
    <w:rsid w:val="00B069E3"/>
    <w:rsid w:val="00B06DBB"/>
    <w:rsid w:val="00B105AE"/>
    <w:rsid w:val="00B1080C"/>
    <w:rsid w:val="00B111B9"/>
    <w:rsid w:val="00B2384C"/>
    <w:rsid w:val="00B4178A"/>
    <w:rsid w:val="00B46AC1"/>
    <w:rsid w:val="00B5015C"/>
    <w:rsid w:val="00B671B3"/>
    <w:rsid w:val="00B704DD"/>
    <w:rsid w:val="00B72179"/>
    <w:rsid w:val="00B74E14"/>
    <w:rsid w:val="00B803B1"/>
    <w:rsid w:val="00B83355"/>
    <w:rsid w:val="00B94630"/>
    <w:rsid w:val="00BB6499"/>
    <w:rsid w:val="00BC3854"/>
    <w:rsid w:val="00BC7C93"/>
    <w:rsid w:val="00BF0B88"/>
    <w:rsid w:val="00C039C1"/>
    <w:rsid w:val="00C056F4"/>
    <w:rsid w:val="00C0776B"/>
    <w:rsid w:val="00C11B08"/>
    <w:rsid w:val="00C131CC"/>
    <w:rsid w:val="00C1353D"/>
    <w:rsid w:val="00C32D13"/>
    <w:rsid w:val="00C3367B"/>
    <w:rsid w:val="00C34A35"/>
    <w:rsid w:val="00C438B6"/>
    <w:rsid w:val="00C519AA"/>
    <w:rsid w:val="00C5330D"/>
    <w:rsid w:val="00C54693"/>
    <w:rsid w:val="00C549CC"/>
    <w:rsid w:val="00C7089F"/>
    <w:rsid w:val="00C729D5"/>
    <w:rsid w:val="00CA718F"/>
    <w:rsid w:val="00CB0E6D"/>
    <w:rsid w:val="00CC0A23"/>
    <w:rsid w:val="00CC2F43"/>
    <w:rsid w:val="00CD0B99"/>
    <w:rsid w:val="00CD15A5"/>
    <w:rsid w:val="00CD6FB6"/>
    <w:rsid w:val="00CE07C4"/>
    <w:rsid w:val="00CE18E5"/>
    <w:rsid w:val="00CE46E6"/>
    <w:rsid w:val="00CF5E78"/>
    <w:rsid w:val="00CF7510"/>
    <w:rsid w:val="00CF7927"/>
    <w:rsid w:val="00D10A96"/>
    <w:rsid w:val="00D207C4"/>
    <w:rsid w:val="00D22DBE"/>
    <w:rsid w:val="00D23E9F"/>
    <w:rsid w:val="00D35379"/>
    <w:rsid w:val="00D360CC"/>
    <w:rsid w:val="00D375E0"/>
    <w:rsid w:val="00D5094C"/>
    <w:rsid w:val="00D63E88"/>
    <w:rsid w:val="00D701E4"/>
    <w:rsid w:val="00D7336A"/>
    <w:rsid w:val="00D7539D"/>
    <w:rsid w:val="00D760D7"/>
    <w:rsid w:val="00D76EB4"/>
    <w:rsid w:val="00D82F1E"/>
    <w:rsid w:val="00D85BE7"/>
    <w:rsid w:val="00D919A3"/>
    <w:rsid w:val="00DA36A6"/>
    <w:rsid w:val="00DC0AA0"/>
    <w:rsid w:val="00DC3FE8"/>
    <w:rsid w:val="00DD1EA5"/>
    <w:rsid w:val="00DD2701"/>
    <w:rsid w:val="00DD4E14"/>
    <w:rsid w:val="00DD5113"/>
    <w:rsid w:val="00DF16A2"/>
    <w:rsid w:val="00DF1DEA"/>
    <w:rsid w:val="00DF6F3B"/>
    <w:rsid w:val="00E01A00"/>
    <w:rsid w:val="00E0237F"/>
    <w:rsid w:val="00E04793"/>
    <w:rsid w:val="00E04C3E"/>
    <w:rsid w:val="00E15F22"/>
    <w:rsid w:val="00E17191"/>
    <w:rsid w:val="00E4150C"/>
    <w:rsid w:val="00E520AC"/>
    <w:rsid w:val="00E55656"/>
    <w:rsid w:val="00E66835"/>
    <w:rsid w:val="00E72F73"/>
    <w:rsid w:val="00E903DA"/>
    <w:rsid w:val="00EB6E77"/>
    <w:rsid w:val="00EC4241"/>
    <w:rsid w:val="00ED135D"/>
    <w:rsid w:val="00ED71DA"/>
    <w:rsid w:val="00EE07B7"/>
    <w:rsid w:val="00EE46FD"/>
    <w:rsid w:val="00EF5B86"/>
    <w:rsid w:val="00F10B3A"/>
    <w:rsid w:val="00F129D9"/>
    <w:rsid w:val="00F36C74"/>
    <w:rsid w:val="00F36F8B"/>
    <w:rsid w:val="00F55476"/>
    <w:rsid w:val="00F62474"/>
    <w:rsid w:val="00F70B26"/>
    <w:rsid w:val="00F74089"/>
    <w:rsid w:val="00F86DB5"/>
    <w:rsid w:val="00F92FFF"/>
    <w:rsid w:val="00F95642"/>
    <w:rsid w:val="00F96F1C"/>
    <w:rsid w:val="00FB00F5"/>
    <w:rsid w:val="00FC4E58"/>
    <w:rsid w:val="00FC5C1F"/>
    <w:rsid w:val="00FD742F"/>
    <w:rsid w:val="00FD7F63"/>
    <w:rsid w:val="00FE1265"/>
    <w:rsid w:val="062728B9"/>
    <w:rsid w:val="078E4640"/>
    <w:rsid w:val="088A9C66"/>
    <w:rsid w:val="096589BB"/>
    <w:rsid w:val="0F784C27"/>
    <w:rsid w:val="1059A1E2"/>
    <w:rsid w:val="116E322F"/>
    <w:rsid w:val="11D8091C"/>
    <w:rsid w:val="131E476D"/>
    <w:rsid w:val="14B76E33"/>
    <w:rsid w:val="158BCA2C"/>
    <w:rsid w:val="17A1C6F9"/>
    <w:rsid w:val="1935DC01"/>
    <w:rsid w:val="1AC428AB"/>
    <w:rsid w:val="1B045638"/>
    <w:rsid w:val="1E69721F"/>
    <w:rsid w:val="240D281B"/>
    <w:rsid w:val="246B9563"/>
    <w:rsid w:val="25F3E35F"/>
    <w:rsid w:val="2656E4FF"/>
    <w:rsid w:val="27C0E463"/>
    <w:rsid w:val="2B1E12B3"/>
    <w:rsid w:val="2B2FF868"/>
    <w:rsid w:val="2C3FC234"/>
    <w:rsid w:val="2D19D4E0"/>
    <w:rsid w:val="2DB3BD29"/>
    <w:rsid w:val="2EECE220"/>
    <w:rsid w:val="32477F03"/>
    <w:rsid w:val="33065022"/>
    <w:rsid w:val="33EB2879"/>
    <w:rsid w:val="35C3BF60"/>
    <w:rsid w:val="36D45A6B"/>
    <w:rsid w:val="38F61FBD"/>
    <w:rsid w:val="3ACFC9B2"/>
    <w:rsid w:val="3C86E89B"/>
    <w:rsid w:val="3D06B170"/>
    <w:rsid w:val="3D1AC018"/>
    <w:rsid w:val="450BBC19"/>
    <w:rsid w:val="461CB92E"/>
    <w:rsid w:val="46789124"/>
    <w:rsid w:val="476C89AF"/>
    <w:rsid w:val="4996837B"/>
    <w:rsid w:val="4A569BBB"/>
    <w:rsid w:val="4C42CD2A"/>
    <w:rsid w:val="4D1937FD"/>
    <w:rsid w:val="4DCCAAE3"/>
    <w:rsid w:val="4E3B3757"/>
    <w:rsid w:val="4F440F44"/>
    <w:rsid w:val="51ED68E8"/>
    <w:rsid w:val="51F1FDE1"/>
    <w:rsid w:val="51F6B561"/>
    <w:rsid w:val="5376AAB2"/>
    <w:rsid w:val="53AF7BD8"/>
    <w:rsid w:val="56FC5AC4"/>
    <w:rsid w:val="578E5B06"/>
    <w:rsid w:val="57C01CE6"/>
    <w:rsid w:val="5B898C41"/>
    <w:rsid w:val="5E71FE68"/>
    <w:rsid w:val="5FBD0439"/>
    <w:rsid w:val="5FFFDB55"/>
    <w:rsid w:val="60B59031"/>
    <w:rsid w:val="612A3EA0"/>
    <w:rsid w:val="638A2761"/>
    <w:rsid w:val="647A923F"/>
    <w:rsid w:val="66CDF125"/>
    <w:rsid w:val="6891C937"/>
    <w:rsid w:val="696A2590"/>
    <w:rsid w:val="6987C0EE"/>
    <w:rsid w:val="6A0EF219"/>
    <w:rsid w:val="6AE9F7DC"/>
    <w:rsid w:val="6BABE455"/>
    <w:rsid w:val="6D75F100"/>
    <w:rsid w:val="6F9C2C48"/>
    <w:rsid w:val="70FEA218"/>
    <w:rsid w:val="7294A281"/>
    <w:rsid w:val="74024E5C"/>
    <w:rsid w:val="776BA192"/>
    <w:rsid w:val="79CC45CC"/>
    <w:rsid w:val="79DFE76E"/>
    <w:rsid w:val="7AA31FAB"/>
    <w:rsid w:val="7D725821"/>
    <w:rsid w:val="7D8953D0"/>
    <w:rsid w:val="7F40CC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4A12C"/>
  <w15:chartTrackingRefBased/>
  <w15:docId w15:val="{8E7E3B3A-F064-4B95-B19E-9928E394A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7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7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7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7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7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7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7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7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7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7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7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7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7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7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7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7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7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7FE"/>
    <w:rPr>
      <w:rFonts w:eastAsiaTheme="majorEastAsia" w:cstheme="majorBidi"/>
      <w:color w:val="272727" w:themeColor="text1" w:themeTint="D8"/>
    </w:rPr>
  </w:style>
  <w:style w:type="paragraph" w:styleId="Title">
    <w:name w:val="Title"/>
    <w:basedOn w:val="Normal"/>
    <w:next w:val="Normal"/>
    <w:link w:val="TitleChar"/>
    <w:uiPriority w:val="10"/>
    <w:qFormat/>
    <w:rsid w:val="009D17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7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7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7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7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17FE"/>
    <w:rPr>
      <w:i/>
      <w:iCs/>
      <w:color w:val="404040" w:themeColor="text1" w:themeTint="BF"/>
    </w:rPr>
  </w:style>
  <w:style w:type="paragraph" w:styleId="ListParagraph">
    <w:name w:val="List Paragraph"/>
    <w:basedOn w:val="Normal"/>
    <w:uiPriority w:val="34"/>
    <w:qFormat/>
    <w:rsid w:val="009D17FE"/>
    <w:pPr>
      <w:ind w:left="720"/>
      <w:contextualSpacing/>
    </w:pPr>
  </w:style>
  <w:style w:type="character" w:styleId="IntenseEmphasis">
    <w:name w:val="Intense Emphasis"/>
    <w:basedOn w:val="DefaultParagraphFont"/>
    <w:uiPriority w:val="21"/>
    <w:qFormat/>
    <w:rsid w:val="009D17FE"/>
    <w:rPr>
      <w:i/>
      <w:iCs/>
      <w:color w:val="0F4761" w:themeColor="accent1" w:themeShade="BF"/>
    </w:rPr>
  </w:style>
  <w:style w:type="paragraph" w:styleId="IntenseQuote">
    <w:name w:val="Intense Quote"/>
    <w:basedOn w:val="Normal"/>
    <w:next w:val="Normal"/>
    <w:link w:val="IntenseQuoteChar"/>
    <w:uiPriority w:val="30"/>
    <w:qFormat/>
    <w:rsid w:val="009D1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7FE"/>
    <w:rPr>
      <w:i/>
      <w:iCs/>
      <w:color w:val="0F4761" w:themeColor="accent1" w:themeShade="BF"/>
    </w:rPr>
  </w:style>
  <w:style w:type="character" w:styleId="IntenseReference">
    <w:name w:val="Intense Reference"/>
    <w:basedOn w:val="DefaultParagraphFont"/>
    <w:uiPriority w:val="32"/>
    <w:qFormat/>
    <w:rsid w:val="009D17FE"/>
    <w:rPr>
      <w:b/>
      <w:bCs/>
      <w:smallCaps/>
      <w:color w:val="0F4761" w:themeColor="accent1" w:themeShade="BF"/>
      <w:spacing w:val="5"/>
    </w:rPr>
  </w:style>
  <w:style w:type="paragraph" w:styleId="Header">
    <w:name w:val="header"/>
    <w:basedOn w:val="Normal"/>
    <w:link w:val="HeaderChar"/>
    <w:uiPriority w:val="99"/>
    <w:unhideWhenUsed/>
    <w:rsid w:val="00B46AC1"/>
    <w:pPr>
      <w:tabs>
        <w:tab w:val="center" w:pos="4819"/>
        <w:tab w:val="right" w:pos="9638"/>
      </w:tabs>
    </w:pPr>
  </w:style>
  <w:style w:type="character" w:customStyle="1" w:styleId="HeaderChar">
    <w:name w:val="Header Char"/>
    <w:basedOn w:val="DefaultParagraphFont"/>
    <w:link w:val="Header"/>
    <w:uiPriority w:val="99"/>
    <w:rsid w:val="00B46AC1"/>
  </w:style>
  <w:style w:type="paragraph" w:styleId="Footer">
    <w:name w:val="footer"/>
    <w:basedOn w:val="Normal"/>
    <w:link w:val="FooterChar"/>
    <w:uiPriority w:val="99"/>
    <w:unhideWhenUsed/>
    <w:rsid w:val="00B46AC1"/>
    <w:pPr>
      <w:tabs>
        <w:tab w:val="center" w:pos="4819"/>
        <w:tab w:val="right" w:pos="9638"/>
      </w:tabs>
    </w:pPr>
  </w:style>
  <w:style w:type="character" w:customStyle="1" w:styleId="FooterChar">
    <w:name w:val="Footer Char"/>
    <w:basedOn w:val="DefaultParagraphFont"/>
    <w:link w:val="Footer"/>
    <w:uiPriority w:val="99"/>
    <w:rsid w:val="00B46AC1"/>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53068"/>
  </w:style>
  <w:style w:type="paragraph" w:styleId="CommentSubject">
    <w:name w:val="annotation subject"/>
    <w:basedOn w:val="CommentText"/>
    <w:next w:val="CommentText"/>
    <w:link w:val="CommentSubjectChar"/>
    <w:uiPriority w:val="99"/>
    <w:semiHidden/>
    <w:unhideWhenUsed/>
    <w:rsid w:val="000D2749"/>
    <w:rPr>
      <w:b/>
      <w:bCs/>
    </w:rPr>
  </w:style>
  <w:style w:type="character" w:customStyle="1" w:styleId="CommentSubjectChar">
    <w:name w:val="Comment Subject Char"/>
    <w:basedOn w:val="CommentTextChar"/>
    <w:link w:val="CommentSubject"/>
    <w:uiPriority w:val="99"/>
    <w:semiHidden/>
    <w:rsid w:val="000D2749"/>
    <w:rPr>
      <w:b/>
      <w:bCs/>
      <w:sz w:val="20"/>
      <w:szCs w:val="20"/>
    </w:rPr>
  </w:style>
  <w:style w:type="character" w:styleId="Mention">
    <w:name w:val="Mention"/>
    <w:basedOn w:val="DefaultParagraphFont"/>
    <w:uiPriority w:val="99"/>
    <w:unhideWhenUsed/>
    <w:rsid w:val="00CB0E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197</TotalTime>
  <Pages>2</Pages>
  <Words>2733</Words>
  <Characters>1559</Characters>
  <Application>Microsoft Office Word</Application>
  <DocSecurity>0</DocSecurity>
  <Lines>12</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Matas Miknevičius</dc:creator>
  <cp:keywords/>
  <dc:description/>
  <cp:lastModifiedBy>Eglė Krasauskienė</cp:lastModifiedBy>
  <cp:revision>89</cp:revision>
  <dcterms:created xsi:type="dcterms:W3CDTF">2026-05-06T21:02:00Z</dcterms:created>
  <dcterms:modified xsi:type="dcterms:W3CDTF">2026-05-08T12:41:00Z</dcterms:modified>
</cp:coreProperties>
</file>