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9A0C7F" w14:paraId="6AD3CCD9" w14:textId="77777777" w:rsidTr="009A0C7F">
        <w:tc>
          <w:tcPr>
            <w:tcW w:w="4673" w:type="dxa"/>
          </w:tcPr>
          <w:p w14:paraId="7586815D" w14:textId="77777777" w:rsidR="009A0C7F" w:rsidRPr="00E85BF8" w:rsidRDefault="009A0C7F" w:rsidP="00EA3F6C">
            <w:pPr>
              <w:tabs>
                <w:tab w:val="left" w:pos="8647"/>
              </w:tabs>
              <w:jc w:val="center"/>
              <w:rPr>
                <w:rFonts w:ascii="Arial" w:hAnsi="Arial" w:cs="Arial"/>
                <w:b/>
                <w:bCs/>
                <w:color w:val="2F5496" w:themeColor="accent1" w:themeShade="BF"/>
                <w:sz w:val="24"/>
                <w:szCs w:val="24"/>
                <w:lang w:val="en-US"/>
              </w:rPr>
            </w:pPr>
            <w:bookmarkStart w:id="0" w:name="_Hlk20319535"/>
            <w:r w:rsidRPr="00E85BF8">
              <w:rPr>
                <w:rFonts w:ascii="Arial" w:hAnsi="Arial" w:cs="Arial"/>
                <w:b/>
                <w:bCs/>
                <w:color w:val="2F5496" w:themeColor="accent1" w:themeShade="BF"/>
                <w:sz w:val="24"/>
                <w:szCs w:val="24"/>
                <w:lang w:val="en-US"/>
              </w:rPr>
              <w:t>NOVATURAS REMUNERATION POLICY</w:t>
            </w:r>
          </w:p>
          <w:p w14:paraId="1D202E8C" w14:textId="77777777" w:rsidR="009A0C7F" w:rsidRPr="00E85BF8" w:rsidRDefault="009A0C7F" w:rsidP="00EA3F6C">
            <w:pPr>
              <w:tabs>
                <w:tab w:val="left" w:pos="8647"/>
              </w:tabs>
              <w:jc w:val="center"/>
              <w:rPr>
                <w:rFonts w:ascii="Arial" w:hAnsi="Arial" w:cs="Arial"/>
                <w:b/>
                <w:bCs/>
                <w:color w:val="2F5496" w:themeColor="accent1" w:themeShade="BF"/>
                <w:sz w:val="24"/>
                <w:szCs w:val="24"/>
                <w:lang w:val="en-US"/>
              </w:rPr>
            </w:pPr>
          </w:p>
        </w:tc>
        <w:tc>
          <w:tcPr>
            <w:tcW w:w="4673" w:type="dxa"/>
          </w:tcPr>
          <w:p w14:paraId="23BCFFC9" w14:textId="480822AE" w:rsidR="009A0C7F" w:rsidRPr="00BA6AED" w:rsidRDefault="009A0C7F" w:rsidP="00EA3F6C">
            <w:pPr>
              <w:tabs>
                <w:tab w:val="left" w:pos="8647"/>
              </w:tabs>
              <w:jc w:val="center"/>
              <w:rPr>
                <w:rFonts w:ascii="Arial" w:hAnsi="Arial" w:cs="Arial"/>
                <w:b/>
                <w:bCs/>
                <w:color w:val="2F5496" w:themeColor="accent1" w:themeShade="BF"/>
                <w:sz w:val="24"/>
                <w:szCs w:val="24"/>
              </w:rPr>
            </w:pPr>
            <w:r w:rsidRPr="00BA6AED">
              <w:rPr>
                <w:rFonts w:ascii="Arial" w:hAnsi="Arial" w:cs="Arial"/>
                <w:b/>
                <w:bCs/>
                <w:color w:val="2F5496" w:themeColor="accent1" w:themeShade="BF"/>
                <w:sz w:val="24"/>
                <w:szCs w:val="24"/>
              </w:rPr>
              <w:t>NOVATUR</w:t>
            </w:r>
            <w:r w:rsidR="00925B76">
              <w:rPr>
                <w:rFonts w:ascii="Arial" w:hAnsi="Arial" w:cs="Arial"/>
                <w:b/>
                <w:bCs/>
                <w:color w:val="2F5496" w:themeColor="accent1" w:themeShade="BF"/>
                <w:sz w:val="24"/>
                <w:szCs w:val="24"/>
              </w:rPr>
              <w:t>O</w:t>
            </w:r>
            <w:r>
              <w:rPr>
                <w:rFonts w:ascii="Arial" w:hAnsi="Arial" w:cs="Arial"/>
                <w:b/>
                <w:bCs/>
                <w:color w:val="2F5496" w:themeColor="accent1" w:themeShade="BF"/>
                <w:sz w:val="24"/>
                <w:szCs w:val="24"/>
              </w:rPr>
              <w:t xml:space="preserve"> ATLYGIO POLITIKA</w:t>
            </w:r>
          </w:p>
        </w:tc>
      </w:tr>
      <w:tr w:rsidR="009A0C7F" w14:paraId="055568EC" w14:textId="77777777" w:rsidTr="009A0C7F">
        <w:tc>
          <w:tcPr>
            <w:tcW w:w="4673" w:type="dxa"/>
          </w:tcPr>
          <w:p w14:paraId="4E830693" w14:textId="76CEDD4E" w:rsidR="009A0C7F" w:rsidRPr="00E85BF8" w:rsidRDefault="009A0C7F" w:rsidP="00EA3F6C">
            <w:pPr>
              <w:tabs>
                <w:tab w:val="left" w:pos="8647"/>
              </w:tabs>
              <w:jc w:val="both"/>
              <w:rPr>
                <w:rFonts w:ascii="Arial" w:hAnsi="Arial" w:cs="Arial"/>
                <w:b/>
                <w:bCs/>
                <w:color w:val="2F5496" w:themeColor="accent1" w:themeShade="BF"/>
                <w:sz w:val="24"/>
                <w:szCs w:val="24"/>
                <w:lang w:val="en-US"/>
              </w:rPr>
            </w:pPr>
            <w:r w:rsidRPr="00E85BF8">
              <w:rPr>
                <w:rFonts w:ascii="Arial" w:hAnsi="Arial" w:cs="Arial"/>
                <w:b/>
                <w:bCs/>
                <w:color w:val="2F5496" w:themeColor="accent1" w:themeShade="BF"/>
                <w:sz w:val="24"/>
                <w:szCs w:val="24"/>
                <w:lang w:val="en-US"/>
              </w:rPr>
              <w:t xml:space="preserve">Background </w:t>
            </w:r>
          </w:p>
          <w:p w14:paraId="13A00A39" w14:textId="77777777" w:rsidR="009A0C7F" w:rsidRPr="00E85BF8" w:rsidRDefault="009A0C7F" w:rsidP="00EA3F6C">
            <w:pPr>
              <w:tabs>
                <w:tab w:val="left" w:pos="8647"/>
              </w:tabs>
              <w:jc w:val="both"/>
              <w:rPr>
                <w:rFonts w:ascii="Arial" w:hAnsi="Arial" w:cs="Arial"/>
                <w:b/>
                <w:bCs/>
                <w:color w:val="2F5496" w:themeColor="accent1" w:themeShade="BF"/>
                <w:sz w:val="24"/>
                <w:szCs w:val="24"/>
                <w:lang w:val="en-US"/>
              </w:rPr>
            </w:pPr>
          </w:p>
          <w:p w14:paraId="7DB4F7DB" w14:textId="670ED1C3" w:rsidR="009A0C7F"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This document sets out the remuneration policy applying to AB </w:t>
            </w:r>
            <w:proofErr w:type="spellStart"/>
            <w:r w:rsidRPr="00E85BF8">
              <w:rPr>
                <w:rFonts w:ascii="Arial" w:hAnsi="Arial" w:cs="Arial"/>
                <w:sz w:val="20"/>
                <w:szCs w:val="20"/>
                <w:lang w:val="en-US"/>
              </w:rPr>
              <w:t>Novaturas</w:t>
            </w:r>
            <w:proofErr w:type="spellEnd"/>
            <w:r w:rsidRPr="00E85BF8">
              <w:rPr>
                <w:rFonts w:ascii="Arial" w:hAnsi="Arial" w:cs="Arial"/>
                <w:sz w:val="20"/>
                <w:szCs w:val="20"/>
                <w:lang w:val="en-US"/>
              </w:rPr>
              <w:t xml:space="preserve"> (“Company”) and its subsidiaries (hereinafter Company and its subsidiaries might refer to “Group Companies”).</w:t>
            </w:r>
          </w:p>
          <w:p w14:paraId="7AA63B7D" w14:textId="77777777" w:rsidR="00DE5CF2" w:rsidRPr="00E85BF8" w:rsidRDefault="00DE5CF2" w:rsidP="00EA3F6C">
            <w:pPr>
              <w:tabs>
                <w:tab w:val="left" w:pos="8647"/>
              </w:tabs>
              <w:jc w:val="both"/>
              <w:rPr>
                <w:rFonts w:ascii="Arial" w:hAnsi="Arial" w:cs="Arial"/>
                <w:sz w:val="20"/>
                <w:szCs w:val="20"/>
                <w:lang w:val="en-US"/>
              </w:rPr>
            </w:pPr>
          </w:p>
          <w:p w14:paraId="229593E2"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This document sets out general principles that are subject to specific provisions contained within the relevant plan/program terms and conditions as in force under Articles of Association of the Company or its subsidiaries.</w:t>
            </w:r>
          </w:p>
          <w:p w14:paraId="1A431C1C" w14:textId="77777777" w:rsidR="009A0C7F" w:rsidRPr="00E85BF8" w:rsidRDefault="009A0C7F" w:rsidP="00EA3F6C">
            <w:pPr>
              <w:tabs>
                <w:tab w:val="left" w:pos="8647"/>
              </w:tabs>
              <w:jc w:val="center"/>
              <w:rPr>
                <w:rFonts w:ascii="Arial" w:hAnsi="Arial" w:cs="Arial"/>
                <w:b/>
                <w:bCs/>
                <w:color w:val="2F5496" w:themeColor="accent1" w:themeShade="BF"/>
                <w:sz w:val="24"/>
                <w:szCs w:val="24"/>
                <w:lang w:val="en-US"/>
              </w:rPr>
            </w:pPr>
          </w:p>
        </w:tc>
        <w:tc>
          <w:tcPr>
            <w:tcW w:w="4673" w:type="dxa"/>
          </w:tcPr>
          <w:p w14:paraId="067418C7" w14:textId="271BE650" w:rsidR="009A0C7F" w:rsidRDefault="009A0C7F" w:rsidP="00EA3F6C">
            <w:pPr>
              <w:tabs>
                <w:tab w:val="left" w:pos="8647"/>
              </w:tabs>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Bendroji informacija</w:t>
            </w:r>
          </w:p>
          <w:p w14:paraId="2EE7389A" w14:textId="77777777" w:rsidR="009A0C7F" w:rsidRPr="00BA6AED" w:rsidRDefault="009A0C7F" w:rsidP="00EA3F6C">
            <w:pPr>
              <w:tabs>
                <w:tab w:val="left" w:pos="8647"/>
              </w:tabs>
              <w:jc w:val="both"/>
              <w:rPr>
                <w:rFonts w:ascii="Arial" w:hAnsi="Arial" w:cs="Arial"/>
                <w:b/>
                <w:bCs/>
                <w:color w:val="2F5496" w:themeColor="accent1" w:themeShade="BF"/>
                <w:sz w:val="24"/>
                <w:szCs w:val="24"/>
              </w:rPr>
            </w:pPr>
          </w:p>
          <w:p w14:paraId="77732929" w14:textId="7B82E16B" w:rsidR="009A0C7F" w:rsidRPr="00BA6AED" w:rsidRDefault="009A0C7F" w:rsidP="00EA3F6C">
            <w:pPr>
              <w:tabs>
                <w:tab w:val="left" w:pos="8647"/>
              </w:tabs>
              <w:jc w:val="both"/>
              <w:rPr>
                <w:rFonts w:ascii="Arial" w:hAnsi="Arial" w:cs="Arial"/>
                <w:sz w:val="20"/>
                <w:szCs w:val="20"/>
              </w:rPr>
            </w:pPr>
            <w:r>
              <w:rPr>
                <w:rFonts w:ascii="Arial" w:hAnsi="Arial" w:cs="Arial"/>
                <w:sz w:val="20"/>
                <w:szCs w:val="20"/>
              </w:rPr>
              <w:t xml:space="preserve">Šiame dokumente išdėstyta atlygio politika, taikoma </w:t>
            </w:r>
            <w:r w:rsidRPr="00BA6AED">
              <w:rPr>
                <w:rFonts w:ascii="Arial" w:hAnsi="Arial" w:cs="Arial"/>
                <w:sz w:val="20"/>
                <w:szCs w:val="20"/>
              </w:rPr>
              <w:t xml:space="preserve">AB </w:t>
            </w:r>
            <w:r>
              <w:rPr>
                <w:rFonts w:ascii="Arial" w:hAnsi="Arial" w:cs="Arial"/>
                <w:sz w:val="20"/>
                <w:szCs w:val="20"/>
              </w:rPr>
              <w:t>„</w:t>
            </w:r>
            <w:r w:rsidRPr="00BA6AED">
              <w:rPr>
                <w:rFonts w:ascii="Arial" w:hAnsi="Arial" w:cs="Arial"/>
                <w:sz w:val="20"/>
                <w:szCs w:val="20"/>
              </w:rPr>
              <w:t>Novaturas</w:t>
            </w:r>
            <w:r>
              <w:rPr>
                <w:rFonts w:ascii="Arial" w:hAnsi="Arial" w:cs="Arial"/>
                <w:sz w:val="20"/>
                <w:szCs w:val="20"/>
              </w:rPr>
              <w:t>“</w:t>
            </w:r>
            <w:r w:rsidRPr="00BA6AED">
              <w:rPr>
                <w:rFonts w:ascii="Arial" w:hAnsi="Arial" w:cs="Arial"/>
                <w:sz w:val="20"/>
                <w:szCs w:val="20"/>
              </w:rPr>
              <w:t xml:space="preserve"> (</w:t>
            </w:r>
            <w:r>
              <w:rPr>
                <w:rFonts w:ascii="Arial" w:hAnsi="Arial" w:cs="Arial"/>
                <w:sz w:val="20"/>
                <w:szCs w:val="20"/>
              </w:rPr>
              <w:t>toliau „Bendrovė“</w:t>
            </w:r>
            <w:r w:rsidRPr="00BA6AED">
              <w:rPr>
                <w:rFonts w:ascii="Arial" w:hAnsi="Arial" w:cs="Arial"/>
                <w:sz w:val="20"/>
                <w:szCs w:val="20"/>
              </w:rPr>
              <w:t xml:space="preserve">) </w:t>
            </w:r>
            <w:r>
              <w:rPr>
                <w:rFonts w:ascii="Arial" w:hAnsi="Arial" w:cs="Arial"/>
                <w:sz w:val="20"/>
                <w:szCs w:val="20"/>
              </w:rPr>
              <w:t xml:space="preserve">ir jos </w:t>
            </w:r>
            <w:r w:rsidR="00DE5CF2">
              <w:rPr>
                <w:rFonts w:ascii="Arial" w:hAnsi="Arial" w:cs="Arial"/>
                <w:sz w:val="20"/>
                <w:szCs w:val="20"/>
              </w:rPr>
              <w:t xml:space="preserve">dukterinėms bendrovėms </w:t>
            </w:r>
            <w:r w:rsidRPr="00BA6AED">
              <w:rPr>
                <w:rFonts w:ascii="Arial" w:hAnsi="Arial" w:cs="Arial"/>
                <w:sz w:val="20"/>
                <w:szCs w:val="20"/>
              </w:rPr>
              <w:t>(</w:t>
            </w:r>
            <w:r>
              <w:rPr>
                <w:rFonts w:ascii="Arial" w:hAnsi="Arial" w:cs="Arial"/>
                <w:sz w:val="20"/>
                <w:szCs w:val="20"/>
              </w:rPr>
              <w:t xml:space="preserve">Bendrovė ir jos </w:t>
            </w:r>
            <w:r w:rsidR="00DE5CF2">
              <w:rPr>
                <w:rFonts w:ascii="Arial" w:hAnsi="Arial" w:cs="Arial"/>
                <w:sz w:val="20"/>
                <w:szCs w:val="20"/>
              </w:rPr>
              <w:t xml:space="preserve">dukterinės bendrovės </w:t>
            </w:r>
            <w:r>
              <w:rPr>
                <w:rFonts w:ascii="Arial" w:hAnsi="Arial" w:cs="Arial"/>
                <w:sz w:val="20"/>
                <w:szCs w:val="20"/>
              </w:rPr>
              <w:t>toliau gali būti vadinami „Grupės bendrovės“</w:t>
            </w:r>
            <w:r w:rsidRPr="00BA6AED">
              <w:rPr>
                <w:rFonts w:ascii="Arial" w:hAnsi="Arial" w:cs="Arial"/>
                <w:sz w:val="20"/>
                <w:szCs w:val="20"/>
              </w:rPr>
              <w:t>).</w:t>
            </w:r>
          </w:p>
          <w:p w14:paraId="316F6D8C" w14:textId="469549B4" w:rsidR="009A0C7F" w:rsidRPr="00E10BCB" w:rsidRDefault="009A0C7F" w:rsidP="00EA3F6C">
            <w:pPr>
              <w:tabs>
                <w:tab w:val="left" w:pos="8647"/>
              </w:tabs>
              <w:jc w:val="both"/>
              <w:rPr>
                <w:rFonts w:ascii="Arial" w:hAnsi="Arial" w:cs="Arial"/>
                <w:sz w:val="20"/>
                <w:szCs w:val="20"/>
              </w:rPr>
            </w:pPr>
            <w:r>
              <w:rPr>
                <w:rFonts w:ascii="Arial" w:hAnsi="Arial" w:cs="Arial"/>
                <w:sz w:val="20"/>
                <w:szCs w:val="20"/>
              </w:rPr>
              <w:t>Šiame dokumente išdėstyti bendrieji principai, kurie taikom</w:t>
            </w:r>
            <w:r w:rsidR="00925B76">
              <w:rPr>
                <w:rFonts w:ascii="Arial" w:hAnsi="Arial" w:cs="Arial"/>
                <w:sz w:val="20"/>
                <w:szCs w:val="20"/>
              </w:rPr>
              <w:t>i</w:t>
            </w:r>
            <w:r>
              <w:rPr>
                <w:rFonts w:ascii="Arial" w:hAnsi="Arial" w:cs="Arial"/>
                <w:sz w:val="20"/>
                <w:szCs w:val="20"/>
              </w:rPr>
              <w:t xml:space="preserve"> specialiosio</w:t>
            </w:r>
            <w:r w:rsidR="00925B76">
              <w:rPr>
                <w:rFonts w:ascii="Arial" w:hAnsi="Arial" w:cs="Arial"/>
                <w:sz w:val="20"/>
                <w:szCs w:val="20"/>
              </w:rPr>
              <w:t>ms</w:t>
            </w:r>
            <w:r>
              <w:rPr>
                <w:rFonts w:ascii="Arial" w:hAnsi="Arial" w:cs="Arial"/>
                <w:sz w:val="20"/>
                <w:szCs w:val="20"/>
              </w:rPr>
              <w:t xml:space="preserve"> nuostato</w:t>
            </w:r>
            <w:r w:rsidR="00925B76">
              <w:rPr>
                <w:rFonts w:ascii="Arial" w:hAnsi="Arial" w:cs="Arial"/>
                <w:sz w:val="20"/>
                <w:szCs w:val="20"/>
              </w:rPr>
              <w:t>ms</w:t>
            </w:r>
            <w:r>
              <w:rPr>
                <w:rFonts w:ascii="Arial" w:hAnsi="Arial" w:cs="Arial"/>
                <w:sz w:val="20"/>
                <w:szCs w:val="20"/>
              </w:rPr>
              <w:t>, įtraukto</w:t>
            </w:r>
            <w:r w:rsidR="00925B76">
              <w:rPr>
                <w:rFonts w:ascii="Arial" w:hAnsi="Arial" w:cs="Arial"/>
                <w:sz w:val="20"/>
                <w:szCs w:val="20"/>
              </w:rPr>
              <w:t>ms</w:t>
            </w:r>
            <w:r>
              <w:rPr>
                <w:rFonts w:ascii="Arial" w:hAnsi="Arial" w:cs="Arial"/>
                <w:sz w:val="20"/>
                <w:szCs w:val="20"/>
              </w:rPr>
              <w:t xml:space="preserve"> į atitinkamas plano ar programos taisykles ir nuostatas, galiojančias pagal Bendrovės arba jos </w:t>
            </w:r>
            <w:r w:rsidR="00DE5CF2">
              <w:rPr>
                <w:rFonts w:ascii="Arial" w:hAnsi="Arial" w:cs="Arial"/>
                <w:sz w:val="20"/>
                <w:szCs w:val="20"/>
              </w:rPr>
              <w:t xml:space="preserve">dukterinių bendrovių </w:t>
            </w:r>
            <w:r>
              <w:rPr>
                <w:rFonts w:ascii="Arial" w:hAnsi="Arial" w:cs="Arial"/>
                <w:sz w:val="20"/>
                <w:szCs w:val="20"/>
              </w:rPr>
              <w:t>įstatus</w:t>
            </w:r>
            <w:r w:rsidRPr="00BA6AED">
              <w:rPr>
                <w:rFonts w:ascii="Arial" w:hAnsi="Arial" w:cs="Arial"/>
                <w:sz w:val="20"/>
                <w:szCs w:val="20"/>
              </w:rPr>
              <w:t>.</w:t>
            </w:r>
          </w:p>
        </w:tc>
      </w:tr>
      <w:tr w:rsidR="009A0C7F" w14:paraId="4FECFC62" w14:textId="77777777" w:rsidTr="009A0C7F">
        <w:tc>
          <w:tcPr>
            <w:tcW w:w="4673" w:type="dxa"/>
          </w:tcPr>
          <w:p w14:paraId="33E78714" w14:textId="6CC20566" w:rsidR="009A0C7F" w:rsidRPr="001247C1" w:rsidRDefault="009A0C7F" w:rsidP="001247C1">
            <w:pPr>
              <w:pStyle w:val="ListParagraph"/>
              <w:numPr>
                <w:ilvl w:val="0"/>
                <w:numId w:val="20"/>
              </w:numPr>
              <w:tabs>
                <w:tab w:val="left" w:pos="8647"/>
              </w:tabs>
              <w:jc w:val="both"/>
              <w:rPr>
                <w:rFonts w:ascii="Arial" w:hAnsi="Arial" w:cs="Arial"/>
                <w:b/>
                <w:bCs/>
                <w:color w:val="2F5496" w:themeColor="accent1" w:themeShade="BF"/>
                <w:sz w:val="24"/>
                <w:szCs w:val="24"/>
                <w:lang w:val="en-US"/>
              </w:rPr>
            </w:pPr>
            <w:r w:rsidRPr="001247C1">
              <w:rPr>
                <w:rFonts w:ascii="Arial" w:hAnsi="Arial" w:cs="Arial"/>
                <w:b/>
                <w:bCs/>
                <w:color w:val="2F5496" w:themeColor="accent1" w:themeShade="BF"/>
                <w:sz w:val="24"/>
                <w:szCs w:val="24"/>
                <w:lang w:val="en-US"/>
              </w:rPr>
              <w:t xml:space="preserve">Governance and Oversight  </w:t>
            </w:r>
          </w:p>
          <w:p w14:paraId="5435DB43" w14:textId="77777777" w:rsidR="009A0C7F" w:rsidRPr="00E85BF8" w:rsidRDefault="009A0C7F" w:rsidP="00EA3F6C">
            <w:pPr>
              <w:pStyle w:val="ListParagraph"/>
              <w:tabs>
                <w:tab w:val="left" w:pos="8647"/>
              </w:tabs>
              <w:ind w:left="284"/>
              <w:jc w:val="both"/>
              <w:rPr>
                <w:rFonts w:ascii="Arial" w:hAnsi="Arial" w:cs="Arial"/>
                <w:b/>
                <w:bCs/>
                <w:color w:val="2F5496" w:themeColor="accent1" w:themeShade="BF"/>
                <w:sz w:val="24"/>
                <w:szCs w:val="24"/>
                <w:lang w:val="en-US"/>
              </w:rPr>
            </w:pPr>
          </w:p>
          <w:p w14:paraId="06FC40AB"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Remuneration and Nomination Committee </w:t>
            </w:r>
          </w:p>
          <w:p w14:paraId="312980BE" w14:textId="1493D919"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 </w:t>
            </w:r>
          </w:p>
          <w:p w14:paraId="203CC5FA"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Company strongly believes that its remuneration policy and its implementation </w:t>
            </w:r>
            <w:proofErr w:type="gramStart"/>
            <w:r w:rsidRPr="00E85BF8">
              <w:rPr>
                <w:rFonts w:ascii="Arial" w:hAnsi="Arial" w:cs="Arial"/>
                <w:sz w:val="20"/>
                <w:szCs w:val="20"/>
                <w:lang w:val="en-US"/>
              </w:rPr>
              <w:t>fosters</w:t>
            </w:r>
            <w:proofErr w:type="gramEnd"/>
            <w:r w:rsidRPr="00E85BF8">
              <w:rPr>
                <w:rFonts w:ascii="Arial" w:hAnsi="Arial" w:cs="Arial"/>
                <w:sz w:val="20"/>
                <w:szCs w:val="20"/>
                <w:lang w:val="en-US"/>
              </w:rPr>
              <w:t xml:space="preserve"> proper governance and regulatory compliance. That policy is subject to oversight and control by the Remuneration and Nomination Committee (“RNC”), a committee of the Supervisory Council of the Company.</w:t>
            </w:r>
          </w:p>
          <w:p w14:paraId="5683D033"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RNC is composed of 2 (out of 4) independent Supervisory Council members. The current membership can be found on the Company website https://www.novaturasgroup.com/ </w:t>
            </w:r>
          </w:p>
          <w:p w14:paraId="29A4A587" w14:textId="77777777" w:rsidR="00EA3F6C"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RNC oversees the remuneration policy, programs and procedures on an ongoing basis throughout the year, which enables the policy, programs and procedures to be proactive in addressing both current and emerging developments or challenges. The key oversight responsibilities of the RNC relating to remuneration policy include:</w:t>
            </w:r>
          </w:p>
          <w:p w14:paraId="326CCB27" w14:textId="77777777" w:rsidR="00EA3F6C" w:rsidRDefault="009A0C7F" w:rsidP="00EA3F6C">
            <w:pPr>
              <w:pStyle w:val="ListParagraph"/>
              <w:numPr>
                <w:ilvl w:val="0"/>
                <w:numId w:val="18"/>
              </w:numPr>
              <w:tabs>
                <w:tab w:val="left" w:pos="8647"/>
              </w:tabs>
              <w:jc w:val="both"/>
              <w:rPr>
                <w:rFonts w:ascii="Arial" w:hAnsi="Arial" w:cs="Arial"/>
                <w:sz w:val="20"/>
                <w:szCs w:val="20"/>
                <w:lang w:val="en-US"/>
              </w:rPr>
            </w:pPr>
            <w:r w:rsidRPr="00EA3F6C">
              <w:rPr>
                <w:rFonts w:ascii="Arial" w:hAnsi="Arial" w:cs="Arial"/>
                <w:bCs/>
                <w:sz w:val="20"/>
                <w:szCs w:val="20"/>
                <w:lang w:val="en-US"/>
              </w:rPr>
              <w:t>providing proposals and recommendations to the Supervisory Council regarding the remuneration procedure of the management bodies and remuneration policy of managing employees;</w:t>
            </w:r>
            <w:r w:rsidRPr="00EA3F6C">
              <w:rPr>
                <w:rFonts w:ascii="Arial" w:hAnsi="Arial" w:cs="Arial"/>
                <w:sz w:val="20"/>
                <w:szCs w:val="20"/>
                <w:lang w:val="en-US"/>
              </w:rPr>
              <w:t xml:space="preserve"> </w:t>
            </w:r>
          </w:p>
          <w:p w14:paraId="72ACE199" w14:textId="77777777" w:rsidR="00EA3F6C" w:rsidRDefault="009A0C7F" w:rsidP="00EA3F6C">
            <w:pPr>
              <w:pStyle w:val="ListParagraph"/>
              <w:numPr>
                <w:ilvl w:val="0"/>
                <w:numId w:val="18"/>
              </w:numPr>
              <w:tabs>
                <w:tab w:val="left" w:pos="8647"/>
              </w:tabs>
              <w:jc w:val="both"/>
              <w:rPr>
                <w:rFonts w:ascii="Arial" w:hAnsi="Arial" w:cs="Arial"/>
                <w:sz w:val="20"/>
                <w:szCs w:val="20"/>
                <w:lang w:val="en-US"/>
              </w:rPr>
            </w:pPr>
            <w:r w:rsidRPr="00EA3F6C">
              <w:rPr>
                <w:rFonts w:ascii="Arial" w:hAnsi="Arial" w:cs="Arial"/>
                <w:sz w:val="20"/>
                <w:szCs w:val="20"/>
                <w:lang w:val="en-US"/>
              </w:rPr>
              <w:t xml:space="preserve">making proposals to the Supervisory Council on individual remuneration for managing employees and members of the management bodies in order to ensure that their remunerations are consistent with the remuneration policy of the Company and with the evaluation of the performance of these persons; </w:t>
            </w:r>
          </w:p>
          <w:p w14:paraId="6E7DF304"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EA3F6C">
              <w:rPr>
                <w:rFonts w:ascii="Arial" w:hAnsi="Arial" w:cs="Arial"/>
                <w:sz w:val="20"/>
                <w:szCs w:val="20"/>
                <w:lang w:val="en-US"/>
              </w:rPr>
              <w:t xml:space="preserve">ensuring that the remuneration of individual managing employees and members of the management body is proportionate to the remuneration of other managing employees or members of the management bodies and other employees of the Company; </w:t>
            </w:r>
          </w:p>
          <w:p w14:paraId="441AB7B9"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lastRenderedPageBreak/>
              <w:t>periodically reviewing the remuneration policy and remuneration procedure for managing employees and members of the management bodies and its implementation;</w:t>
            </w:r>
          </w:p>
          <w:p w14:paraId="0D04E622"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making proposals to the Supervisory Council on suitable forms of contracts for managing employees and members of the management bodies;</w:t>
            </w:r>
          </w:p>
          <w:p w14:paraId="4BAF0A27"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assisting the Supervisory Council in overseeing how the Company complies with applicable provisions regarding the remuneration-related</w:t>
            </w:r>
            <w:r w:rsidR="008B0881" w:rsidRPr="00834755">
              <w:rPr>
                <w:rFonts w:ascii="Arial" w:hAnsi="Arial" w:cs="Arial"/>
                <w:sz w:val="20"/>
                <w:szCs w:val="20"/>
                <w:lang w:val="en-US"/>
              </w:rPr>
              <w:t xml:space="preserve"> </w:t>
            </w:r>
            <w:r w:rsidRPr="00834755">
              <w:rPr>
                <w:rFonts w:ascii="Arial" w:hAnsi="Arial" w:cs="Arial"/>
                <w:sz w:val="20"/>
                <w:szCs w:val="20"/>
                <w:lang w:val="en-US"/>
              </w:rPr>
              <w:t>information</w:t>
            </w:r>
            <w:r w:rsidR="008B0881" w:rsidRPr="00834755">
              <w:rPr>
                <w:rFonts w:ascii="Arial" w:hAnsi="Arial" w:cs="Arial"/>
                <w:sz w:val="20"/>
                <w:szCs w:val="20"/>
                <w:lang w:val="en-US"/>
              </w:rPr>
              <w:t xml:space="preserve"> </w:t>
            </w:r>
            <w:r w:rsidRPr="00834755">
              <w:rPr>
                <w:rFonts w:ascii="Arial" w:hAnsi="Arial" w:cs="Arial"/>
                <w:sz w:val="20"/>
                <w:szCs w:val="20"/>
                <w:lang w:val="en-US"/>
              </w:rPr>
              <w:t>disclosure;</w:t>
            </w:r>
          </w:p>
          <w:p w14:paraId="4D2EEFD6"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 xml:space="preserve">making general recommendations to the managing employees and (or) members of the management bodies on the level and structure of remuneration for managing employees and (or) members of the management bodies </w:t>
            </w:r>
            <w:proofErr w:type="gramStart"/>
            <w:r w:rsidRPr="00834755">
              <w:rPr>
                <w:rFonts w:ascii="Arial" w:hAnsi="Arial" w:cs="Arial"/>
                <w:sz w:val="20"/>
                <w:szCs w:val="20"/>
                <w:lang w:val="en-US"/>
              </w:rPr>
              <w:t>with regard to</w:t>
            </w:r>
            <w:proofErr w:type="gramEnd"/>
            <w:r w:rsidRPr="00834755">
              <w:rPr>
                <w:rFonts w:ascii="Arial" w:hAnsi="Arial" w:cs="Arial"/>
                <w:sz w:val="20"/>
                <w:szCs w:val="20"/>
                <w:lang w:val="en-US"/>
              </w:rPr>
              <w:t xml:space="preserve"> the respective information provided by the managing employees and (or) members of the management bodies;</w:t>
            </w:r>
          </w:p>
          <w:p w14:paraId="7569BAF8" w14:textId="77777777"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obtaining reliable, up-to-date information about remuneration in other companies of comparable scale and complexity;</w:t>
            </w:r>
          </w:p>
          <w:p w14:paraId="0FF56BAA" w14:textId="0946C910" w:rsid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approving the design of, and determining targets for, any performance-related pay schemes operated by the Company and approving the total annual payments made under such schemes</w:t>
            </w:r>
            <w:r w:rsidR="00834755">
              <w:rPr>
                <w:rFonts w:ascii="Arial" w:hAnsi="Arial" w:cs="Arial"/>
                <w:sz w:val="20"/>
                <w:szCs w:val="20"/>
                <w:lang w:val="en-US"/>
              </w:rPr>
              <w:t>.</w:t>
            </w:r>
          </w:p>
          <w:p w14:paraId="7CCC1A36" w14:textId="350B5CD7" w:rsidR="009A0C7F" w:rsidRPr="00834755" w:rsidRDefault="009A0C7F" w:rsidP="00834755">
            <w:pPr>
              <w:pStyle w:val="ListParagraph"/>
              <w:numPr>
                <w:ilvl w:val="0"/>
                <w:numId w:val="18"/>
              </w:numPr>
              <w:tabs>
                <w:tab w:val="left" w:pos="8647"/>
              </w:tabs>
              <w:jc w:val="both"/>
              <w:rPr>
                <w:rFonts w:ascii="Arial" w:hAnsi="Arial" w:cs="Arial"/>
                <w:sz w:val="20"/>
                <w:szCs w:val="20"/>
                <w:lang w:val="en-US"/>
              </w:rPr>
            </w:pPr>
            <w:r w:rsidRPr="00834755">
              <w:rPr>
                <w:rFonts w:ascii="Arial" w:hAnsi="Arial" w:cs="Arial"/>
                <w:sz w:val="20"/>
                <w:szCs w:val="20"/>
                <w:lang w:val="en-US"/>
              </w:rPr>
              <w:t>With respect to stock options and other share-based incentives which may be granted to the members of the management bodies or other employees, the RNC should:</w:t>
            </w:r>
          </w:p>
          <w:p w14:paraId="64FC687D" w14:textId="77777777" w:rsidR="008B0881" w:rsidRPr="00E85BF8" w:rsidRDefault="008B0881" w:rsidP="00EA3F6C">
            <w:pPr>
              <w:pStyle w:val="ListParagraph"/>
              <w:tabs>
                <w:tab w:val="left" w:pos="8647"/>
              </w:tabs>
              <w:jc w:val="both"/>
              <w:rPr>
                <w:rFonts w:ascii="Arial" w:hAnsi="Arial" w:cs="Arial"/>
                <w:b/>
                <w:bCs/>
                <w:color w:val="2F5496" w:themeColor="accent1" w:themeShade="BF"/>
                <w:sz w:val="24"/>
                <w:szCs w:val="24"/>
                <w:lang w:val="en-US"/>
              </w:rPr>
            </w:pPr>
          </w:p>
          <w:p w14:paraId="7AD37096" w14:textId="77777777" w:rsidR="009A0C7F" w:rsidRPr="00E85BF8" w:rsidRDefault="009A0C7F" w:rsidP="00EA3F6C">
            <w:pPr>
              <w:pStyle w:val="ListParagraph"/>
              <w:numPr>
                <w:ilvl w:val="0"/>
                <w:numId w:val="9"/>
              </w:numPr>
              <w:tabs>
                <w:tab w:val="left" w:pos="8647"/>
              </w:tabs>
              <w:jc w:val="both"/>
              <w:rPr>
                <w:rFonts w:ascii="Arial" w:hAnsi="Arial" w:cs="Arial"/>
                <w:b/>
                <w:bCs/>
                <w:color w:val="2F5496" w:themeColor="accent1" w:themeShade="BF"/>
                <w:sz w:val="24"/>
                <w:szCs w:val="24"/>
                <w:lang w:val="en-US"/>
              </w:rPr>
            </w:pPr>
            <w:r w:rsidRPr="00E85BF8">
              <w:rPr>
                <w:rFonts w:ascii="Arial" w:hAnsi="Arial" w:cs="Arial"/>
                <w:sz w:val="20"/>
                <w:szCs w:val="20"/>
                <w:lang w:val="en-US"/>
              </w:rPr>
              <w:t xml:space="preserve">consider general policy regarding the granting of the above-mentioned schemes, </w:t>
            </w:r>
            <w:proofErr w:type="gramStart"/>
            <w:r w:rsidRPr="00E85BF8">
              <w:rPr>
                <w:rFonts w:ascii="Arial" w:hAnsi="Arial" w:cs="Arial"/>
                <w:sz w:val="20"/>
                <w:szCs w:val="20"/>
                <w:lang w:val="en-US"/>
              </w:rPr>
              <w:t>in particular stock</w:t>
            </w:r>
            <w:proofErr w:type="gramEnd"/>
            <w:r w:rsidRPr="00E85BF8">
              <w:rPr>
                <w:rFonts w:ascii="Arial" w:hAnsi="Arial" w:cs="Arial"/>
                <w:sz w:val="20"/>
                <w:szCs w:val="20"/>
                <w:lang w:val="en-US"/>
              </w:rPr>
              <w:t xml:space="preserve"> options, and make any related proposals to the Supervisory Council;</w:t>
            </w:r>
          </w:p>
          <w:p w14:paraId="29A2C908" w14:textId="77777777" w:rsidR="009A0C7F" w:rsidRPr="00E85BF8" w:rsidRDefault="009A0C7F" w:rsidP="00EA3F6C">
            <w:pPr>
              <w:pStyle w:val="ListParagraph"/>
              <w:numPr>
                <w:ilvl w:val="0"/>
                <w:numId w:val="9"/>
              </w:numPr>
              <w:tabs>
                <w:tab w:val="left" w:pos="8647"/>
              </w:tabs>
              <w:jc w:val="both"/>
              <w:rPr>
                <w:rFonts w:ascii="Arial" w:hAnsi="Arial" w:cs="Arial"/>
                <w:b/>
                <w:bCs/>
                <w:color w:val="2F5496" w:themeColor="accent1" w:themeShade="BF"/>
                <w:sz w:val="24"/>
                <w:szCs w:val="24"/>
                <w:lang w:val="en-US"/>
              </w:rPr>
            </w:pPr>
            <w:r w:rsidRPr="00E85BF8">
              <w:rPr>
                <w:rFonts w:ascii="Arial" w:hAnsi="Arial" w:cs="Arial"/>
                <w:sz w:val="20"/>
                <w:szCs w:val="20"/>
                <w:lang w:val="en-US"/>
              </w:rPr>
              <w:t>examine the related information that is given in the Company’s annual report and documents, intended for the use during the General Meeting of Shareholders;</w:t>
            </w:r>
          </w:p>
          <w:p w14:paraId="17A8EA75" w14:textId="07ECFC96" w:rsidR="009A0C7F" w:rsidRPr="00E85BF8" w:rsidRDefault="009A0C7F" w:rsidP="00EA3F6C">
            <w:pPr>
              <w:pStyle w:val="ListParagraph"/>
              <w:numPr>
                <w:ilvl w:val="0"/>
                <w:numId w:val="9"/>
              </w:numPr>
              <w:tabs>
                <w:tab w:val="left" w:pos="8647"/>
              </w:tabs>
              <w:jc w:val="both"/>
              <w:rPr>
                <w:rFonts w:ascii="Arial" w:hAnsi="Arial" w:cs="Arial"/>
                <w:b/>
                <w:bCs/>
                <w:color w:val="2F5496" w:themeColor="accent1" w:themeShade="BF"/>
                <w:sz w:val="24"/>
                <w:szCs w:val="24"/>
                <w:lang w:val="en-US"/>
              </w:rPr>
            </w:pPr>
            <w:r w:rsidRPr="00E85BF8">
              <w:rPr>
                <w:rFonts w:ascii="Arial" w:hAnsi="Arial" w:cs="Arial"/>
                <w:sz w:val="20"/>
                <w:szCs w:val="20"/>
                <w:lang w:val="en-US"/>
              </w:rPr>
              <w:t>make proposals to the Supervisory Council regarding the choice between granting options to subscribe shares or granting options to purchase shares, specifying the reasons for its choice as well as the consequences that this choice has.</w:t>
            </w:r>
          </w:p>
        </w:tc>
        <w:tc>
          <w:tcPr>
            <w:tcW w:w="4673" w:type="dxa"/>
          </w:tcPr>
          <w:p w14:paraId="3EBDF312" w14:textId="7E1DCCDB" w:rsidR="009A0C7F" w:rsidRPr="001247C1" w:rsidRDefault="009A0C7F" w:rsidP="001247C1">
            <w:pPr>
              <w:pStyle w:val="ListParagraph"/>
              <w:numPr>
                <w:ilvl w:val="0"/>
                <w:numId w:val="21"/>
              </w:numPr>
              <w:tabs>
                <w:tab w:val="left" w:pos="8647"/>
              </w:tabs>
              <w:jc w:val="both"/>
              <w:rPr>
                <w:rFonts w:ascii="Arial" w:hAnsi="Arial" w:cs="Arial"/>
                <w:b/>
                <w:bCs/>
                <w:color w:val="2F5496" w:themeColor="accent1" w:themeShade="BF"/>
                <w:sz w:val="24"/>
                <w:szCs w:val="24"/>
              </w:rPr>
            </w:pPr>
            <w:r w:rsidRPr="001247C1">
              <w:rPr>
                <w:rFonts w:ascii="Arial" w:hAnsi="Arial" w:cs="Arial"/>
                <w:b/>
                <w:bCs/>
                <w:color w:val="2F5496" w:themeColor="accent1" w:themeShade="BF"/>
                <w:sz w:val="24"/>
                <w:szCs w:val="24"/>
              </w:rPr>
              <w:lastRenderedPageBreak/>
              <w:t>Valdy</w:t>
            </w:r>
            <w:r w:rsidR="00F23261" w:rsidRPr="001247C1">
              <w:rPr>
                <w:rFonts w:ascii="Arial" w:hAnsi="Arial" w:cs="Arial"/>
                <w:b/>
                <w:bCs/>
                <w:color w:val="2F5496" w:themeColor="accent1" w:themeShade="BF"/>
                <w:sz w:val="24"/>
                <w:szCs w:val="24"/>
              </w:rPr>
              <w:t xml:space="preserve">mas </w:t>
            </w:r>
            <w:r w:rsidRPr="001247C1">
              <w:rPr>
                <w:rFonts w:ascii="Arial" w:hAnsi="Arial" w:cs="Arial"/>
                <w:b/>
                <w:bCs/>
                <w:color w:val="2F5496" w:themeColor="accent1" w:themeShade="BF"/>
                <w:sz w:val="24"/>
                <w:szCs w:val="24"/>
              </w:rPr>
              <w:t xml:space="preserve">ir priežiūra </w:t>
            </w:r>
          </w:p>
          <w:p w14:paraId="1822C7D8" w14:textId="77777777" w:rsidR="009A0C7F" w:rsidRPr="00BA6AED" w:rsidRDefault="009A0C7F" w:rsidP="00EA3F6C">
            <w:pPr>
              <w:pStyle w:val="ListParagraph"/>
              <w:tabs>
                <w:tab w:val="left" w:pos="8647"/>
              </w:tabs>
              <w:ind w:left="284"/>
              <w:jc w:val="both"/>
              <w:rPr>
                <w:rFonts w:ascii="Arial" w:hAnsi="Arial" w:cs="Arial"/>
                <w:b/>
                <w:bCs/>
                <w:color w:val="2F5496" w:themeColor="accent1" w:themeShade="BF"/>
                <w:sz w:val="24"/>
                <w:szCs w:val="24"/>
              </w:rPr>
            </w:pPr>
          </w:p>
          <w:p w14:paraId="13C8772D" w14:textId="34DEB41A" w:rsidR="009A0C7F" w:rsidRPr="00FE2714"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Atlygio ir </w:t>
            </w:r>
            <w:r w:rsidR="00925B76">
              <w:rPr>
                <w:rFonts w:ascii="Arial" w:hAnsi="Arial" w:cs="Arial"/>
                <w:b/>
                <w:bCs/>
                <w:color w:val="2F5496" w:themeColor="accent1" w:themeShade="BF"/>
                <w:sz w:val="20"/>
                <w:szCs w:val="20"/>
              </w:rPr>
              <w:t>skyrimo</w:t>
            </w:r>
            <w:r>
              <w:rPr>
                <w:rFonts w:ascii="Arial" w:hAnsi="Arial" w:cs="Arial"/>
                <w:b/>
                <w:bCs/>
                <w:color w:val="2F5496" w:themeColor="accent1" w:themeShade="BF"/>
                <w:sz w:val="20"/>
                <w:szCs w:val="20"/>
              </w:rPr>
              <w:t xml:space="preserve"> komitetas </w:t>
            </w:r>
          </w:p>
          <w:p w14:paraId="433E6DDF" w14:textId="77777777" w:rsidR="009A0C7F" w:rsidRPr="00BA6AED" w:rsidRDefault="009A0C7F" w:rsidP="00EA3F6C">
            <w:pPr>
              <w:tabs>
                <w:tab w:val="left" w:pos="8647"/>
              </w:tabs>
              <w:jc w:val="both"/>
              <w:rPr>
                <w:rFonts w:ascii="Arial" w:hAnsi="Arial" w:cs="Arial"/>
                <w:b/>
                <w:bCs/>
                <w:color w:val="2F5496" w:themeColor="accent1" w:themeShade="BF"/>
                <w:sz w:val="20"/>
                <w:szCs w:val="20"/>
              </w:rPr>
            </w:pPr>
          </w:p>
          <w:p w14:paraId="4D09E545" w14:textId="1BD9C19F" w:rsidR="009A0C7F" w:rsidRDefault="009A0C7F" w:rsidP="00EA3F6C">
            <w:pPr>
              <w:tabs>
                <w:tab w:val="left" w:pos="8647"/>
              </w:tabs>
              <w:jc w:val="both"/>
              <w:rPr>
                <w:rFonts w:ascii="Arial" w:hAnsi="Arial" w:cs="Arial"/>
                <w:sz w:val="20"/>
                <w:szCs w:val="20"/>
              </w:rPr>
            </w:pPr>
            <w:r>
              <w:rPr>
                <w:rFonts w:ascii="Arial" w:hAnsi="Arial" w:cs="Arial"/>
                <w:sz w:val="20"/>
                <w:szCs w:val="20"/>
              </w:rPr>
              <w:t>Bendrovė įsitikinusi, kad atlygio politika ir jos įgyvendinimas užtikrina tinkamą valdy</w:t>
            </w:r>
            <w:r w:rsidR="00F23261">
              <w:rPr>
                <w:rFonts w:ascii="Arial" w:hAnsi="Arial" w:cs="Arial"/>
                <w:sz w:val="20"/>
                <w:szCs w:val="20"/>
              </w:rPr>
              <w:t xml:space="preserve">mą </w:t>
            </w:r>
            <w:r>
              <w:rPr>
                <w:rFonts w:ascii="Arial" w:hAnsi="Arial" w:cs="Arial"/>
                <w:sz w:val="20"/>
                <w:szCs w:val="20"/>
              </w:rPr>
              <w:t xml:space="preserve">ir </w:t>
            </w:r>
            <w:r w:rsidR="00DC4821">
              <w:rPr>
                <w:rFonts w:ascii="Arial" w:hAnsi="Arial" w:cs="Arial"/>
                <w:sz w:val="20"/>
                <w:szCs w:val="20"/>
              </w:rPr>
              <w:t xml:space="preserve">atitikimą </w:t>
            </w:r>
            <w:r w:rsidR="00925B76">
              <w:rPr>
                <w:rFonts w:ascii="Arial" w:hAnsi="Arial" w:cs="Arial"/>
                <w:sz w:val="20"/>
                <w:szCs w:val="20"/>
              </w:rPr>
              <w:t>reguliacin</w:t>
            </w:r>
            <w:r w:rsidR="00DC4821">
              <w:rPr>
                <w:rFonts w:ascii="Arial" w:hAnsi="Arial" w:cs="Arial"/>
                <w:sz w:val="20"/>
                <w:szCs w:val="20"/>
              </w:rPr>
              <w:t>ei tvarkai</w:t>
            </w:r>
            <w:r w:rsidRPr="00BA6AED">
              <w:rPr>
                <w:rFonts w:ascii="Arial" w:hAnsi="Arial" w:cs="Arial"/>
                <w:sz w:val="20"/>
                <w:szCs w:val="20"/>
              </w:rPr>
              <w:t xml:space="preserve">. </w:t>
            </w:r>
            <w:r>
              <w:rPr>
                <w:rFonts w:ascii="Arial" w:hAnsi="Arial" w:cs="Arial"/>
                <w:sz w:val="20"/>
                <w:szCs w:val="20"/>
              </w:rPr>
              <w:t xml:space="preserve">Politiką prižiūri ir kontroliuoja Atlygio ir </w:t>
            </w:r>
            <w:r w:rsidR="00DC4821">
              <w:rPr>
                <w:rFonts w:ascii="Arial" w:hAnsi="Arial" w:cs="Arial"/>
                <w:sz w:val="20"/>
                <w:szCs w:val="20"/>
              </w:rPr>
              <w:t>skyrimo</w:t>
            </w:r>
            <w:r>
              <w:rPr>
                <w:rFonts w:ascii="Arial" w:hAnsi="Arial" w:cs="Arial"/>
                <w:sz w:val="20"/>
                <w:szCs w:val="20"/>
              </w:rPr>
              <w:t xml:space="preserve"> komitetas </w:t>
            </w:r>
            <w:r w:rsidRPr="00BA6AED">
              <w:rPr>
                <w:rFonts w:ascii="Arial" w:hAnsi="Arial" w:cs="Arial"/>
                <w:sz w:val="20"/>
                <w:szCs w:val="20"/>
              </w:rPr>
              <w:t>(</w:t>
            </w:r>
            <w:r>
              <w:rPr>
                <w:rFonts w:ascii="Arial" w:hAnsi="Arial" w:cs="Arial"/>
                <w:sz w:val="20"/>
                <w:szCs w:val="20"/>
              </w:rPr>
              <w:t>toliau A</w:t>
            </w:r>
            <w:r w:rsidR="00DC4821">
              <w:rPr>
                <w:rFonts w:ascii="Arial" w:hAnsi="Arial" w:cs="Arial"/>
                <w:sz w:val="20"/>
                <w:szCs w:val="20"/>
              </w:rPr>
              <w:t>SK</w:t>
            </w:r>
            <w:r w:rsidRPr="00BA6AED">
              <w:rPr>
                <w:rFonts w:ascii="Arial" w:hAnsi="Arial" w:cs="Arial"/>
                <w:sz w:val="20"/>
                <w:szCs w:val="20"/>
              </w:rPr>
              <w:t xml:space="preserve">), </w:t>
            </w:r>
            <w:r w:rsidR="00DC4821">
              <w:rPr>
                <w:rFonts w:ascii="Arial" w:hAnsi="Arial" w:cs="Arial"/>
                <w:sz w:val="20"/>
                <w:szCs w:val="20"/>
              </w:rPr>
              <w:t>atskaitingas</w:t>
            </w:r>
            <w:r>
              <w:rPr>
                <w:rFonts w:ascii="Arial" w:hAnsi="Arial" w:cs="Arial"/>
                <w:sz w:val="20"/>
                <w:szCs w:val="20"/>
              </w:rPr>
              <w:t xml:space="preserve"> Bendrovės Stebėtojų tarybai</w:t>
            </w:r>
            <w:r w:rsidRPr="00BA6AED">
              <w:rPr>
                <w:rFonts w:ascii="Arial" w:hAnsi="Arial" w:cs="Arial"/>
                <w:sz w:val="20"/>
                <w:szCs w:val="20"/>
              </w:rPr>
              <w:t>.</w:t>
            </w:r>
          </w:p>
          <w:p w14:paraId="0BE5AB49" w14:textId="5550560C" w:rsidR="00EA3F6C" w:rsidRDefault="00EA3F6C" w:rsidP="00EA3F6C">
            <w:pPr>
              <w:tabs>
                <w:tab w:val="left" w:pos="8647"/>
              </w:tabs>
              <w:jc w:val="both"/>
              <w:rPr>
                <w:rFonts w:ascii="Arial" w:hAnsi="Arial" w:cs="Arial"/>
                <w:sz w:val="20"/>
                <w:szCs w:val="20"/>
              </w:rPr>
            </w:pPr>
          </w:p>
          <w:p w14:paraId="0601F4C3" w14:textId="77777777" w:rsidR="00EA3F6C" w:rsidRPr="00BA6AED" w:rsidRDefault="00EA3F6C" w:rsidP="00EA3F6C">
            <w:pPr>
              <w:tabs>
                <w:tab w:val="left" w:pos="8647"/>
              </w:tabs>
              <w:jc w:val="both"/>
              <w:rPr>
                <w:rFonts w:ascii="Arial" w:hAnsi="Arial" w:cs="Arial"/>
                <w:sz w:val="20"/>
                <w:szCs w:val="20"/>
              </w:rPr>
            </w:pPr>
          </w:p>
          <w:p w14:paraId="25EB863B" w14:textId="1369E18E" w:rsidR="00EC7097" w:rsidRDefault="00DC4821" w:rsidP="00EA3F6C">
            <w:pPr>
              <w:tabs>
                <w:tab w:val="left" w:pos="8647"/>
              </w:tabs>
              <w:jc w:val="both"/>
              <w:rPr>
                <w:rFonts w:ascii="Arial" w:hAnsi="Arial" w:cs="Arial"/>
                <w:sz w:val="20"/>
                <w:szCs w:val="20"/>
              </w:rPr>
            </w:pPr>
            <w:r>
              <w:rPr>
                <w:rFonts w:ascii="Arial" w:hAnsi="Arial" w:cs="Arial"/>
                <w:sz w:val="20"/>
                <w:szCs w:val="20"/>
              </w:rPr>
              <w:t>ASK</w:t>
            </w:r>
            <w:r w:rsidR="00EA3F6C">
              <w:rPr>
                <w:rFonts w:ascii="Arial" w:hAnsi="Arial" w:cs="Arial"/>
                <w:sz w:val="20"/>
                <w:szCs w:val="20"/>
              </w:rPr>
              <w:t xml:space="preserve"> sudaro</w:t>
            </w:r>
            <w:r w:rsidR="009A0C7F">
              <w:rPr>
                <w:rFonts w:ascii="Arial" w:hAnsi="Arial" w:cs="Arial"/>
                <w:sz w:val="20"/>
                <w:szCs w:val="20"/>
              </w:rPr>
              <w:t xml:space="preserve"> </w:t>
            </w:r>
            <w:r w:rsidR="009A0C7F" w:rsidRPr="00BA6AED">
              <w:rPr>
                <w:rFonts w:ascii="Arial" w:hAnsi="Arial" w:cs="Arial"/>
                <w:sz w:val="20"/>
                <w:szCs w:val="20"/>
              </w:rPr>
              <w:t>2 (</w:t>
            </w:r>
            <w:r w:rsidR="009A0C7F">
              <w:rPr>
                <w:rFonts w:ascii="Arial" w:hAnsi="Arial" w:cs="Arial"/>
                <w:sz w:val="20"/>
                <w:szCs w:val="20"/>
              </w:rPr>
              <w:t xml:space="preserve">iš </w:t>
            </w:r>
            <w:r w:rsidR="009A0C7F" w:rsidRPr="00BA6AED">
              <w:rPr>
                <w:rFonts w:ascii="Arial" w:hAnsi="Arial" w:cs="Arial"/>
                <w:sz w:val="20"/>
                <w:szCs w:val="20"/>
              </w:rPr>
              <w:t xml:space="preserve">4) </w:t>
            </w:r>
            <w:r w:rsidR="009A0C7F">
              <w:rPr>
                <w:rFonts w:ascii="Arial" w:hAnsi="Arial" w:cs="Arial"/>
                <w:sz w:val="20"/>
                <w:szCs w:val="20"/>
              </w:rPr>
              <w:t>nepriklausomi Stebėtojų tarybos nariai</w:t>
            </w:r>
            <w:r w:rsidR="009A0C7F" w:rsidRPr="00BA6AED">
              <w:rPr>
                <w:rFonts w:ascii="Arial" w:hAnsi="Arial" w:cs="Arial"/>
                <w:sz w:val="20"/>
                <w:szCs w:val="20"/>
              </w:rPr>
              <w:t xml:space="preserve">. </w:t>
            </w:r>
            <w:r>
              <w:rPr>
                <w:rFonts w:ascii="Arial" w:hAnsi="Arial" w:cs="Arial"/>
                <w:sz w:val="20"/>
                <w:szCs w:val="20"/>
              </w:rPr>
              <w:t>Stebėtojų tarybos</w:t>
            </w:r>
            <w:r w:rsidR="00EC7097">
              <w:rPr>
                <w:rFonts w:ascii="Arial" w:hAnsi="Arial" w:cs="Arial"/>
                <w:sz w:val="20"/>
                <w:szCs w:val="20"/>
              </w:rPr>
              <w:t xml:space="preserve"> </w:t>
            </w:r>
            <w:r w:rsidR="009A0C7F">
              <w:rPr>
                <w:rFonts w:ascii="Arial" w:hAnsi="Arial" w:cs="Arial"/>
                <w:sz w:val="20"/>
                <w:szCs w:val="20"/>
              </w:rPr>
              <w:t>nariai nurodyti Bendrovės svetainėje</w:t>
            </w:r>
            <w:r w:rsidR="00EC7097">
              <w:rPr>
                <w:rFonts w:ascii="Arial" w:hAnsi="Arial" w:cs="Arial"/>
                <w:sz w:val="20"/>
                <w:szCs w:val="20"/>
              </w:rPr>
              <w:t>:</w:t>
            </w:r>
          </w:p>
          <w:p w14:paraId="5289F2D6" w14:textId="77777777" w:rsidR="00EA3F6C" w:rsidRDefault="000E350C" w:rsidP="00EA3F6C">
            <w:pPr>
              <w:tabs>
                <w:tab w:val="left" w:pos="8647"/>
              </w:tabs>
              <w:jc w:val="both"/>
              <w:rPr>
                <w:rFonts w:ascii="Arial" w:hAnsi="Arial" w:cs="Arial"/>
                <w:sz w:val="20"/>
                <w:szCs w:val="20"/>
              </w:rPr>
            </w:pPr>
            <w:hyperlink r:id="rId7" w:history="1">
              <w:r w:rsidR="00EA3F6C" w:rsidRPr="00274C68">
                <w:rPr>
                  <w:rStyle w:val="Hyperlink"/>
                  <w:rFonts w:ascii="Arial" w:hAnsi="Arial" w:cs="Arial"/>
                  <w:sz w:val="20"/>
                  <w:szCs w:val="20"/>
                </w:rPr>
                <w:t>https://www.novaturasgroup.com/</w:t>
              </w:r>
            </w:hyperlink>
            <w:r w:rsidR="009A0C7F">
              <w:rPr>
                <w:rFonts w:ascii="Arial" w:hAnsi="Arial" w:cs="Arial"/>
                <w:sz w:val="20"/>
                <w:szCs w:val="20"/>
              </w:rPr>
              <w:t>.</w:t>
            </w:r>
            <w:r w:rsidR="009A0C7F" w:rsidRPr="00BA6AED">
              <w:rPr>
                <w:rFonts w:ascii="Arial" w:hAnsi="Arial" w:cs="Arial"/>
                <w:sz w:val="20"/>
                <w:szCs w:val="20"/>
              </w:rPr>
              <w:t xml:space="preserve"> </w:t>
            </w:r>
            <w:bookmarkStart w:id="1" w:name="_Hlk20831896"/>
          </w:p>
          <w:p w14:paraId="4FEEB47B" w14:textId="14178D9F" w:rsidR="00EA3F6C" w:rsidRDefault="00DC4821" w:rsidP="00EA3F6C">
            <w:pPr>
              <w:tabs>
                <w:tab w:val="left" w:pos="8647"/>
              </w:tabs>
              <w:jc w:val="both"/>
              <w:rPr>
                <w:rFonts w:ascii="Arial" w:hAnsi="Arial" w:cs="Arial"/>
                <w:sz w:val="20"/>
                <w:szCs w:val="20"/>
              </w:rPr>
            </w:pPr>
            <w:r>
              <w:rPr>
                <w:rFonts w:ascii="Arial" w:hAnsi="Arial" w:cs="Arial"/>
                <w:sz w:val="20"/>
                <w:szCs w:val="20"/>
              </w:rPr>
              <w:t>ASK</w:t>
            </w:r>
            <w:r w:rsidR="009A0C7F">
              <w:rPr>
                <w:rFonts w:ascii="Arial" w:hAnsi="Arial" w:cs="Arial"/>
                <w:sz w:val="20"/>
                <w:szCs w:val="20"/>
              </w:rPr>
              <w:t xml:space="preserve"> </w:t>
            </w:r>
            <w:r>
              <w:rPr>
                <w:rFonts w:ascii="Arial" w:hAnsi="Arial" w:cs="Arial"/>
                <w:sz w:val="20"/>
                <w:szCs w:val="20"/>
              </w:rPr>
              <w:t xml:space="preserve">vykdo </w:t>
            </w:r>
            <w:r w:rsidR="009E1DF0">
              <w:rPr>
                <w:rFonts w:ascii="Arial" w:hAnsi="Arial" w:cs="Arial"/>
                <w:sz w:val="20"/>
                <w:szCs w:val="20"/>
              </w:rPr>
              <w:t>nuolat</w:t>
            </w:r>
            <w:r>
              <w:rPr>
                <w:rFonts w:ascii="Arial" w:hAnsi="Arial" w:cs="Arial"/>
                <w:sz w:val="20"/>
                <w:szCs w:val="20"/>
              </w:rPr>
              <w:t>inę</w:t>
            </w:r>
            <w:r w:rsidR="009E1DF0">
              <w:rPr>
                <w:rFonts w:ascii="Arial" w:hAnsi="Arial" w:cs="Arial"/>
                <w:sz w:val="20"/>
                <w:szCs w:val="20"/>
              </w:rPr>
              <w:t xml:space="preserve"> </w:t>
            </w:r>
            <w:r w:rsidR="00EA3F6C">
              <w:rPr>
                <w:rFonts w:ascii="Arial" w:hAnsi="Arial" w:cs="Arial"/>
                <w:sz w:val="20"/>
                <w:szCs w:val="20"/>
              </w:rPr>
              <w:t xml:space="preserve">metinę </w:t>
            </w:r>
            <w:r w:rsidR="009A0C7F">
              <w:rPr>
                <w:rFonts w:ascii="Arial" w:hAnsi="Arial" w:cs="Arial"/>
                <w:sz w:val="20"/>
                <w:szCs w:val="20"/>
              </w:rPr>
              <w:t>atlygio politik</w:t>
            </w:r>
            <w:r>
              <w:rPr>
                <w:rFonts w:ascii="Arial" w:hAnsi="Arial" w:cs="Arial"/>
                <w:sz w:val="20"/>
                <w:szCs w:val="20"/>
              </w:rPr>
              <w:t>os</w:t>
            </w:r>
            <w:r w:rsidR="009A0C7F" w:rsidRPr="00BA6AED">
              <w:rPr>
                <w:rFonts w:ascii="Arial" w:hAnsi="Arial" w:cs="Arial"/>
                <w:sz w:val="20"/>
                <w:szCs w:val="20"/>
              </w:rPr>
              <w:t xml:space="preserve">, </w:t>
            </w:r>
            <w:r w:rsidR="009A0C7F">
              <w:rPr>
                <w:rFonts w:ascii="Arial" w:hAnsi="Arial" w:cs="Arial"/>
                <w:sz w:val="20"/>
                <w:szCs w:val="20"/>
              </w:rPr>
              <w:t>pro</w:t>
            </w:r>
            <w:r w:rsidR="009E1DF0">
              <w:rPr>
                <w:rFonts w:ascii="Arial" w:hAnsi="Arial" w:cs="Arial"/>
                <w:sz w:val="20"/>
                <w:szCs w:val="20"/>
              </w:rPr>
              <w:softHyphen/>
            </w:r>
            <w:r w:rsidR="009A0C7F">
              <w:rPr>
                <w:rFonts w:ascii="Arial" w:hAnsi="Arial" w:cs="Arial"/>
                <w:sz w:val="20"/>
                <w:szCs w:val="20"/>
              </w:rPr>
              <w:t>gram</w:t>
            </w:r>
            <w:r w:rsidR="00F35547">
              <w:rPr>
                <w:rFonts w:ascii="Arial" w:hAnsi="Arial" w:cs="Arial"/>
                <w:sz w:val="20"/>
                <w:szCs w:val="20"/>
              </w:rPr>
              <w:t>ų</w:t>
            </w:r>
            <w:r w:rsidR="009A0C7F">
              <w:rPr>
                <w:rFonts w:ascii="Arial" w:hAnsi="Arial" w:cs="Arial"/>
                <w:sz w:val="20"/>
                <w:szCs w:val="20"/>
              </w:rPr>
              <w:t xml:space="preserve"> ir </w:t>
            </w:r>
            <w:r w:rsidR="0022327D">
              <w:rPr>
                <w:rFonts w:ascii="Arial" w:hAnsi="Arial" w:cs="Arial"/>
                <w:sz w:val="20"/>
                <w:szCs w:val="20"/>
              </w:rPr>
              <w:t>tvark</w:t>
            </w:r>
            <w:r w:rsidR="00F35547">
              <w:rPr>
                <w:rFonts w:ascii="Arial" w:hAnsi="Arial" w:cs="Arial"/>
                <w:sz w:val="20"/>
                <w:szCs w:val="20"/>
              </w:rPr>
              <w:t xml:space="preserve">ų priežiūrą, kas leidžia užtikrinti jų </w:t>
            </w:r>
            <w:proofErr w:type="spellStart"/>
            <w:r w:rsidR="00F35547">
              <w:rPr>
                <w:rFonts w:ascii="Arial" w:hAnsi="Arial" w:cs="Arial"/>
                <w:sz w:val="20"/>
                <w:szCs w:val="20"/>
              </w:rPr>
              <w:t>proaktyvumą</w:t>
            </w:r>
            <w:proofErr w:type="spellEnd"/>
            <w:r w:rsidR="009E1DF0">
              <w:rPr>
                <w:rFonts w:ascii="Arial" w:hAnsi="Arial" w:cs="Arial"/>
                <w:sz w:val="20"/>
                <w:szCs w:val="20"/>
              </w:rPr>
              <w:t xml:space="preserve">, </w:t>
            </w:r>
            <w:r w:rsidR="00401CD1" w:rsidRPr="00401CD1">
              <w:rPr>
                <w:rFonts w:ascii="Arial" w:hAnsi="Arial" w:cs="Arial"/>
                <w:sz w:val="20"/>
                <w:szCs w:val="20"/>
              </w:rPr>
              <w:t xml:space="preserve">reaguojant į esamus ir kylančius pokyčius ar </w:t>
            </w:r>
            <w:proofErr w:type="spellStart"/>
            <w:r w:rsidR="00401CD1" w:rsidRPr="00401CD1">
              <w:rPr>
                <w:rFonts w:ascii="Arial" w:hAnsi="Arial" w:cs="Arial"/>
                <w:sz w:val="20"/>
                <w:szCs w:val="20"/>
              </w:rPr>
              <w:t>iššūkius</w:t>
            </w:r>
            <w:bookmarkEnd w:id="1"/>
            <w:r w:rsidR="00401CD1" w:rsidRPr="00401CD1">
              <w:rPr>
                <w:rFonts w:ascii="Arial" w:hAnsi="Arial" w:cs="Arial"/>
                <w:sz w:val="20"/>
                <w:szCs w:val="20"/>
              </w:rPr>
              <w:t>.</w:t>
            </w:r>
            <w:r w:rsidR="00197858">
              <w:rPr>
                <w:rFonts w:ascii="Arial" w:hAnsi="Arial" w:cs="Arial"/>
                <w:sz w:val="20"/>
                <w:szCs w:val="20"/>
              </w:rPr>
              <w:t>Vykdant</w:t>
            </w:r>
            <w:proofErr w:type="spellEnd"/>
            <w:r w:rsidR="00197858">
              <w:rPr>
                <w:rFonts w:ascii="Arial" w:hAnsi="Arial" w:cs="Arial"/>
                <w:sz w:val="20"/>
                <w:szCs w:val="20"/>
              </w:rPr>
              <w:t xml:space="preserve"> </w:t>
            </w:r>
            <w:r w:rsidR="009A0C7F">
              <w:rPr>
                <w:rFonts w:ascii="Arial" w:hAnsi="Arial" w:cs="Arial"/>
                <w:sz w:val="20"/>
                <w:szCs w:val="20"/>
              </w:rPr>
              <w:t>su atlygio politika susijusi</w:t>
            </w:r>
            <w:r w:rsidR="00197858">
              <w:rPr>
                <w:rFonts w:ascii="Arial" w:hAnsi="Arial" w:cs="Arial"/>
                <w:sz w:val="20"/>
                <w:szCs w:val="20"/>
              </w:rPr>
              <w:t>ą priežiūrą,</w:t>
            </w:r>
            <w:r w:rsidR="009A0C7F">
              <w:rPr>
                <w:rFonts w:ascii="Arial" w:hAnsi="Arial" w:cs="Arial"/>
                <w:sz w:val="20"/>
                <w:szCs w:val="20"/>
              </w:rPr>
              <w:t xml:space="preserve"> </w:t>
            </w:r>
            <w:r w:rsidR="00197858">
              <w:rPr>
                <w:rFonts w:ascii="Arial" w:hAnsi="Arial" w:cs="Arial"/>
                <w:sz w:val="20"/>
                <w:szCs w:val="20"/>
              </w:rPr>
              <w:t xml:space="preserve">pagrindinės </w:t>
            </w:r>
            <w:r>
              <w:rPr>
                <w:rFonts w:ascii="Arial" w:hAnsi="Arial" w:cs="Arial"/>
                <w:sz w:val="20"/>
                <w:szCs w:val="20"/>
              </w:rPr>
              <w:t>ASK</w:t>
            </w:r>
            <w:r w:rsidR="00E41017">
              <w:rPr>
                <w:rFonts w:ascii="Arial" w:hAnsi="Arial" w:cs="Arial"/>
                <w:sz w:val="20"/>
                <w:szCs w:val="20"/>
              </w:rPr>
              <w:t xml:space="preserve"> </w:t>
            </w:r>
            <w:r w:rsidR="009A0C7F">
              <w:rPr>
                <w:rFonts w:ascii="Arial" w:hAnsi="Arial" w:cs="Arial"/>
                <w:sz w:val="20"/>
                <w:szCs w:val="20"/>
              </w:rPr>
              <w:t>pareigos yra šios</w:t>
            </w:r>
            <w:r w:rsidR="009A0C7F" w:rsidRPr="00BA6AED">
              <w:rPr>
                <w:rFonts w:ascii="Arial" w:hAnsi="Arial" w:cs="Arial"/>
                <w:sz w:val="20"/>
                <w:szCs w:val="20"/>
              </w:rPr>
              <w:t>:</w:t>
            </w:r>
          </w:p>
          <w:p w14:paraId="66A0C9C0" w14:textId="4168C568" w:rsidR="00EA3F6C" w:rsidRDefault="00EA3F6C" w:rsidP="00EA3F6C">
            <w:pPr>
              <w:tabs>
                <w:tab w:val="left" w:pos="8647"/>
              </w:tabs>
              <w:jc w:val="both"/>
              <w:rPr>
                <w:rFonts w:ascii="Arial" w:hAnsi="Arial" w:cs="Arial"/>
                <w:sz w:val="20"/>
                <w:szCs w:val="20"/>
              </w:rPr>
            </w:pPr>
          </w:p>
          <w:p w14:paraId="6B6A0DE1" w14:textId="77777777" w:rsidR="00EA3F6C" w:rsidRDefault="00EA3F6C" w:rsidP="00EA3F6C">
            <w:pPr>
              <w:tabs>
                <w:tab w:val="left" w:pos="8647"/>
              </w:tabs>
              <w:jc w:val="both"/>
              <w:rPr>
                <w:rFonts w:ascii="Arial" w:hAnsi="Arial" w:cs="Arial"/>
                <w:sz w:val="20"/>
                <w:szCs w:val="20"/>
              </w:rPr>
            </w:pPr>
          </w:p>
          <w:p w14:paraId="1AA90871" w14:textId="61B5A8B9" w:rsidR="00EA3F6C" w:rsidRPr="00EA3F6C" w:rsidRDefault="008B0881" w:rsidP="00EA3F6C">
            <w:pPr>
              <w:pStyle w:val="ListParagraph"/>
              <w:numPr>
                <w:ilvl w:val="0"/>
                <w:numId w:val="19"/>
              </w:numPr>
              <w:tabs>
                <w:tab w:val="left" w:pos="8647"/>
              </w:tabs>
              <w:jc w:val="both"/>
              <w:rPr>
                <w:rFonts w:ascii="Arial" w:hAnsi="Arial" w:cs="Arial"/>
                <w:sz w:val="20"/>
                <w:szCs w:val="20"/>
              </w:rPr>
            </w:pPr>
            <w:r w:rsidRPr="00EA3F6C">
              <w:rPr>
                <w:rFonts w:ascii="Arial" w:hAnsi="Arial" w:cs="Arial"/>
                <w:bCs/>
                <w:sz w:val="20"/>
                <w:szCs w:val="20"/>
              </w:rPr>
              <w:t>teikti stebėtojų tarybai svarstyti pasiūlymus ir rekomendacijas dėl valdymo organų narių atlygio tvarkos ir vadovaujančių darbuotojų atlyginimų politikos;</w:t>
            </w:r>
          </w:p>
          <w:p w14:paraId="11169A9A" w14:textId="2B35ADCF" w:rsidR="00EA3F6C" w:rsidRDefault="00EA3F6C" w:rsidP="00EA3F6C">
            <w:pPr>
              <w:pStyle w:val="ListParagraph"/>
              <w:tabs>
                <w:tab w:val="left" w:pos="8647"/>
              </w:tabs>
              <w:jc w:val="both"/>
              <w:rPr>
                <w:rFonts w:ascii="Arial" w:hAnsi="Arial" w:cs="Arial"/>
                <w:bCs/>
                <w:sz w:val="20"/>
                <w:szCs w:val="20"/>
              </w:rPr>
            </w:pPr>
          </w:p>
          <w:p w14:paraId="4559A9F4" w14:textId="77777777" w:rsidR="00EA3F6C" w:rsidRPr="00EA3F6C" w:rsidRDefault="00EA3F6C" w:rsidP="00EA3F6C">
            <w:pPr>
              <w:pStyle w:val="ListParagraph"/>
              <w:tabs>
                <w:tab w:val="left" w:pos="8647"/>
              </w:tabs>
              <w:jc w:val="both"/>
              <w:rPr>
                <w:rFonts w:ascii="Arial" w:hAnsi="Arial" w:cs="Arial"/>
                <w:sz w:val="20"/>
                <w:szCs w:val="20"/>
              </w:rPr>
            </w:pPr>
          </w:p>
          <w:p w14:paraId="12CDBBC2" w14:textId="580D8B62" w:rsidR="008B0881" w:rsidRPr="00EA3F6C" w:rsidRDefault="008B0881" w:rsidP="00EA3F6C">
            <w:pPr>
              <w:pStyle w:val="ListParagraph"/>
              <w:numPr>
                <w:ilvl w:val="0"/>
                <w:numId w:val="19"/>
              </w:numPr>
              <w:tabs>
                <w:tab w:val="left" w:pos="8647"/>
              </w:tabs>
              <w:jc w:val="both"/>
              <w:rPr>
                <w:rFonts w:ascii="Arial" w:hAnsi="Arial" w:cs="Arial"/>
                <w:sz w:val="20"/>
                <w:szCs w:val="20"/>
              </w:rPr>
            </w:pPr>
            <w:r w:rsidRPr="00EA3F6C">
              <w:rPr>
                <w:rFonts w:ascii="Arial" w:hAnsi="Arial" w:cs="Arial"/>
                <w:bCs/>
                <w:sz w:val="20"/>
                <w:szCs w:val="20"/>
              </w:rPr>
              <w:t>teikti stebėtojų tarybai pasiūlymus dėl individualių atlyginimų vadovaujantiems darbuotojams ir valdymo organų nariams, siekiant, kad jie atitiktų Bendrovės atlyginimų politiką ir šių asmenų veiklos įvertinimą;</w:t>
            </w:r>
          </w:p>
          <w:p w14:paraId="404F46D2" w14:textId="77777777" w:rsidR="008B0881" w:rsidRPr="008B0881" w:rsidRDefault="008B0881" w:rsidP="00EA3F6C">
            <w:pPr>
              <w:pStyle w:val="ListParagraph"/>
              <w:rPr>
                <w:rFonts w:ascii="Arial" w:hAnsi="Arial" w:cs="Arial"/>
                <w:bCs/>
                <w:sz w:val="20"/>
                <w:szCs w:val="20"/>
              </w:rPr>
            </w:pPr>
          </w:p>
          <w:p w14:paraId="4207CCF9" w14:textId="77777777" w:rsidR="008B0881" w:rsidRPr="00EA3F6C" w:rsidRDefault="008B0881" w:rsidP="00EA3F6C">
            <w:pPr>
              <w:tabs>
                <w:tab w:val="left" w:pos="8647"/>
              </w:tabs>
              <w:jc w:val="both"/>
              <w:rPr>
                <w:rFonts w:ascii="Arial" w:hAnsi="Arial" w:cs="Arial"/>
                <w:bCs/>
                <w:sz w:val="20"/>
                <w:szCs w:val="20"/>
              </w:rPr>
            </w:pPr>
          </w:p>
          <w:p w14:paraId="69F019FC" w14:textId="3B21D441" w:rsidR="00834755" w:rsidRDefault="008B0881" w:rsidP="00834755">
            <w:pPr>
              <w:pStyle w:val="ListParagraph"/>
              <w:numPr>
                <w:ilvl w:val="0"/>
                <w:numId w:val="8"/>
              </w:numPr>
              <w:tabs>
                <w:tab w:val="left" w:pos="8647"/>
              </w:tabs>
              <w:jc w:val="both"/>
              <w:rPr>
                <w:rFonts w:ascii="Arial" w:hAnsi="Arial" w:cs="Arial"/>
                <w:bCs/>
                <w:sz w:val="20"/>
                <w:szCs w:val="20"/>
              </w:rPr>
            </w:pPr>
            <w:r w:rsidRPr="008B0881">
              <w:rPr>
                <w:rFonts w:ascii="Arial" w:hAnsi="Arial" w:cs="Arial"/>
                <w:bCs/>
                <w:sz w:val="20"/>
                <w:szCs w:val="20"/>
              </w:rPr>
              <w:t>užtikrinti, kad individualus atlyginimas vadovaujančiam darbuotojui ir valdymo organo nariui būtų proporcingas kitų Bendrovės vadovaujančių darbuotojų arba valdymo organų narių ir kitų Bendrovės darbuotojų atlyginimui;</w:t>
            </w:r>
          </w:p>
          <w:p w14:paraId="1BD8972F" w14:textId="77777777" w:rsidR="00834755" w:rsidRDefault="00834755" w:rsidP="00834755">
            <w:pPr>
              <w:pStyle w:val="ListParagraph"/>
              <w:tabs>
                <w:tab w:val="left" w:pos="8647"/>
              </w:tabs>
              <w:jc w:val="both"/>
              <w:rPr>
                <w:rFonts w:ascii="Arial" w:hAnsi="Arial" w:cs="Arial"/>
                <w:bCs/>
                <w:sz w:val="20"/>
                <w:szCs w:val="20"/>
              </w:rPr>
            </w:pPr>
          </w:p>
          <w:p w14:paraId="595DB8DD" w14:textId="79205F2C" w:rsidR="008B0881" w:rsidRPr="00834755" w:rsidRDefault="008B0881" w:rsidP="00834755">
            <w:pPr>
              <w:pStyle w:val="ListParagraph"/>
              <w:numPr>
                <w:ilvl w:val="0"/>
                <w:numId w:val="8"/>
              </w:numPr>
              <w:tabs>
                <w:tab w:val="left" w:pos="8647"/>
              </w:tabs>
              <w:jc w:val="both"/>
              <w:rPr>
                <w:rFonts w:ascii="Arial" w:hAnsi="Arial" w:cs="Arial"/>
                <w:bCs/>
                <w:sz w:val="20"/>
                <w:szCs w:val="20"/>
              </w:rPr>
            </w:pPr>
            <w:r w:rsidRPr="00834755">
              <w:rPr>
                <w:rFonts w:ascii="Arial" w:hAnsi="Arial" w:cs="Arial"/>
                <w:bCs/>
                <w:sz w:val="20"/>
                <w:szCs w:val="20"/>
              </w:rPr>
              <w:lastRenderedPageBreak/>
              <w:t>reguliariai peržiūrėti vadovaujančių darbuotojų ar valdymo organų narių atlyginimų nustatymo politiką, atlygio tvarką bei jų įgyvendinimą;</w:t>
            </w:r>
          </w:p>
          <w:p w14:paraId="4836AD56" w14:textId="77777777" w:rsidR="008B0881" w:rsidRPr="008B0881" w:rsidRDefault="008B0881" w:rsidP="00EA3F6C">
            <w:pPr>
              <w:pStyle w:val="ListParagraph"/>
              <w:tabs>
                <w:tab w:val="left" w:pos="8647"/>
              </w:tabs>
              <w:jc w:val="both"/>
              <w:rPr>
                <w:rFonts w:ascii="Arial" w:hAnsi="Arial" w:cs="Arial"/>
                <w:bCs/>
                <w:sz w:val="20"/>
                <w:szCs w:val="20"/>
              </w:rPr>
            </w:pPr>
          </w:p>
          <w:p w14:paraId="7B89C93A" w14:textId="77777777" w:rsidR="008B0881" w:rsidRPr="00EA3F6C" w:rsidRDefault="008B0881" w:rsidP="00EA3F6C">
            <w:pPr>
              <w:pStyle w:val="ListParagraph"/>
              <w:numPr>
                <w:ilvl w:val="0"/>
                <w:numId w:val="8"/>
              </w:numPr>
              <w:tabs>
                <w:tab w:val="left" w:pos="8647"/>
              </w:tabs>
              <w:jc w:val="both"/>
              <w:rPr>
                <w:rFonts w:ascii="Arial" w:hAnsi="Arial" w:cs="Arial"/>
                <w:sz w:val="20"/>
                <w:szCs w:val="20"/>
              </w:rPr>
            </w:pPr>
            <w:r w:rsidRPr="008B0881">
              <w:rPr>
                <w:rFonts w:ascii="Arial" w:hAnsi="Arial" w:cs="Arial"/>
                <w:bCs/>
                <w:sz w:val="20"/>
                <w:szCs w:val="20"/>
              </w:rPr>
              <w:t xml:space="preserve">teikti stebėtojų tarybai pasiūlymus dėl tinkamų sutarčių su vadovaujančiais darbuotojais ir (ar) valdymo organų nariais </w:t>
            </w:r>
            <w:r w:rsidRPr="00EA3F6C">
              <w:rPr>
                <w:rFonts w:ascii="Arial" w:hAnsi="Arial" w:cs="Arial"/>
                <w:sz w:val="20"/>
                <w:szCs w:val="20"/>
              </w:rPr>
              <w:t>formų;</w:t>
            </w:r>
          </w:p>
          <w:p w14:paraId="6FF9B931" w14:textId="4C5DD730" w:rsidR="008B0881" w:rsidRPr="00EA3F6C" w:rsidRDefault="008B0881" w:rsidP="00EA3F6C">
            <w:pPr>
              <w:pStyle w:val="ListParagraph"/>
              <w:numPr>
                <w:ilvl w:val="0"/>
                <w:numId w:val="8"/>
              </w:numPr>
              <w:tabs>
                <w:tab w:val="left" w:pos="8647"/>
              </w:tabs>
              <w:jc w:val="both"/>
              <w:rPr>
                <w:rFonts w:ascii="Arial" w:hAnsi="Arial" w:cs="Arial"/>
                <w:sz w:val="20"/>
                <w:szCs w:val="20"/>
              </w:rPr>
            </w:pPr>
            <w:r w:rsidRPr="00EA3F6C">
              <w:rPr>
                <w:rFonts w:ascii="Arial" w:hAnsi="Arial" w:cs="Arial"/>
                <w:sz w:val="20"/>
                <w:szCs w:val="20"/>
              </w:rPr>
              <w:t>padėti stebėtojų tarybai prižiūrėti, kaip Bendrovė laikosi galiojančių nuostatų dėl informacijos, susijusios su atlyginimais, skelbimo;</w:t>
            </w:r>
          </w:p>
          <w:p w14:paraId="47152BB5" w14:textId="77777777" w:rsidR="008B0881" w:rsidRPr="008B0881" w:rsidRDefault="008B0881" w:rsidP="00EA3F6C">
            <w:pPr>
              <w:pStyle w:val="ListParagraph"/>
              <w:tabs>
                <w:tab w:val="left" w:pos="8647"/>
              </w:tabs>
              <w:jc w:val="both"/>
              <w:rPr>
                <w:rFonts w:ascii="Arial" w:hAnsi="Arial" w:cs="Arial"/>
                <w:bCs/>
                <w:sz w:val="20"/>
                <w:szCs w:val="20"/>
              </w:rPr>
            </w:pPr>
          </w:p>
          <w:p w14:paraId="45703963" w14:textId="17FCF4BF" w:rsidR="008B0881" w:rsidRDefault="008B0881" w:rsidP="00EA3F6C">
            <w:pPr>
              <w:pStyle w:val="ListParagraph"/>
              <w:numPr>
                <w:ilvl w:val="0"/>
                <w:numId w:val="8"/>
              </w:numPr>
              <w:tabs>
                <w:tab w:val="left" w:pos="8647"/>
              </w:tabs>
              <w:jc w:val="both"/>
              <w:rPr>
                <w:rFonts w:ascii="Arial" w:hAnsi="Arial" w:cs="Arial"/>
                <w:bCs/>
                <w:sz w:val="20"/>
                <w:szCs w:val="20"/>
              </w:rPr>
            </w:pPr>
            <w:r w:rsidRPr="008B0881">
              <w:rPr>
                <w:rFonts w:ascii="Arial" w:hAnsi="Arial" w:cs="Arial"/>
                <w:bCs/>
                <w:sz w:val="20"/>
                <w:szCs w:val="20"/>
              </w:rPr>
              <w:t>teikti vadovaujantiems darbuotojais ir (ar) organų nariams bendras rekomendacijas dėl šių darbuotojų ir (ar) organų narių atlyginimų dydžio ir struktūros, taip pat stebėti vadovaujančių darbuotojų atlyginimų dydį ir struktūrą, remiantis atitinkama informacija, kurią pateikia vadovaujantys darbuotojai ir (ar) organų nariai;</w:t>
            </w:r>
          </w:p>
          <w:p w14:paraId="5E45F5F6" w14:textId="77777777" w:rsidR="008B0881" w:rsidRPr="008B0881" w:rsidRDefault="008B0881" w:rsidP="00EA3F6C">
            <w:pPr>
              <w:tabs>
                <w:tab w:val="left" w:pos="8647"/>
              </w:tabs>
              <w:jc w:val="both"/>
              <w:rPr>
                <w:rFonts w:ascii="Arial" w:hAnsi="Arial" w:cs="Arial"/>
                <w:bCs/>
                <w:sz w:val="20"/>
                <w:szCs w:val="20"/>
              </w:rPr>
            </w:pPr>
          </w:p>
          <w:p w14:paraId="7D566686" w14:textId="4EC8F866" w:rsidR="008B0881" w:rsidRDefault="008B0881" w:rsidP="00EA3F6C">
            <w:pPr>
              <w:pStyle w:val="ListParagraph"/>
              <w:numPr>
                <w:ilvl w:val="0"/>
                <w:numId w:val="8"/>
              </w:numPr>
              <w:tabs>
                <w:tab w:val="left" w:pos="8647"/>
              </w:tabs>
              <w:jc w:val="both"/>
              <w:rPr>
                <w:rFonts w:ascii="Arial" w:hAnsi="Arial" w:cs="Arial"/>
                <w:bCs/>
                <w:sz w:val="20"/>
                <w:szCs w:val="20"/>
              </w:rPr>
            </w:pPr>
            <w:r w:rsidRPr="008B0881">
              <w:rPr>
                <w:rFonts w:ascii="Arial" w:hAnsi="Arial" w:cs="Arial"/>
                <w:bCs/>
                <w:sz w:val="20"/>
                <w:szCs w:val="20"/>
              </w:rPr>
              <w:t>įgyti patikimą, aktualią informaciją apie atlyginimus kitose panašaus dydžio ir kompleksiškumo bendrovėse</w:t>
            </w:r>
            <w:r w:rsidR="00834755">
              <w:rPr>
                <w:rFonts w:ascii="Arial" w:hAnsi="Arial" w:cs="Arial"/>
                <w:bCs/>
                <w:sz w:val="20"/>
                <w:szCs w:val="20"/>
              </w:rPr>
              <w:t>;</w:t>
            </w:r>
          </w:p>
          <w:p w14:paraId="73CB56CE" w14:textId="77777777" w:rsidR="00834755" w:rsidRPr="00834755" w:rsidRDefault="00834755" w:rsidP="00834755">
            <w:pPr>
              <w:tabs>
                <w:tab w:val="left" w:pos="8647"/>
              </w:tabs>
              <w:jc w:val="both"/>
              <w:rPr>
                <w:rFonts w:ascii="Arial" w:hAnsi="Arial" w:cs="Arial"/>
                <w:bCs/>
                <w:sz w:val="20"/>
                <w:szCs w:val="20"/>
              </w:rPr>
            </w:pPr>
          </w:p>
          <w:p w14:paraId="2B1B4C2E" w14:textId="32594AFE" w:rsidR="008B0881" w:rsidRDefault="008B0881" w:rsidP="00EA3F6C">
            <w:pPr>
              <w:pStyle w:val="ListParagraph"/>
              <w:numPr>
                <w:ilvl w:val="0"/>
                <w:numId w:val="8"/>
              </w:numPr>
              <w:tabs>
                <w:tab w:val="left" w:pos="8647"/>
              </w:tabs>
              <w:jc w:val="both"/>
              <w:rPr>
                <w:rFonts w:ascii="Arial" w:hAnsi="Arial" w:cs="Arial"/>
                <w:bCs/>
                <w:sz w:val="20"/>
                <w:szCs w:val="20"/>
              </w:rPr>
            </w:pPr>
            <w:r w:rsidRPr="008B0881">
              <w:rPr>
                <w:rFonts w:ascii="Arial" w:hAnsi="Arial" w:cs="Arial"/>
                <w:bCs/>
                <w:sz w:val="20"/>
                <w:szCs w:val="20"/>
              </w:rPr>
              <w:t>tvirtinti Bendrovės valdomų su veiklos rezultatais grindžiamų darbo užmokesčių schemų projektus ir nustatyti jų tikslus ir patvirtinti maksimalias metines išmokas pagal tokias schemas</w:t>
            </w:r>
            <w:r w:rsidR="00834755">
              <w:rPr>
                <w:rFonts w:ascii="Arial" w:hAnsi="Arial" w:cs="Arial"/>
                <w:bCs/>
                <w:sz w:val="20"/>
                <w:szCs w:val="20"/>
              </w:rPr>
              <w:t>.</w:t>
            </w:r>
          </w:p>
          <w:p w14:paraId="190F46A4" w14:textId="77777777" w:rsidR="00834755" w:rsidRPr="00834755" w:rsidRDefault="00834755" w:rsidP="00834755">
            <w:pPr>
              <w:tabs>
                <w:tab w:val="left" w:pos="8647"/>
              </w:tabs>
              <w:jc w:val="both"/>
              <w:rPr>
                <w:rFonts w:ascii="Arial" w:hAnsi="Arial" w:cs="Arial"/>
                <w:bCs/>
                <w:sz w:val="20"/>
                <w:szCs w:val="20"/>
              </w:rPr>
            </w:pPr>
          </w:p>
          <w:p w14:paraId="3D950114" w14:textId="172E01CE" w:rsidR="001247C1" w:rsidRPr="001247C1" w:rsidRDefault="008B0881" w:rsidP="001247C1">
            <w:pPr>
              <w:pStyle w:val="ListParagraph"/>
              <w:numPr>
                <w:ilvl w:val="0"/>
                <w:numId w:val="8"/>
              </w:numPr>
              <w:tabs>
                <w:tab w:val="left" w:pos="8647"/>
              </w:tabs>
              <w:jc w:val="both"/>
              <w:rPr>
                <w:rFonts w:ascii="Arial" w:hAnsi="Arial" w:cs="Arial"/>
                <w:bCs/>
                <w:sz w:val="20"/>
                <w:szCs w:val="20"/>
              </w:rPr>
            </w:pPr>
            <w:r>
              <w:rPr>
                <w:rFonts w:ascii="Arial" w:hAnsi="Arial" w:cs="Arial"/>
                <w:bCs/>
                <w:sz w:val="20"/>
                <w:szCs w:val="20"/>
              </w:rPr>
              <w:t>S</w:t>
            </w:r>
            <w:r w:rsidRPr="008B0881">
              <w:rPr>
                <w:rFonts w:ascii="Arial" w:hAnsi="Arial" w:cs="Arial"/>
                <w:bCs/>
                <w:sz w:val="20"/>
                <w:szCs w:val="20"/>
              </w:rPr>
              <w:t xml:space="preserve">prendžiant skatinimo klausimą, susijusį su akcijų pasirinkimo sandoriais ar kitomis su akcijomis susijusiomis skatinimo priemonėmis, kurios gali būti taikomos organų nariams ar Bendrovės darbuotojams, </w:t>
            </w:r>
            <w:r w:rsidR="00834755">
              <w:rPr>
                <w:rFonts w:ascii="Arial" w:hAnsi="Arial" w:cs="Arial"/>
                <w:bCs/>
                <w:sz w:val="20"/>
                <w:szCs w:val="20"/>
              </w:rPr>
              <w:t xml:space="preserve">ASK </w:t>
            </w:r>
            <w:r w:rsidRPr="008B0881">
              <w:rPr>
                <w:rFonts w:ascii="Arial" w:hAnsi="Arial" w:cs="Arial"/>
                <w:bCs/>
                <w:sz w:val="20"/>
                <w:szCs w:val="20"/>
              </w:rPr>
              <w:t>turėtų:</w:t>
            </w:r>
          </w:p>
          <w:p w14:paraId="3E0E3B86" w14:textId="77777777" w:rsidR="008B0881" w:rsidRDefault="008B0881" w:rsidP="00EA3F6C">
            <w:pPr>
              <w:pStyle w:val="ListParagraph"/>
              <w:numPr>
                <w:ilvl w:val="0"/>
                <w:numId w:val="9"/>
              </w:numPr>
              <w:tabs>
                <w:tab w:val="left" w:pos="8647"/>
              </w:tabs>
              <w:jc w:val="both"/>
              <w:rPr>
                <w:rFonts w:ascii="Arial" w:hAnsi="Arial" w:cs="Arial"/>
                <w:bCs/>
                <w:sz w:val="20"/>
                <w:szCs w:val="20"/>
              </w:rPr>
            </w:pPr>
            <w:r w:rsidRPr="008B0881">
              <w:rPr>
                <w:rFonts w:ascii="Arial" w:hAnsi="Arial" w:cs="Arial"/>
                <w:bCs/>
                <w:sz w:val="20"/>
                <w:szCs w:val="20"/>
              </w:rPr>
              <w:t>apsvarstyti bendrą tokių skatinimo sistemų taikymo politiką, ypatingą dėmesį skiriant skatinimui, susijusiam su akcijų pasirinkimo sandoriais, ir pateikti stebėtojų tarybai su tuo susijusius pasiūlymus;</w:t>
            </w:r>
          </w:p>
          <w:p w14:paraId="595AE51D" w14:textId="77777777" w:rsidR="008B0881" w:rsidRDefault="008B0881" w:rsidP="00EA3F6C">
            <w:pPr>
              <w:pStyle w:val="ListParagraph"/>
              <w:numPr>
                <w:ilvl w:val="0"/>
                <w:numId w:val="9"/>
              </w:numPr>
              <w:tabs>
                <w:tab w:val="left" w:pos="8647"/>
              </w:tabs>
              <w:jc w:val="both"/>
              <w:rPr>
                <w:rFonts w:ascii="Arial" w:hAnsi="Arial" w:cs="Arial"/>
                <w:bCs/>
                <w:sz w:val="20"/>
                <w:szCs w:val="20"/>
              </w:rPr>
            </w:pPr>
            <w:r w:rsidRPr="008B0881">
              <w:rPr>
                <w:rFonts w:ascii="Arial" w:hAnsi="Arial" w:cs="Arial"/>
                <w:bCs/>
                <w:sz w:val="20"/>
                <w:szCs w:val="20"/>
              </w:rPr>
              <w:t>išnagrinėti informaciją, kuri pateikta šiuo klausimu Bendrovės metiniame pranešime ir dokumentuose, skirtuose Bendrovės akcininkų susirinkimui;</w:t>
            </w:r>
          </w:p>
          <w:p w14:paraId="17DFA265" w14:textId="32FE1AE7" w:rsidR="008B0881" w:rsidRPr="008B0881" w:rsidRDefault="008B0881" w:rsidP="00EA3F6C">
            <w:pPr>
              <w:pStyle w:val="ListParagraph"/>
              <w:numPr>
                <w:ilvl w:val="0"/>
                <w:numId w:val="9"/>
              </w:numPr>
              <w:tabs>
                <w:tab w:val="left" w:pos="8647"/>
              </w:tabs>
              <w:jc w:val="both"/>
              <w:rPr>
                <w:rFonts w:ascii="Arial" w:hAnsi="Arial" w:cs="Arial"/>
                <w:bCs/>
                <w:sz w:val="20"/>
                <w:szCs w:val="20"/>
              </w:rPr>
            </w:pPr>
            <w:r w:rsidRPr="008B0881">
              <w:rPr>
                <w:rFonts w:ascii="Arial" w:hAnsi="Arial" w:cs="Arial"/>
                <w:bCs/>
                <w:sz w:val="20"/>
                <w:szCs w:val="20"/>
              </w:rPr>
              <w:t>pateikti stebėtojų tarybai pasiūlymus dėl pasirinkimo sandorių pasirašant akcijas arba pasirinkimo sandorių perkant akcijas alternatyvos apibrėžiant tokios alternatyvos suteikimo priežastis ir pasekmes.</w:t>
            </w:r>
          </w:p>
          <w:p w14:paraId="5F5E660C" w14:textId="5F6B6CBC" w:rsidR="009A0C7F" w:rsidRPr="00E10BA8" w:rsidRDefault="009A0C7F" w:rsidP="00EA3F6C">
            <w:pPr>
              <w:tabs>
                <w:tab w:val="left" w:pos="8647"/>
              </w:tabs>
              <w:jc w:val="both"/>
              <w:rPr>
                <w:rFonts w:ascii="Arial" w:hAnsi="Arial" w:cs="Arial"/>
                <w:b/>
                <w:bCs/>
                <w:color w:val="2F5496" w:themeColor="accent1" w:themeShade="BF"/>
                <w:sz w:val="24"/>
                <w:szCs w:val="24"/>
              </w:rPr>
            </w:pPr>
          </w:p>
        </w:tc>
      </w:tr>
      <w:bookmarkEnd w:id="0"/>
      <w:tr w:rsidR="009A0C7F" w14:paraId="6178DBCA" w14:textId="77777777" w:rsidTr="009A0C7F">
        <w:tc>
          <w:tcPr>
            <w:tcW w:w="4673" w:type="dxa"/>
          </w:tcPr>
          <w:p w14:paraId="3DCCD9DE" w14:textId="77777777" w:rsidR="009A0C7F" w:rsidRPr="00DE5CF2" w:rsidRDefault="009A0C7F" w:rsidP="00EA3F6C">
            <w:pPr>
              <w:tabs>
                <w:tab w:val="left" w:pos="8647"/>
              </w:tabs>
              <w:jc w:val="both"/>
              <w:rPr>
                <w:rFonts w:ascii="Arial" w:hAnsi="Arial" w:cs="Arial"/>
                <w:b/>
                <w:bCs/>
                <w:color w:val="2F5496" w:themeColor="accent1" w:themeShade="BF"/>
                <w:sz w:val="20"/>
                <w:szCs w:val="20"/>
              </w:rPr>
            </w:pPr>
          </w:p>
          <w:p w14:paraId="407C5BD2" w14:textId="1D4A1323" w:rsidR="009A0C7F" w:rsidRPr="00E85BF8" w:rsidRDefault="009A0C7F" w:rsidP="00EA3F6C">
            <w:pPr>
              <w:tabs>
                <w:tab w:val="left" w:pos="8647"/>
              </w:tabs>
              <w:jc w:val="both"/>
              <w:rPr>
                <w:rFonts w:ascii="Arial" w:hAnsi="Arial" w:cs="Arial"/>
                <w:b/>
                <w:bCs/>
                <w:color w:val="2F5496" w:themeColor="accent1" w:themeShade="BF"/>
                <w:sz w:val="20"/>
                <w:szCs w:val="20"/>
                <w:lang w:val="en-US"/>
              </w:rPr>
            </w:pPr>
            <w:bookmarkStart w:id="2" w:name="_Hlk20833234"/>
            <w:r w:rsidRPr="00E85BF8">
              <w:rPr>
                <w:rFonts w:ascii="Arial" w:hAnsi="Arial" w:cs="Arial"/>
                <w:b/>
                <w:bCs/>
                <w:color w:val="2F5496" w:themeColor="accent1" w:themeShade="BF"/>
                <w:sz w:val="20"/>
                <w:szCs w:val="20"/>
                <w:lang w:val="en-US"/>
              </w:rPr>
              <w:t>Remuneration Principles</w:t>
            </w:r>
          </w:p>
          <w:bookmarkEnd w:id="2"/>
          <w:p w14:paraId="616AE711"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7DDB701C"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Company provides guiding principles that drive remuneration-related decision-making across </w:t>
            </w:r>
            <w:r w:rsidRPr="00E85BF8">
              <w:rPr>
                <w:rFonts w:ascii="Arial" w:hAnsi="Arial" w:cs="Arial"/>
                <w:sz w:val="20"/>
                <w:szCs w:val="20"/>
                <w:lang w:val="en-US"/>
              </w:rPr>
              <w:lastRenderedPageBreak/>
              <w:t xml:space="preserve">every level of the Company and its subsidiaries. The Company strives to clearly communicate its remuneration principles to promote fairness and consistency. </w:t>
            </w:r>
          </w:p>
          <w:p w14:paraId="57B4A116"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5323F202" w14:textId="0C23E27E"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Company’s remuneration principles: </w:t>
            </w:r>
          </w:p>
          <w:p w14:paraId="2826FC4D" w14:textId="77777777" w:rsidR="009A0C7F" w:rsidRPr="00E85BF8" w:rsidRDefault="009A0C7F" w:rsidP="00EA3F6C">
            <w:pPr>
              <w:tabs>
                <w:tab w:val="left" w:pos="8647"/>
              </w:tabs>
              <w:jc w:val="both"/>
              <w:rPr>
                <w:rFonts w:ascii="Arial" w:hAnsi="Arial" w:cs="Arial"/>
                <w:b/>
                <w:bCs/>
                <w:sz w:val="20"/>
                <w:szCs w:val="20"/>
                <w:lang w:val="en-US"/>
              </w:rPr>
            </w:pPr>
          </w:p>
          <w:p w14:paraId="2E5E230D" w14:textId="5391D7BB" w:rsidR="009A0C7F" w:rsidRPr="00834755" w:rsidRDefault="009A0C7F" w:rsidP="00834755">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Linking remuneration to performance and aligning with shareholders’ interests </w:t>
            </w:r>
          </w:p>
          <w:p w14:paraId="6C736AD5" w14:textId="77777777" w:rsidR="009A0C7F" w:rsidRPr="00E85BF8" w:rsidRDefault="009A0C7F" w:rsidP="00EA3F6C">
            <w:pPr>
              <w:pStyle w:val="ListParagraph"/>
              <w:tabs>
                <w:tab w:val="left" w:pos="8647"/>
              </w:tabs>
              <w:jc w:val="both"/>
              <w:rPr>
                <w:rFonts w:ascii="Arial" w:hAnsi="Arial" w:cs="Arial"/>
                <w:sz w:val="20"/>
                <w:szCs w:val="20"/>
                <w:lang w:val="en-US"/>
              </w:rPr>
            </w:pPr>
            <w:r w:rsidRPr="00E85BF8">
              <w:rPr>
                <w:rFonts w:ascii="Arial" w:hAnsi="Arial" w:cs="Arial"/>
                <w:sz w:val="20"/>
                <w:szCs w:val="20"/>
                <w:lang w:val="en-US"/>
              </w:rPr>
              <w:t xml:space="preserve">In making remuneration-related decisions, the Company focuses on long-term, risk-adjusted performance and rewards performance that generate sustained value for the Company. </w:t>
            </w:r>
          </w:p>
          <w:p w14:paraId="22D667AA" w14:textId="77777777" w:rsidR="009A0C7F" w:rsidRPr="00E85BF8" w:rsidRDefault="009A0C7F" w:rsidP="00EA3F6C">
            <w:pPr>
              <w:pStyle w:val="ListParagraph"/>
              <w:tabs>
                <w:tab w:val="left" w:pos="8647"/>
              </w:tabs>
              <w:jc w:val="both"/>
              <w:rPr>
                <w:rFonts w:ascii="Arial" w:hAnsi="Arial" w:cs="Arial"/>
                <w:b/>
                <w:bCs/>
                <w:sz w:val="20"/>
                <w:szCs w:val="20"/>
                <w:lang w:val="en-US"/>
              </w:rPr>
            </w:pPr>
          </w:p>
          <w:p w14:paraId="1653A905" w14:textId="77777777" w:rsidR="009A0C7F" w:rsidRPr="00E85BF8"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“Shared success” culture encouragement</w:t>
            </w:r>
          </w:p>
          <w:p w14:paraId="2287EA80" w14:textId="77777777" w:rsidR="009A0C7F" w:rsidRPr="00E85BF8" w:rsidRDefault="009A0C7F" w:rsidP="00EA3F6C">
            <w:pPr>
              <w:pStyle w:val="ListParagraph"/>
              <w:tabs>
                <w:tab w:val="left" w:pos="8647"/>
              </w:tabs>
              <w:jc w:val="both"/>
              <w:rPr>
                <w:rFonts w:ascii="Arial" w:hAnsi="Arial" w:cs="Arial"/>
                <w:b/>
                <w:bCs/>
                <w:sz w:val="20"/>
                <w:szCs w:val="20"/>
                <w:lang w:val="en-US"/>
              </w:rPr>
            </w:pPr>
          </w:p>
          <w:p w14:paraId="40F84231" w14:textId="72949643" w:rsidR="009A0C7F" w:rsidRPr="00AD284D" w:rsidRDefault="009A0C7F" w:rsidP="00AD284D">
            <w:pPr>
              <w:pStyle w:val="ListParagraph"/>
              <w:tabs>
                <w:tab w:val="left" w:pos="8647"/>
              </w:tabs>
              <w:jc w:val="both"/>
              <w:rPr>
                <w:rFonts w:ascii="Arial" w:hAnsi="Arial" w:cs="Arial"/>
                <w:sz w:val="20"/>
                <w:szCs w:val="20"/>
                <w:lang w:val="en-US"/>
              </w:rPr>
            </w:pPr>
            <w:r w:rsidRPr="00E85BF8">
              <w:rPr>
                <w:rFonts w:ascii="Arial" w:hAnsi="Arial" w:cs="Arial"/>
                <w:sz w:val="20"/>
                <w:szCs w:val="20"/>
                <w:lang w:val="en-US"/>
              </w:rPr>
              <w:t>Teamwork should be encouraged and rewarded to foster a “shared success” culture.</w:t>
            </w:r>
          </w:p>
          <w:p w14:paraId="0F102E57" w14:textId="77777777" w:rsidR="009A0C7F" w:rsidRPr="00E85BF8" w:rsidRDefault="009A0C7F" w:rsidP="00EA3F6C">
            <w:pPr>
              <w:pStyle w:val="ListParagraph"/>
              <w:tabs>
                <w:tab w:val="left" w:pos="8647"/>
              </w:tabs>
              <w:jc w:val="both"/>
              <w:rPr>
                <w:rFonts w:ascii="Arial" w:hAnsi="Arial" w:cs="Arial"/>
                <w:sz w:val="20"/>
                <w:szCs w:val="20"/>
                <w:lang w:val="en-US"/>
              </w:rPr>
            </w:pPr>
            <w:r w:rsidRPr="00E85BF8">
              <w:rPr>
                <w:rFonts w:ascii="Arial" w:hAnsi="Arial" w:cs="Arial"/>
                <w:sz w:val="20"/>
                <w:szCs w:val="20"/>
                <w:lang w:val="en-US"/>
              </w:rPr>
              <w:t>Contributions should be considered across the Company, within business units, and at an individual level when evaluating an employee’s performance.</w:t>
            </w:r>
          </w:p>
          <w:p w14:paraId="7ACE7F97" w14:textId="77777777" w:rsidR="009A0C7F" w:rsidRPr="00E85BF8" w:rsidRDefault="009A0C7F" w:rsidP="00EA3F6C">
            <w:pPr>
              <w:pStyle w:val="ListParagraph"/>
              <w:tabs>
                <w:tab w:val="left" w:pos="8647"/>
              </w:tabs>
              <w:jc w:val="both"/>
              <w:rPr>
                <w:rFonts w:ascii="Arial" w:hAnsi="Arial" w:cs="Arial"/>
                <w:sz w:val="20"/>
                <w:szCs w:val="20"/>
                <w:lang w:val="en-US"/>
              </w:rPr>
            </w:pPr>
          </w:p>
          <w:p w14:paraId="5F01C8B4" w14:textId="77777777" w:rsidR="009A0C7F" w:rsidRPr="00E85BF8"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Attracting and retaining top talents </w:t>
            </w:r>
          </w:p>
          <w:p w14:paraId="627D7D2D" w14:textId="5A6E5AE0" w:rsidR="009A0C7F" w:rsidRDefault="009A0C7F" w:rsidP="00EA3F6C">
            <w:pPr>
              <w:pStyle w:val="ListParagraph"/>
              <w:rPr>
                <w:rFonts w:ascii="Arial" w:hAnsi="Arial" w:cs="Arial"/>
                <w:b/>
                <w:bCs/>
                <w:sz w:val="20"/>
                <w:szCs w:val="20"/>
                <w:lang w:val="en-US"/>
              </w:rPr>
            </w:pPr>
          </w:p>
          <w:p w14:paraId="56A12442" w14:textId="77777777" w:rsidR="006E0AE0" w:rsidRPr="00E85BF8" w:rsidRDefault="006E0AE0" w:rsidP="00EA3F6C">
            <w:pPr>
              <w:pStyle w:val="ListParagraph"/>
              <w:rPr>
                <w:rFonts w:ascii="Arial" w:hAnsi="Arial" w:cs="Arial"/>
                <w:b/>
                <w:bCs/>
                <w:sz w:val="20"/>
                <w:szCs w:val="20"/>
                <w:lang w:val="en-US"/>
              </w:rPr>
            </w:pPr>
          </w:p>
          <w:p w14:paraId="3CB0CD43" w14:textId="77777777" w:rsidR="00AD284D" w:rsidRDefault="009A0C7F" w:rsidP="00AD284D">
            <w:pPr>
              <w:pStyle w:val="ListParagraph"/>
              <w:jc w:val="both"/>
              <w:rPr>
                <w:rFonts w:ascii="Arial" w:hAnsi="Arial" w:cs="Arial"/>
                <w:sz w:val="20"/>
                <w:szCs w:val="20"/>
                <w:lang w:val="en-US"/>
              </w:rPr>
            </w:pPr>
            <w:r w:rsidRPr="00E85BF8">
              <w:rPr>
                <w:rFonts w:ascii="Arial" w:hAnsi="Arial" w:cs="Arial"/>
                <w:sz w:val="20"/>
                <w:szCs w:val="20"/>
                <w:lang w:val="en-US"/>
              </w:rPr>
              <w:t xml:space="preserve">The </w:t>
            </w:r>
            <w:proofErr w:type="gramStart"/>
            <w:r w:rsidRPr="00E85BF8">
              <w:rPr>
                <w:rFonts w:ascii="Arial" w:hAnsi="Arial" w:cs="Arial"/>
                <w:sz w:val="20"/>
                <w:szCs w:val="20"/>
                <w:lang w:val="en-US"/>
              </w:rPr>
              <w:t>Company‘</w:t>
            </w:r>
            <w:proofErr w:type="gramEnd"/>
            <w:r w:rsidRPr="00E85BF8">
              <w:rPr>
                <w:rFonts w:ascii="Arial" w:hAnsi="Arial" w:cs="Arial"/>
                <w:sz w:val="20"/>
                <w:szCs w:val="20"/>
                <w:lang w:val="en-US"/>
              </w:rPr>
              <w:t xml:space="preserve">s long-term success depends on the </w:t>
            </w:r>
            <w:r w:rsidR="00AD284D">
              <w:rPr>
                <w:rFonts w:ascii="Arial" w:hAnsi="Arial" w:cs="Arial"/>
                <w:sz w:val="20"/>
                <w:szCs w:val="20"/>
                <w:lang w:val="en-US"/>
              </w:rPr>
              <w:t>competence</w:t>
            </w:r>
            <w:r w:rsidRPr="00E85BF8">
              <w:rPr>
                <w:rFonts w:ascii="Arial" w:hAnsi="Arial" w:cs="Arial"/>
                <w:sz w:val="20"/>
                <w:szCs w:val="20"/>
                <w:lang w:val="en-US"/>
              </w:rPr>
              <w:t xml:space="preserve"> of its employees. The </w:t>
            </w:r>
            <w:proofErr w:type="gramStart"/>
            <w:r w:rsidRPr="00E85BF8">
              <w:rPr>
                <w:rFonts w:ascii="Arial" w:hAnsi="Arial" w:cs="Arial"/>
                <w:sz w:val="20"/>
                <w:szCs w:val="20"/>
                <w:lang w:val="en-US"/>
              </w:rPr>
              <w:t>Company‘</w:t>
            </w:r>
            <w:proofErr w:type="gramEnd"/>
            <w:r w:rsidRPr="00E85BF8">
              <w:rPr>
                <w:rFonts w:ascii="Arial" w:hAnsi="Arial" w:cs="Arial"/>
                <w:sz w:val="20"/>
                <w:szCs w:val="20"/>
                <w:lang w:val="en-US"/>
              </w:rPr>
              <w:t xml:space="preserve">s remuneration system plays a significant role in its ability to attract, properly motivate and retain top talent. </w:t>
            </w:r>
          </w:p>
          <w:p w14:paraId="7647E106" w14:textId="213D0335" w:rsidR="009A0C7F" w:rsidRPr="00AD284D" w:rsidRDefault="009A0C7F" w:rsidP="00AD284D">
            <w:pPr>
              <w:pStyle w:val="ListParagraph"/>
              <w:jc w:val="both"/>
              <w:rPr>
                <w:rFonts w:ascii="Arial" w:hAnsi="Arial" w:cs="Arial"/>
                <w:sz w:val="20"/>
                <w:szCs w:val="20"/>
                <w:lang w:val="en-US"/>
              </w:rPr>
            </w:pPr>
            <w:r w:rsidRPr="00AD284D">
              <w:rPr>
                <w:rFonts w:ascii="Arial" w:hAnsi="Arial" w:cs="Arial"/>
                <w:sz w:val="20"/>
                <w:szCs w:val="20"/>
                <w:lang w:val="en-US"/>
              </w:rPr>
              <w:t xml:space="preserve">Competitive and reasonable remuneration should help attract and retain the best talent to grow and sustain the </w:t>
            </w:r>
            <w:proofErr w:type="gramStart"/>
            <w:r w:rsidRPr="00AD284D">
              <w:rPr>
                <w:rFonts w:ascii="Arial" w:hAnsi="Arial" w:cs="Arial"/>
                <w:sz w:val="20"/>
                <w:szCs w:val="20"/>
                <w:lang w:val="en-US"/>
              </w:rPr>
              <w:t>Company‘</w:t>
            </w:r>
            <w:proofErr w:type="gramEnd"/>
            <w:r w:rsidRPr="00AD284D">
              <w:rPr>
                <w:rFonts w:ascii="Arial" w:hAnsi="Arial" w:cs="Arial"/>
                <w:sz w:val="20"/>
                <w:szCs w:val="20"/>
                <w:lang w:val="en-US"/>
              </w:rPr>
              <w:t>s business.</w:t>
            </w:r>
          </w:p>
          <w:p w14:paraId="3E909D77" w14:textId="77777777" w:rsidR="009A0C7F" w:rsidRPr="00E85BF8" w:rsidRDefault="009A0C7F" w:rsidP="00EA3F6C">
            <w:pPr>
              <w:pStyle w:val="ListParagraph"/>
              <w:tabs>
                <w:tab w:val="left" w:pos="8647"/>
              </w:tabs>
              <w:jc w:val="both"/>
              <w:rPr>
                <w:rFonts w:ascii="Arial" w:hAnsi="Arial" w:cs="Arial"/>
                <w:sz w:val="20"/>
                <w:szCs w:val="20"/>
                <w:lang w:val="en-US"/>
              </w:rPr>
            </w:pPr>
          </w:p>
          <w:p w14:paraId="4CF5A27D" w14:textId="77777777" w:rsidR="009A0C7F" w:rsidRPr="00E85BF8"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Integrating risk management and remuneration</w:t>
            </w:r>
          </w:p>
          <w:p w14:paraId="06678176" w14:textId="77777777" w:rsidR="009A0C7F" w:rsidRPr="00E85BF8" w:rsidRDefault="009A0C7F" w:rsidP="00EA3F6C">
            <w:pPr>
              <w:pStyle w:val="ListParagraph"/>
              <w:rPr>
                <w:rFonts w:ascii="Arial" w:hAnsi="Arial" w:cs="Arial"/>
                <w:b/>
                <w:bCs/>
                <w:sz w:val="20"/>
                <w:szCs w:val="20"/>
                <w:lang w:val="en-US"/>
              </w:rPr>
            </w:pPr>
          </w:p>
          <w:p w14:paraId="4BDE3C7F" w14:textId="77777777" w:rsidR="009A0C7F" w:rsidRPr="00E85BF8" w:rsidRDefault="009A0C7F" w:rsidP="00EA3F6C">
            <w:pPr>
              <w:pStyle w:val="ListParagraph"/>
              <w:jc w:val="both"/>
              <w:rPr>
                <w:rFonts w:ascii="Arial" w:hAnsi="Arial" w:cs="Arial"/>
                <w:sz w:val="20"/>
                <w:szCs w:val="20"/>
                <w:lang w:val="en-US"/>
              </w:rPr>
            </w:pPr>
            <w:r w:rsidRPr="00E85BF8">
              <w:rPr>
                <w:rFonts w:ascii="Arial" w:hAnsi="Arial" w:cs="Arial"/>
                <w:sz w:val="20"/>
                <w:szCs w:val="20"/>
                <w:lang w:val="en-US"/>
              </w:rPr>
              <w:t xml:space="preserve">Risk management, remuneration recovery, and repayment policies should be robust and disciplined enough to deter </w:t>
            </w:r>
            <w:bookmarkStart w:id="3" w:name="_Hlk20834489"/>
            <w:r w:rsidRPr="00E85BF8">
              <w:rPr>
                <w:rFonts w:ascii="Arial" w:hAnsi="Arial" w:cs="Arial"/>
                <w:sz w:val="20"/>
                <w:szCs w:val="20"/>
                <w:lang w:val="en-US"/>
              </w:rPr>
              <w:t>excessive risk-taking</w:t>
            </w:r>
            <w:bookmarkEnd w:id="3"/>
            <w:r w:rsidRPr="00E85BF8">
              <w:rPr>
                <w:rFonts w:ascii="Arial" w:hAnsi="Arial" w:cs="Arial"/>
                <w:sz w:val="20"/>
                <w:szCs w:val="20"/>
                <w:lang w:val="en-US"/>
              </w:rPr>
              <w:t xml:space="preserve">. </w:t>
            </w:r>
          </w:p>
          <w:p w14:paraId="27C3A98F" w14:textId="77777777" w:rsidR="009A0C7F" w:rsidRPr="00E85BF8" w:rsidRDefault="009A0C7F" w:rsidP="00EA3F6C">
            <w:pPr>
              <w:pStyle w:val="ListParagraph"/>
              <w:jc w:val="both"/>
              <w:rPr>
                <w:rFonts w:ascii="Arial" w:hAnsi="Arial" w:cs="Arial"/>
                <w:sz w:val="20"/>
                <w:szCs w:val="20"/>
                <w:lang w:val="en-US"/>
              </w:rPr>
            </w:pPr>
          </w:p>
          <w:p w14:paraId="184C8920" w14:textId="77777777" w:rsidR="009A0C7F" w:rsidRPr="00E85BF8" w:rsidRDefault="009A0C7F" w:rsidP="00EA3F6C">
            <w:pPr>
              <w:pStyle w:val="ListParagraph"/>
              <w:jc w:val="both"/>
              <w:rPr>
                <w:rFonts w:ascii="Arial" w:hAnsi="Arial" w:cs="Arial"/>
                <w:sz w:val="20"/>
                <w:szCs w:val="20"/>
                <w:lang w:val="en-US"/>
              </w:rPr>
            </w:pPr>
            <w:r w:rsidRPr="00E85BF8">
              <w:rPr>
                <w:rFonts w:ascii="Arial" w:hAnsi="Arial" w:cs="Arial"/>
                <w:sz w:val="20"/>
                <w:szCs w:val="20"/>
                <w:lang w:val="en-US"/>
              </w:rPr>
              <w:t>Management bodies of the Company should generate honest, fair and objective evaluations and identify individuals responsible for meaningful risk-related events and their accountability.</w:t>
            </w:r>
          </w:p>
          <w:p w14:paraId="4B35509D" w14:textId="77777777" w:rsidR="009A0C7F" w:rsidRPr="00E85BF8" w:rsidRDefault="009A0C7F" w:rsidP="00EA3F6C">
            <w:pPr>
              <w:pStyle w:val="ListParagraph"/>
              <w:jc w:val="both"/>
              <w:rPr>
                <w:rFonts w:ascii="Arial" w:hAnsi="Arial" w:cs="Arial"/>
                <w:sz w:val="20"/>
                <w:szCs w:val="20"/>
                <w:lang w:val="en-US"/>
              </w:rPr>
            </w:pPr>
          </w:p>
          <w:p w14:paraId="57627585" w14:textId="77777777" w:rsidR="009A0C7F" w:rsidRPr="00E85BF8" w:rsidRDefault="009A0C7F" w:rsidP="00EA3F6C">
            <w:pPr>
              <w:pStyle w:val="ListParagraph"/>
              <w:jc w:val="both"/>
              <w:rPr>
                <w:rFonts w:ascii="Arial" w:hAnsi="Arial" w:cs="Arial"/>
                <w:sz w:val="20"/>
                <w:szCs w:val="20"/>
                <w:lang w:val="en-US"/>
              </w:rPr>
            </w:pPr>
            <w:r w:rsidRPr="00E85BF8">
              <w:rPr>
                <w:rFonts w:ascii="Arial" w:hAnsi="Arial" w:cs="Arial"/>
                <w:sz w:val="20"/>
                <w:szCs w:val="20"/>
                <w:lang w:val="en-US"/>
              </w:rPr>
              <w:t>Remuneration practices must comply with applicable rules and regulations.</w:t>
            </w:r>
          </w:p>
          <w:p w14:paraId="77434B07" w14:textId="77777777" w:rsidR="009A0C7F" w:rsidRPr="00E85BF8" w:rsidRDefault="009A0C7F" w:rsidP="00EA3F6C">
            <w:pPr>
              <w:pStyle w:val="ListParagraph"/>
              <w:tabs>
                <w:tab w:val="left" w:pos="8647"/>
              </w:tabs>
              <w:jc w:val="both"/>
              <w:rPr>
                <w:rFonts w:ascii="Arial" w:hAnsi="Arial" w:cs="Arial"/>
                <w:b/>
                <w:bCs/>
                <w:color w:val="2F5496" w:themeColor="accent1" w:themeShade="BF"/>
                <w:sz w:val="20"/>
                <w:szCs w:val="20"/>
                <w:lang w:val="en-US"/>
              </w:rPr>
            </w:pPr>
          </w:p>
          <w:p w14:paraId="6BA231F8" w14:textId="77777777" w:rsidR="009A0C7F" w:rsidRPr="00E85BF8"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Strong governance </w:t>
            </w:r>
          </w:p>
          <w:p w14:paraId="4863DC9F" w14:textId="77777777" w:rsidR="009A0C7F" w:rsidRPr="00E85BF8" w:rsidRDefault="009A0C7F" w:rsidP="00EA3F6C">
            <w:pPr>
              <w:pStyle w:val="ListParagraph"/>
              <w:rPr>
                <w:rFonts w:ascii="Arial" w:hAnsi="Arial" w:cs="Arial"/>
                <w:b/>
                <w:bCs/>
                <w:sz w:val="20"/>
                <w:szCs w:val="20"/>
                <w:lang w:val="en-US"/>
              </w:rPr>
            </w:pPr>
          </w:p>
          <w:p w14:paraId="3A139E66" w14:textId="22654261" w:rsidR="009A0C7F" w:rsidRPr="00E85BF8" w:rsidRDefault="009A0C7F" w:rsidP="00EA3F6C">
            <w:pPr>
              <w:pStyle w:val="ListParagraph"/>
              <w:jc w:val="both"/>
              <w:rPr>
                <w:rFonts w:ascii="Arial" w:hAnsi="Arial" w:cs="Arial"/>
                <w:b/>
                <w:bCs/>
                <w:sz w:val="20"/>
                <w:szCs w:val="20"/>
                <w:lang w:val="en-US"/>
              </w:rPr>
            </w:pPr>
            <w:r w:rsidRPr="00E85BF8">
              <w:rPr>
                <w:rFonts w:ascii="Arial" w:hAnsi="Arial" w:cs="Arial"/>
                <w:sz w:val="20"/>
                <w:szCs w:val="20"/>
                <w:lang w:val="en-US"/>
              </w:rPr>
              <w:t xml:space="preserve">Strong corporate governance is fostered by oversight by the RNC and Supervisory </w:t>
            </w:r>
            <w:r w:rsidRPr="00E85BF8">
              <w:rPr>
                <w:rFonts w:ascii="Arial" w:hAnsi="Arial" w:cs="Arial"/>
                <w:sz w:val="20"/>
                <w:szCs w:val="20"/>
                <w:lang w:val="en-US"/>
              </w:rPr>
              <w:lastRenderedPageBreak/>
              <w:t xml:space="preserve">Council of the executive remuneration program, including defining the </w:t>
            </w:r>
            <w:proofErr w:type="gramStart"/>
            <w:r w:rsidRPr="00E85BF8">
              <w:rPr>
                <w:rFonts w:ascii="Arial" w:hAnsi="Arial" w:cs="Arial"/>
                <w:sz w:val="20"/>
                <w:szCs w:val="20"/>
                <w:lang w:val="en-US"/>
              </w:rPr>
              <w:t>Company‘</w:t>
            </w:r>
            <w:proofErr w:type="gramEnd"/>
            <w:r w:rsidRPr="00E85BF8">
              <w:rPr>
                <w:rFonts w:ascii="Arial" w:hAnsi="Arial" w:cs="Arial"/>
                <w:sz w:val="20"/>
                <w:szCs w:val="20"/>
                <w:lang w:val="en-US"/>
              </w:rPr>
              <w:t>s remuneration principles, reviewing</w:t>
            </w:r>
            <w:r w:rsidR="00CB62FE">
              <w:rPr>
                <w:rFonts w:ascii="Arial" w:hAnsi="Arial" w:cs="Arial"/>
                <w:sz w:val="20"/>
                <w:szCs w:val="20"/>
                <w:lang w:val="en-US"/>
              </w:rPr>
              <w:t xml:space="preserve"> </w:t>
            </w:r>
            <w:r w:rsidRPr="00E85BF8">
              <w:rPr>
                <w:rFonts w:ascii="Arial" w:hAnsi="Arial" w:cs="Arial"/>
                <w:sz w:val="20"/>
                <w:szCs w:val="20"/>
                <w:lang w:val="en-US"/>
              </w:rPr>
              <w:t>and approving the Company‘s overall incentive remuneration pools.</w:t>
            </w:r>
          </w:p>
          <w:p w14:paraId="1DB07258" w14:textId="77777777" w:rsidR="009A0C7F" w:rsidRPr="00E85BF8" w:rsidRDefault="009A0C7F" w:rsidP="00EA3F6C">
            <w:pPr>
              <w:pStyle w:val="ListParagraph"/>
              <w:tabs>
                <w:tab w:val="left" w:pos="8647"/>
              </w:tabs>
              <w:jc w:val="both"/>
              <w:rPr>
                <w:rFonts w:ascii="Arial" w:hAnsi="Arial" w:cs="Arial"/>
                <w:b/>
                <w:bCs/>
                <w:color w:val="2F5496" w:themeColor="accent1" w:themeShade="BF"/>
                <w:sz w:val="20"/>
                <w:szCs w:val="20"/>
                <w:lang w:val="en-US"/>
              </w:rPr>
            </w:pPr>
          </w:p>
          <w:p w14:paraId="151F51CB" w14:textId="5966BDB2" w:rsidR="009A0C7F" w:rsidRPr="00E85BF8"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Transparency with shareholders </w:t>
            </w:r>
          </w:p>
          <w:p w14:paraId="55884AC7" w14:textId="77777777" w:rsidR="009A0C7F" w:rsidRPr="00E85BF8" w:rsidRDefault="009A0C7F" w:rsidP="00EA3F6C">
            <w:pPr>
              <w:pStyle w:val="ListParagraph"/>
              <w:rPr>
                <w:rFonts w:ascii="Arial" w:hAnsi="Arial" w:cs="Arial"/>
                <w:b/>
                <w:bCs/>
                <w:sz w:val="20"/>
                <w:szCs w:val="20"/>
                <w:lang w:val="en-US"/>
              </w:rPr>
            </w:pPr>
          </w:p>
          <w:p w14:paraId="6D919895" w14:textId="77777777" w:rsidR="009A0C7F" w:rsidRPr="00E85BF8" w:rsidRDefault="009A0C7F" w:rsidP="00EA3F6C">
            <w:pPr>
              <w:pStyle w:val="ListParagraph"/>
              <w:jc w:val="both"/>
              <w:rPr>
                <w:rFonts w:ascii="Arial" w:hAnsi="Arial" w:cs="Arial"/>
                <w:sz w:val="20"/>
                <w:szCs w:val="20"/>
                <w:lang w:val="en-US"/>
              </w:rPr>
            </w:pPr>
            <w:r w:rsidRPr="00E85BF8">
              <w:rPr>
                <w:rFonts w:ascii="Arial" w:hAnsi="Arial" w:cs="Arial"/>
                <w:sz w:val="20"/>
                <w:szCs w:val="20"/>
                <w:lang w:val="en-US"/>
              </w:rPr>
              <w:t>Transparency to shareholders regarding the Company’s remuneration policy is essential. In order to provide shareholders with enough information and context to assess its programs and practices, and their effectiveness, the Company discloses the material terms of its remuneration program, and any actions on the part of the Company in response to significant events, as appropriate.</w:t>
            </w:r>
          </w:p>
          <w:p w14:paraId="0597830B" w14:textId="77777777" w:rsidR="009A0C7F" w:rsidRPr="00E85BF8" w:rsidRDefault="009A0C7F" w:rsidP="00EA3F6C">
            <w:pPr>
              <w:pStyle w:val="ListParagraph"/>
              <w:jc w:val="both"/>
              <w:rPr>
                <w:rFonts w:ascii="Arial" w:hAnsi="Arial" w:cs="Arial"/>
                <w:sz w:val="20"/>
                <w:szCs w:val="20"/>
                <w:lang w:val="en-US"/>
              </w:rPr>
            </w:pPr>
          </w:p>
          <w:p w14:paraId="58DD2F50" w14:textId="509BA6EE"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Company’s remuneration policy, and its implementation, are reviewed at least annually by the RNC to ensure that it remains aligned to the Company’s business strategy and long-term interests and complies with the relevant requirements. </w:t>
            </w:r>
          </w:p>
          <w:p w14:paraId="3A7366C2" w14:textId="03B254D1"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Internal Audit function is responsible for a review of the implementation of the relevant policy under request of the management but at least once every 2 (two) years; its findings are presented to the relevant management body of the Company. </w:t>
            </w:r>
          </w:p>
        </w:tc>
        <w:tc>
          <w:tcPr>
            <w:tcW w:w="4673" w:type="dxa"/>
          </w:tcPr>
          <w:p w14:paraId="4AE4B5F9" w14:textId="77777777" w:rsidR="009A0C7F" w:rsidRPr="00E21D1F" w:rsidRDefault="009A0C7F" w:rsidP="00EA3F6C">
            <w:pPr>
              <w:tabs>
                <w:tab w:val="left" w:pos="8647"/>
              </w:tabs>
              <w:jc w:val="both"/>
              <w:rPr>
                <w:rFonts w:ascii="Arial" w:hAnsi="Arial" w:cs="Arial"/>
                <w:b/>
                <w:bCs/>
                <w:color w:val="2F5496" w:themeColor="accent1" w:themeShade="BF"/>
                <w:sz w:val="20"/>
                <w:szCs w:val="20"/>
              </w:rPr>
            </w:pPr>
          </w:p>
          <w:p w14:paraId="4325E201" w14:textId="15A1AC75" w:rsidR="009A0C7F" w:rsidRPr="00E21D1F"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Atlygio principai</w:t>
            </w:r>
          </w:p>
          <w:p w14:paraId="1F5C2452" w14:textId="77777777" w:rsidR="009A0C7F" w:rsidRPr="00E21D1F" w:rsidRDefault="009A0C7F" w:rsidP="00EA3F6C">
            <w:pPr>
              <w:tabs>
                <w:tab w:val="left" w:pos="8647"/>
              </w:tabs>
              <w:jc w:val="both"/>
              <w:rPr>
                <w:rFonts w:ascii="Arial" w:hAnsi="Arial" w:cs="Arial"/>
                <w:b/>
                <w:bCs/>
                <w:color w:val="2F5496" w:themeColor="accent1" w:themeShade="BF"/>
                <w:sz w:val="20"/>
                <w:szCs w:val="20"/>
              </w:rPr>
            </w:pPr>
          </w:p>
          <w:p w14:paraId="2CEA1D1B" w14:textId="7661CB3C" w:rsidR="009A0C7F" w:rsidRPr="00E21D1F" w:rsidRDefault="009A0C7F" w:rsidP="00EA3F6C">
            <w:pPr>
              <w:tabs>
                <w:tab w:val="left" w:pos="8647"/>
              </w:tabs>
              <w:jc w:val="both"/>
              <w:rPr>
                <w:rFonts w:ascii="Arial" w:hAnsi="Arial" w:cs="Arial"/>
                <w:sz w:val="20"/>
                <w:szCs w:val="20"/>
              </w:rPr>
            </w:pPr>
            <w:r>
              <w:rPr>
                <w:rFonts w:ascii="Arial" w:hAnsi="Arial" w:cs="Arial"/>
                <w:sz w:val="20"/>
                <w:szCs w:val="20"/>
              </w:rPr>
              <w:t xml:space="preserve">Bendrovė nustato </w:t>
            </w:r>
            <w:r w:rsidR="00834755">
              <w:rPr>
                <w:rFonts w:ascii="Arial" w:hAnsi="Arial" w:cs="Arial"/>
                <w:sz w:val="20"/>
                <w:szCs w:val="20"/>
              </w:rPr>
              <w:t>pagrindinius</w:t>
            </w:r>
            <w:r>
              <w:rPr>
                <w:rFonts w:ascii="Arial" w:hAnsi="Arial" w:cs="Arial"/>
                <w:sz w:val="20"/>
                <w:szCs w:val="20"/>
              </w:rPr>
              <w:t xml:space="preserve"> principus, kurie taikomi priimant sprendimus dėl atlygio visuose </w:t>
            </w:r>
            <w:r>
              <w:rPr>
                <w:rFonts w:ascii="Arial" w:hAnsi="Arial" w:cs="Arial"/>
                <w:sz w:val="20"/>
                <w:szCs w:val="20"/>
              </w:rPr>
              <w:lastRenderedPageBreak/>
              <w:t xml:space="preserve">Bendrovės ir jos </w:t>
            </w:r>
            <w:r w:rsidR="002A5106">
              <w:rPr>
                <w:rFonts w:ascii="Arial" w:hAnsi="Arial" w:cs="Arial"/>
                <w:sz w:val="20"/>
                <w:szCs w:val="20"/>
              </w:rPr>
              <w:t>dukterinių bendrovių</w:t>
            </w:r>
            <w:r>
              <w:rPr>
                <w:rFonts w:ascii="Arial" w:hAnsi="Arial" w:cs="Arial"/>
                <w:sz w:val="20"/>
                <w:szCs w:val="20"/>
              </w:rPr>
              <w:t xml:space="preserve"> lyg</w:t>
            </w:r>
            <w:r w:rsidR="00834755">
              <w:rPr>
                <w:rFonts w:ascii="Arial" w:hAnsi="Arial" w:cs="Arial"/>
                <w:sz w:val="20"/>
                <w:szCs w:val="20"/>
              </w:rPr>
              <w:t>iuose</w:t>
            </w:r>
            <w:r w:rsidRPr="00E21D1F">
              <w:rPr>
                <w:rFonts w:ascii="Arial" w:hAnsi="Arial" w:cs="Arial"/>
                <w:sz w:val="20"/>
                <w:szCs w:val="20"/>
              </w:rPr>
              <w:t xml:space="preserve">. </w:t>
            </w:r>
            <w:r>
              <w:rPr>
                <w:rFonts w:ascii="Arial" w:hAnsi="Arial" w:cs="Arial"/>
                <w:sz w:val="20"/>
                <w:szCs w:val="20"/>
              </w:rPr>
              <w:t>Bendrovė aiškiai nurod</w:t>
            </w:r>
            <w:r w:rsidR="00834755">
              <w:rPr>
                <w:rFonts w:ascii="Arial" w:hAnsi="Arial" w:cs="Arial"/>
                <w:sz w:val="20"/>
                <w:szCs w:val="20"/>
              </w:rPr>
              <w:t>o</w:t>
            </w:r>
            <w:r>
              <w:rPr>
                <w:rFonts w:ascii="Arial" w:hAnsi="Arial" w:cs="Arial"/>
                <w:sz w:val="20"/>
                <w:szCs w:val="20"/>
              </w:rPr>
              <w:t xml:space="preserve"> atlygio principus, siekdama </w:t>
            </w:r>
            <w:r w:rsidR="00834755">
              <w:rPr>
                <w:rFonts w:ascii="Arial" w:hAnsi="Arial" w:cs="Arial"/>
                <w:sz w:val="20"/>
                <w:szCs w:val="20"/>
              </w:rPr>
              <w:t>skatinti</w:t>
            </w:r>
            <w:r w:rsidR="00CF0EA7">
              <w:rPr>
                <w:rFonts w:ascii="Arial" w:hAnsi="Arial" w:cs="Arial"/>
                <w:sz w:val="20"/>
                <w:szCs w:val="20"/>
              </w:rPr>
              <w:t xml:space="preserve"> </w:t>
            </w:r>
            <w:r w:rsidR="00F75EF5">
              <w:rPr>
                <w:rFonts w:ascii="Arial" w:hAnsi="Arial" w:cs="Arial"/>
                <w:sz w:val="20"/>
                <w:szCs w:val="20"/>
              </w:rPr>
              <w:t>teisingum</w:t>
            </w:r>
            <w:r w:rsidR="00CF0EA7">
              <w:rPr>
                <w:rFonts w:ascii="Arial" w:hAnsi="Arial" w:cs="Arial"/>
                <w:sz w:val="20"/>
                <w:szCs w:val="20"/>
              </w:rPr>
              <w:t>ą</w:t>
            </w:r>
            <w:r w:rsidR="00F75EF5">
              <w:rPr>
                <w:rFonts w:ascii="Arial" w:hAnsi="Arial" w:cs="Arial"/>
                <w:sz w:val="20"/>
                <w:szCs w:val="20"/>
              </w:rPr>
              <w:t xml:space="preserve"> </w:t>
            </w:r>
            <w:r>
              <w:rPr>
                <w:rFonts w:ascii="Arial" w:hAnsi="Arial" w:cs="Arial"/>
                <w:sz w:val="20"/>
                <w:szCs w:val="20"/>
              </w:rPr>
              <w:t>ir nuoseklum</w:t>
            </w:r>
            <w:r w:rsidR="00CF0EA7">
              <w:rPr>
                <w:rFonts w:ascii="Arial" w:hAnsi="Arial" w:cs="Arial"/>
                <w:sz w:val="20"/>
                <w:szCs w:val="20"/>
              </w:rPr>
              <w:t>ą</w:t>
            </w:r>
            <w:r w:rsidRPr="00E21D1F">
              <w:rPr>
                <w:rFonts w:ascii="Arial" w:hAnsi="Arial" w:cs="Arial"/>
                <w:sz w:val="20"/>
                <w:szCs w:val="20"/>
              </w:rPr>
              <w:t xml:space="preserve">. </w:t>
            </w:r>
          </w:p>
          <w:p w14:paraId="2C6B5AF1" w14:textId="77777777" w:rsidR="009A0C7F" w:rsidRPr="00E21D1F" w:rsidRDefault="009A0C7F" w:rsidP="00EA3F6C">
            <w:pPr>
              <w:tabs>
                <w:tab w:val="left" w:pos="8647"/>
              </w:tabs>
              <w:jc w:val="both"/>
              <w:rPr>
                <w:rFonts w:ascii="Arial" w:hAnsi="Arial" w:cs="Arial"/>
                <w:b/>
                <w:bCs/>
                <w:color w:val="2F5496" w:themeColor="accent1" w:themeShade="BF"/>
                <w:sz w:val="20"/>
                <w:szCs w:val="20"/>
              </w:rPr>
            </w:pPr>
          </w:p>
          <w:p w14:paraId="35524F7C" w14:textId="77777777" w:rsidR="00834755" w:rsidRDefault="00834755" w:rsidP="00EA3F6C">
            <w:pPr>
              <w:tabs>
                <w:tab w:val="left" w:pos="8647"/>
              </w:tabs>
              <w:jc w:val="both"/>
              <w:rPr>
                <w:rFonts w:ascii="Arial" w:hAnsi="Arial" w:cs="Arial"/>
                <w:b/>
                <w:bCs/>
                <w:color w:val="2F5496" w:themeColor="accent1" w:themeShade="BF"/>
                <w:sz w:val="20"/>
                <w:szCs w:val="20"/>
              </w:rPr>
            </w:pPr>
          </w:p>
          <w:p w14:paraId="2D8CA9FE" w14:textId="5B8D66C3" w:rsidR="009A0C7F" w:rsidRPr="00E21D1F"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Bendrovės atlygio principai</w:t>
            </w:r>
            <w:r w:rsidR="00064311">
              <w:rPr>
                <w:rFonts w:ascii="Arial" w:hAnsi="Arial" w:cs="Arial"/>
                <w:b/>
                <w:bCs/>
                <w:color w:val="2F5496" w:themeColor="accent1" w:themeShade="BF"/>
                <w:sz w:val="20"/>
                <w:szCs w:val="20"/>
              </w:rPr>
              <w:t>:</w:t>
            </w:r>
          </w:p>
          <w:p w14:paraId="086231F8" w14:textId="77777777" w:rsidR="009A0C7F" w:rsidRPr="00E21D1F" w:rsidRDefault="009A0C7F" w:rsidP="00EA3F6C">
            <w:pPr>
              <w:tabs>
                <w:tab w:val="left" w:pos="8647"/>
              </w:tabs>
              <w:jc w:val="both"/>
              <w:rPr>
                <w:rFonts w:ascii="Arial" w:hAnsi="Arial" w:cs="Arial"/>
                <w:b/>
                <w:bCs/>
                <w:sz w:val="20"/>
                <w:szCs w:val="20"/>
              </w:rPr>
            </w:pPr>
          </w:p>
          <w:p w14:paraId="3A23AF84" w14:textId="67B8E24E" w:rsidR="009A0C7F" w:rsidRPr="00E21D1F"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Atlygio susiejimas su rezultatais ir suderinimas su akcininkų interesais </w:t>
            </w:r>
          </w:p>
          <w:p w14:paraId="06112C2E" w14:textId="77777777" w:rsidR="009A0C7F" w:rsidRPr="00E21D1F" w:rsidRDefault="009A0C7F" w:rsidP="00EA3F6C">
            <w:pPr>
              <w:pStyle w:val="ListParagraph"/>
              <w:tabs>
                <w:tab w:val="left" w:pos="8647"/>
              </w:tabs>
              <w:jc w:val="both"/>
              <w:rPr>
                <w:rFonts w:ascii="Arial" w:hAnsi="Arial" w:cs="Arial"/>
                <w:b/>
                <w:bCs/>
                <w:sz w:val="20"/>
                <w:szCs w:val="20"/>
              </w:rPr>
            </w:pPr>
          </w:p>
          <w:p w14:paraId="5BD8904A" w14:textId="5F409424" w:rsidR="009A0C7F" w:rsidRDefault="009A0C7F" w:rsidP="00064311">
            <w:pPr>
              <w:pStyle w:val="ListParagraph"/>
              <w:tabs>
                <w:tab w:val="left" w:pos="8647"/>
              </w:tabs>
              <w:jc w:val="both"/>
              <w:rPr>
                <w:rFonts w:ascii="Arial" w:hAnsi="Arial" w:cs="Arial"/>
                <w:sz w:val="20"/>
                <w:szCs w:val="20"/>
              </w:rPr>
            </w:pPr>
            <w:r>
              <w:rPr>
                <w:rFonts w:ascii="Arial" w:hAnsi="Arial" w:cs="Arial"/>
                <w:sz w:val="20"/>
                <w:szCs w:val="20"/>
              </w:rPr>
              <w:t xml:space="preserve">Priimdama su atlygiu susijusius </w:t>
            </w:r>
            <w:r w:rsidRPr="00064311">
              <w:rPr>
                <w:rFonts w:ascii="Arial" w:hAnsi="Arial" w:cs="Arial"/>
                <w:sz w:val="20"/>
                <w:szCs w:val="20"/>
              </w:rPr>
              <w:t>spren</w:t>
            </w:r>
            <w:r w:rsidR="00F852BD" w:rsidRPr="00064311">
              <w:rPr>
                <w:rFonts w:ascii="Arial" w:hAnsi="Arial" w:cs="Arial"/>
                <w:sz w:val="20"/>
                <w:szCs w:val="20"/>
              </w:rPr>
              <w:softHyphen/>
            </w:r>
            <w:r w:rsidRPr="00064311">
              <w:rPr>
                <w:rFonts w:ascii="Arial" w:hAnsi="Arial" w:cs="Arial"/>
                <w:sz w:val="20"/>
                <w:szCs w:val="20"/>
              </w:rPr>
              <w:t>d</w:t>
            </w:r>
            <w:r w:rsidR="00834755" w:rsidRPr="00064311">
              <w:rPr>
                <w:rFonts w:ascii="Arial" w:hAnsi="Arial" w:cs="Arial"/>
                <w:sz w:val="20"/>
                <w:szCs w:val="20"/>
              </w:rPr>
              <w:t>imus</w:t>
            </w:r>
            <w:r w:rsidRPr="00064311">
              <w:rPr>
                <w:rFonts w:ascii="Arial" w:hAnsi="Arial" w:cs="Arial"/>
                <w:sz w:val="20"/>
                <w:szCs w:val="20"/>
              </w:rPr>
              <w:t xml:space="preserve"> Bendrovė </w:t>
            </w:r>
            <w:r w:rsidR="006E0AE0">
              <w:rPr>
                <w:rFonts w:ascii="Arial" w:hAnsi="Arial" w:cs="Arial"/>
                <w:sz w:val="20"/>
                <w:szCs w:val="20"/>
              </w:rPr>
              <w:t xml:space="preserve">sutelkia dėmesį į </w:t>
            </w:r>
            <w:r w:rsidR="00F852BD" w:rsidRPr="00064311">
              <w:rPr>
                <w:rFonts w:ascii="Arial" w:hAnsi="Arial" w:cs="Arial"/>
                <w:sz w:val="20"/>
                <w:szCs w:val="20"/>
              </w:rPr>
              <w:t xml:space="preserve"> </w:t>
            </w:r>
            <w:r w:rsidRPr="00064311">
              <w:rPr>
                <w:rFonts w:ascii="Arial" w:hAnsi="Arial" w:cs="Arial"/>
                <w:sz w:val="20"/>
                <w:szCs w:val="20"/>
              </w:rPr>
              <w:t>ilgalaikius</w:t>
            </w:r>
            <w:r w:rsidR="006531F2" w:rsidRPr="00064311">
              <w:rPr>
                <w:rFonts w:ascii="Arial" w:hAnsi="Arial" w:cs="Arial"/>
                <w:sz w:val="20"/>
                <w:szCs w:val="20"/>
              </w:rPr>
              <w:t>, pagal riziką įvertintus</w:t>
            </w:r>
            <w:r w:rsidRPr="00064311">
              <w:rPr>
                <w:rFonts w:ascii="Arial" w:hAnsi="Arial" w:cs="Arial"/>
                <w:sz w:val="20"/>
                <w:szCs w:val="20"/>
              </w:rPr>
              <w:t xml:space="preserve"> rezul</w:t>
            </w:r>
            <w:r w:rsidR="00F852BD" w:rsidRPr="00064311">
              <w:rPr>
                <w:rFonts w:ascii="Arial" w:hAnsi="Arial" w:cs="Arial"/>
                <w:sz w:val="20"/>
                <w:szCs w:val="20"/>
              </w:rPr>
              <w:softHyphen/>
            </w:r>
            <w:r w:rsidRPr="00064311">
              <w:rPr>
                <w:rFonts w:ascii="Arial" w:hAnsi="Arial" w:cs="Arial"/>
                <w:sz w:val="20"/>
                <w:szCs w:val="20"/>
              </w:rPr>
              <w:t>ta</w:t>
            </w:r>
            <w:r w:rsidR="00F852BD" w:rsidRPr="00064311">
              <w:rPr>
                <w:rFonts w:ascii="Arial" w:hAnsi="Arial" w:cs="Arial"/>
                <w:sz w:val="20"/>
                <w:szCs w:val="20"/>
              </w:rPr>
              <w:softHyphen/>
            </w:r>
            <w:r w:rsidRPr="00064311">
              <w:rPr>
                <w:rFonts w:ascii="Arial" w:hAnsi="Arial" w:cs="Arial"/>
                <w:sz w:val="20"/>
                <w:szCs w:val="20"/>
              </w:rPr>
              <w:t xml:space="preserve">tus ir atlygina už rezultatus, kurie </w:t>
            </w:r>
            <w:r w:rsidR="006E0AE0">
              <w:rPr>
                <w:rFonts w:ascii="Arial" w:hAnsi="Arial" w:cs="Arial"/>
                <w:sz w:val="20"/>
                <w:szCs w:val="20"/>
              </w:rPr>
              <w:t xml:space="preserve">sukuria </w:t>
            </w:r>
            <w:r w:rsidRPr="00064311">
              <w:rPr>
                <w:rFonts w:ascii="Arial" w:hAnsi="Arial" w:cs="Arial"/>
                <w:sz w:val="20"/>
                <w:szCs w:val="20"/>
              </w:rPr>
              <w:t>Bendrovei ilga</w:t>
            </w:r>
            <w:r w:rsidR="00F852BD" w:rsidRPr="00064311">
              <w:rPr>
                <w:rFonts w:ascii="Arial" w:hAnsi="Arial" w:cs="Arial"/>
                <w:sz w:val="20"/>
                <w:szCs w:val="20"/>
              </w:rPr>
              <w:softHyphen/>
            </w:r>
            <w:r w:rsidRPr="00064311">
              <w:rPr>
                <w:rFonts w:ascii="Arial" w:hAnsi="Arial" w:cs="Arial"/>
                <w:sz w:val="20"/>
                <w:szCs w:val="20"/>
              </w:rPr>
              <w:t>lai</w:t>
            </w:r>
            <w:r w:rsidR="00F852BD" w:rsidRPr="00064311">
              <w:rPr>
                <w:rFonts w:ascii="Arial" w:hAnsi="Arial" w:cs="Arial"/>
                <w:sz w:val="20"/>
                <w:szCs w:val="20"/>
              </w:rPr>
              <w:softHyphen/>
            </w:r>
            <w:r w:rsidRPr="00064311">
              <w:rPr>
                <w:rFonts w:ascii="Arial" w:hAnsi="Arial" w:cs="Arial"/>
                <w:sz w:val="20"/>
                <w:szCs w:val="20"/>
              </w:rPr>
              <w:t>k</w:t>
            </w:r>
            <w:r w:rsidR="006E0AE0">
              <w:rPr>
                <w:rFonts w:ascii="Arial" w:hAnsi="Arial" w:cs="Arial"/>
                <w:sz w:val="20"/>
                <w:szCs w:val="20"/>
              </w:rPr>
              <w:t>ę</w:t>
            </w:r>
            <w:r w:rsidRPr="00064311">
              <w:rPr>
                <w:rFonts w:ascii="Arial" w:hAnsi="Arial" w:cs="Arial"/>
                <w:sz w:val="20"/>
                <w:szCs w:val="20"/>
              </w:rPr>
              <w:t xml:space="preserve"> vert</w:t>
            </w:r>
            <w:r w:rsidR="006E0AE0">
              <w:rPr>
                <w:rFonts w:ascii="Arial" w:hAnsi="Arial" w:cs="Arial"/>
                <w:sz w:val="20"/>
                <w:szCs w:val="20"/>
              </w:rPr>
              <w:t>ę</w:t>
            </w:r>
            <w:r w:rsidRPr="00064311">
              <w:rPr>
                <w:rFonts w:ascii="Arial" w:hAnsi="Arial" w:cs="Arial"/>
                <w:sz w:val="20"/>
                <w:szCs w:val="20"/>
              </w:rPr>
              <w:t xml:space="preserve">. </w:t>
            </w:r>
          </w:p>
          <w:p w14:paraId="4B8002C4" w14:textId="77777777" w:rsidR="006E0AE0" w:rsidRPr="00064311" w:rsidRDefault="006E0AE0" w:rsidP="00064311">
            <w:pPr>
              <w:pStyle w:val="ListParagraph"/>
              <w:tabs>
                <w:tab w:val="left" w:pos="8647"/>
              </w:tabs>
              <w:jc w:val="both"/>
              <w:rPr>
                <w:rFonts w:ascii="Arial" w:hAnsi="Arial" w:cs="Arial"/>
                <w:sz w:val="20"/>
                <w:szCs w:val="20"/>
              </w:rPr>
            </w:pPr>
          </w:p>
          <w:p w14:paraId="71CAD43E" w14:textId="38F16781" w:rsidR="009A0C7F" w:rsidRPr="006E0AE0" w:rsidRDefault="009A0C7F" w:rsidP="006E0AE0">
            <w:pPr>
              <w:pStyle w:val="ListParagraph"/>
              <w:numPr>
                <w:ilvl w:val="0"/>
                <w:numId w:val="6"/>
              </w:numPr>
              <w:tabs>
                <w:tab w:val="left" w:pos="8647"/>
              </w:tabs>
              <w:jc w:val="both"/>
              <w:rPr>
                <w:rFonts w:ascii="Arial" w:hAnsi="Arial" w:cs="Arial"/>
                <w:b/>
                <w:bCs/>
                <w:color w:val="2F5496" w:themeColor="accent1" w:themeShade="BF"/>
                <w:sz w:val="20"/>
                <w:szCs w:val="20"/>
              </w:rPr>
            </w:pPr>
            <w:r w:rsidRPr="006E0AE0">
              <w:rPr>
                <w:rFonts w:ascii="Arial" w:hAnsi="Arial" w:cs="Arial"/>
                <w:b/>
                <w:bCs/>
                <w:color w:val="2F5496" w:themeColor="accent1" w:themeShade="BF"/>
                <w:sz w:val="20"/>
                <w:szCs w:val="20"/>
              </w:rPr>
              <w:t xml:space="preserve">Bendros sėkmės kultūros skatinimas </w:t>
            </w:r>
          </w:p>
          <w:p w14:paraId="0D3D55FF" w14:textId="77777777" w:rsidR="009A0C7F" w:rsidRPr="00E21D1F" w:rsidRDefault="009A0C7F" w:rsidP="00EA3F6C">
            <w:pPr>
              <w:pStyle w:val="ListParagraph"/>
              <w:tabs>
                <w:tab w:val="left" w:pos="8647"/>
              </w:tabs>
              <w:jc w:val="both"/>
              <w:rPr>
                <w:rFonts w:ascii="Arial" w:hAnsi="Arial" w:cs="Arial"/>
                <w:b/>
                <w:bCs/>
                <w:sz w:val="20"/>
                <w:szCs w:val="20"/>
              </w:rPr>
            </w:pPr>
          </w:p>
          <w:p w14:paraId="0518DAB4" w14:textId="0DB7AFC7" w:rsidR="009A0C7F" w:rsidRPr="00E21D1F" w:rsidRDefault="008E3392" w:rsidP="00EA3F6C">
            <w:pPr>
              <w:pStyle w:val="ListParagraph"/>
              <w:tabs>
                <w:tab w:val="left" w:pos="8647"/>
              </w:tabs>
              <w:jc w:val="both"/>
              <w:rPr>
                <w:rFonts w:ascii="Arial" w:hAnsi="Arial" w:cs="Arial"/>
                <w:sz w:val="20"/>
                <w:szCs w:val="20"/>
              </w:rPr>
            </w:pPr>
            <w:r>
              <w:rPr>
                <w:rFonts w:ascii="Arial" w:hAnsi="Arial" w:cs="Arial"/>
                <w:sz w:val="20"/>
                <w:szCs w:val="20"/>
              </w:rPr>
              <w:t>Reikia skatinti ir apdovanoti už k</w:t>
            </w:r>
            <w:r w:rsidR="009A0C7F">
              <w:rPr>
                <w:rFonts w:ascii="Arial" w:hAnsi="Arial" w:cs="Arial"/>
                <w:sz w:val="20"/>
                <w:szCs w:val="20"/>
              </w:rPr>
              <w:t>omandin</w:t>
            </w:r>
            <w:r>
              <w:rPr>
                <w:rFonts w:ascii="Arial" w:hAnsi="Arial" w:cs="Arial"/>
                <w:sz w:val="20"/>
                <w:szCs w:val="20"/>
              </w:rPr>
              <w:t>į</w:t>
            </w:r>
            <w:r w:rsidR="009A0C7F">
              <w:rPr>
                <w:rFonts w:ascii="Arial" w:hAnsi="Arial" w:cs="Arial"/>
                <w:sz w:val="20"/>
                <w:szCs w:val="20"/>
              </w:rPr>
              <w:t xml:space="preserve"> darb</w:t>
            </w:r>
            <w:r>
              <w:rPr>
                <w:rFonts w:ascii="Arial" w:hAnsi="Arial" w:cs="Arial"/>
                <w:sz w:val="20"/>
                <w:szCs w:val="20"/>
              </w:rPr>
              <w:t>ą</w:t>
            </w:r>
            <w:r w:rsidR="009A0C7F">
              <w:rPr>
                <w:rFonts w:ascii="Arial" w:hAnsi="Arial" w:cs="Arial"/>
                <w:sz w:val="20"/>
                <w:szCs w:val="20"/>
              </w:rPr>
              <w:t xml:space="preserve">, siekiant </w:t>
            </w:r>
            <w:r>
              <w:rPr>
                <w:rFonts w:ascii="Arial" w:hAnsi="Arial" w:cs="Arial"/>
                <w:sz w:val="20"/>
                <w:szCs w:val="20"/>
              </w:rPr>
              <w:t xml:space="preserve">puoselėti </w:t>
            </w:r>
            <w:r w:rsidR="009A0C7F">
              <w:rPr>
                <w:rFonts w:ascii="Arial" w:hAnsi="Arial" w:cs="Arial"/>
                <w:sz w:val="20"/>
                <w:szCs w:val="20"/>
              </w:rPr>
              <w:t>bendros sėkmės kultūrą</w:t>
            </w:r>
            <w:r w:rsidR="009A0C7F" w:rsidRPr="00E21D1F">
              <w:rPr>
                <w:rFonts w:ascii="Arial" w:hAnsi="Arial" w:cs="Arial"/>
                <w:sz w:val="20"/>
                <w:szCs w:val="20"/>
              </w:rPr>
              <w:t>.</w:t>
            </w:r>
          </w:p>
          <w:p w14:paraId="258ACE4F" w14:textId="77777777" w:rsidR="009A0C7F" w:rsidRPr="00E21D1F" w:rsidRDefault="009A0C7F" w:rsidP="00EA3F6C">
            <w:pPr>
              <w:pStyle w:val="ListParagraph"/>
              <w:tabs>
                <w:tab w:val="left" w:pos="8647"/>
              </w:tabs>
              <w:jc w:val="both"/>
              <w:rPr>
                <w:rFonts w:ascii="Arial" w:hAnsi="Arial" w:cs="Arial"/>
                <w:sz w:val="20"/>
                <w:szCs w:val="20"/>
              </w:rPr>
            </w:pPr>
          </w:p>
          <w:p w14:paraId="591978E6" w14:textId="6A1A7F71" w:rsidR="009A0C7F" w:rsidRPr="00E21D1F" w:rsidRDefault="009A0C7F" w:rsidP="00EA3F6C">
            <w:pPr>
              <w:pStyle w:val="ListParagraph"/>
              <w:tabs>
                <w:tab w:val="left" w:pos="8647"/>
              </w:tabs>
              <w:jc w:val="both"/>
              <w:rPr>
                <w:rFonts w:ascii="Arial" w:hAnsi="Arial" w:cs="Arial"/>
                <w:sz w:val="20"/>
                <w:szCs w:val="20"/>
              </w:rPr>
            </w:pPr>
            <w:r>
              <w:rPr>
                <w:rFonts w:ascii="Arial" w:hAnsi="Arial" w:cs="Arial"/>
                <w:sz w:val="20"/>
                <w:szCs w:val="20"/>
              </w:rPr>
              <w:t>Vertinant darbuotojo rezultatus, reikia atsižvelgti į indėlį visos Bendrovės mastu</w:t>
            </w:r>
            <w:r w:rsidRPr="00E21D1F">
              <w:rPr>
                <w:rFonts w:ascii="Arial" w:hAnsi="Arial" w:cs="Arial"/>
                <w:sz w:val="20"/>
                <w:szCs w:val="20"/>
              </w:rPr>
              <w:t xml:space="preserve">, </w:t>
            </w:r>
            <w:r>
              <w:rPr>
                <w:rFonts w:ascii="Arial" w:hAnsi="Arial" w:cs="Arial"/>
                <w:sz w:val="20"/>
                <w:szCs w:val="20"/>
              </w:rPr>
              <w:t>verslo padaliniuose ir individualiame lygmenyje</w:t>
            </w:r>
            <w:r w:rsidRPr="00E21D1F">
              <w:rPr>
                <w:rFonts w:ascii="Arial" w:hAnsi="Arial" w:cs="Arial"/>
                <w:sz w:val="20"/>
                <w:szCs w:val="20"/>
              </w:rPr>
              <w:t>.</w:t>
            </w:r>
          </w:p>
          <w:p w14:paraId="41400558" w14:textId="77777777" w:rsidR="009A0C7F" w:rsidRPr="00E21D1F" w:rsidRDefault="009A0C7F" w:rsidP="00EA3F6C">
            <w:pPr>
              <w:pStyle w:val="ListParagraph"/>
              <w:tabs>
                <w:tab w:val="left" w:pos="8647"/>
              </w:tabs>
              <w:jc w:val="both"/>
              <w:rPr>
                <w:rFonts w:ascii="Arial" w:hAnsi="Arial" w:cs="Arial"/>
                <w:sz w:val="20"/>
                <w:szCs w:val="20"/>
              </w:rPr>
            </w:pPr>
          </w:p>
          <w:p w14:paraId="5019C920" w14:textId="5C77DCD4" w:rsidR="009A0C7F" w:rsidRPr="00E21D1F" w:rsidRDefault="008E3392" w:rsidP="00EA3F6C">
            <w:pPr>
              <w:pStyle w:val="ListParagraph"/>
              <w:numPr>
                <w:ilvl w:val="0"/>
                <w:numId w:val="6"/>
              </w:num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Gabiausių</w:t>
            </w:r>
            <w:r w:rsidR="009A0C7F">
              <w:rPr>
                <w:rFonts w:ascii="Arial" w:hAnsi="Arial" w:cs="Arial"/>
                <w:b/>
                <w:bCs/>
                <w:color w:val="2F5496" w:themeColor="accent1" w:themeShade="BF"/>
                <w:sz w:val="20"/>
                <w:szCs w:val="20"/>
              </w:rPr>
              <w:t xml:space="preserve"> darbuotojų pritraukimas ir išlaikymas </w:t>
            </w:r>
          </w:p>
          <w:p w14:paraId="0845A765" w14:textId="77777777" w:rsidR="009A0C7F" w:rsidRPr="00E21D1F" w:rsidRDefault="009A0C7F" w:rsidP="00EA3F6C">
            <w:pPr>
              <w:pStyle w:val="ListParagraph"/>
              <w:rPr>
                <w:rFonts w:ascii="Arial" w:hAnsi="Arial" w:cs="Arial"/>
                <w:b/>
                <w:bCs/>
                <w:sz w:val="20"/>
                <w:szCs w:val="20"/>
              </w:rPr>
            </w:pPr>
          </w:p>
          <w:p w14:paraId="1BE349CB" w14:textId="6F4E79C5" w:rsidR="009A0C7F" w:rsidRDefault="009A0C7F" w:rsidP="00AD284D">
            <w:pPr>
              <w:pStyle w:val="ListParagraph"/>
              <w:jc w:val="both"/>
              <w:rPr>
                <w:rFonts w:ascii="Arial" w:hAnsi="Arial" w:cs="Arial"/>
                <w:sz w:val="20"/>
                <w:szCs w:val="20"/>
              </w:rPr>
            </w:pPr>
            <w:r>
              <w:rPr>
                <w:rFonts w:ascii="Arial" w:hAnsi="Arial" w:cs="Arial"/>
                <w:sz w:val="20"/>
                <w:szCs w:val="20"/>
              </w:rPr>
              <w:t>Ilgalaik</w:t>
            </w:r>
            <w:r w:rsidR="008E3392">
              <w:rPr>
                <w:rFonts w:ascii="Arial" w:hAnsi="Arial" w:cs="Arial"/>
                <w:sz w:val="20"/>
                <w:szCs w:val="20"/>
              </w:rPr>
              <w:t>ę</w:t>
            </w:r>
            <w:r>
              <w:rPr>
                <w:rFonts w:ascii="Arial" w:hAnsi="Arial" w:cs="Arial"/>
                <w:sz w:val="20"/>
                <w:szCs w:val="20"/>
              </w:rPr>
              <w:t xml:space="preserve"> Bendrovės sėkm</w:t>
            </w:r>
            <w:r w:rsidR="008E3392">
              <w:rPr>
                <w:rFonts w:ascii="Arial" w:hAnsi="Arial" w:cs="Arial"/>
                <w:sz w:val="20"/>
                <w:szCs w:val="20"/>
              </w:rPr>
              <w:t xml:space="preserve">ę lemia </w:t>
            </w:r>
            <w:r>
              <w:rPr>
                <w:rFonts w:ascii="Arial" w:hAnsi="Arial" w:cs="Arial"/>
                <w:sz w:val="20"/>
                <w:szCs w:val="20"/>
              </w:rPr>
              <w:t xml:space="preserve">jos darbuotojų </w:t>
            </w:r>
            <w:r w:rsidR="00AD284D">
              <w:rPr>
                <w:rFonts w:ascii="Arial" w:hAnsi="Arial" w:cs="Arial"/>
                <w:sz w:val="20"/>
                <w:szCs w:val="20"/>
              </w:rPr>
              <w:t>kompetencija</w:t>
            </w:r>
            <w:r w:rsidRPr="00E21D1F">
              <w:rPr>
                <w:rFonts w:ascii="Arial" w:hAnsi="Arial" w:cs="Arial"/>
                <w:sz w:val="20"/>
                <w:szCs w:val="20"/>
              </w:rPr>
              <w:t xml:space="preserve">. </w:t>
            </w:r>
            <w:r>
              <w:rPr>
                <w:rFonts w:ascii="Arial" w:hAnsi="Arial" w:cs="Arial"/>
                <w:sz w:val="20"/>
                <w:szCs w:val="20"/>
              </w:rPr>
              <w:t xml:space="preserve">Bendrovės atlygio sistema </w:t>
            </w:r>
            <w:r w:rsidR="00182A02">
              <w:rPr>
                <w:rFonts w:ascii="Arial" w:hAnsi="Arial" w:cs="Arial"/>
                <w:sz w:val="20"/>
                <w:szCs w:val="20"/>
              </w:rPr>
              <w:t xml:space="preserve">daug prisideda prie </w:t>
            </w:r>
            <w:r>
              <w:rPr>
                <w:rFonts w:ascii="Arial" w:hAnsi="Arial" w:cs="Arial"/>
                <w:sz w:val="20"/>
                <w:szCs w:val="20"/>
              </w:rPr>
              <w:t>jos gebėjim</w:t>
            </w:r>
            <w:r w:rsidR="00182A02">
              <w:rPr>
                <w:rFonts w:ascii="Arial" w:hAnsi="Arial" w:cs="Arial"/>
                <w:sz w:val="20"/>
                <w:szCs w:val="20"/>
              </w:rPr>
              <w:t>o</w:t>
            </w:r>
            <w:r>
              <w:rPr>
                <w:rFonts w:ascii="Arial" w:hAnsi="Arial" w:cs="Arial"/>
                <w:sz w:val="20"/>
                <w:szCs w:val="20"/>
              </w:rPr>
              <w:t xml:space="preserve"> pritraukti</w:t>
            </w:r>
            <w:r w:rsidRPr="00E21D1F">
              <w:rPr>
                <w:rFonts w:ascii="Arial" w:hAnsi="Arial" w:cs="Arial"/>
                <w:sz w:val="20"/>
                <w:szCs w:val="20"/>
              </w:rPr>
              <w:t xml:space="preserve">, </w:t>
            </w:r>
            <w:r>
              <w:rPr>
                <w:rFonts w:ascii="Arial" w:hAnsi="Arial" w:cs="Arial"/>
                <w:sz w:val="20"/>
                <w:szCs w:val="20"/>
              </w:rPr>
              <w:t xml:space="preserve">tinkamai motyvuoti ir išlaikyti </w:t>
            </w:r>
            <w:r w:rsidR="00182A02">
              <w:rPr>
                <w:rFonts w:ascii="Arial" w:hAnsi="Arial" w:cs="Arial"/>
                <w:sz w:val="20"/>
                <w:szCs w:val="20"/>
              </w:rPr>
              <w:t xml:space="preserve">gabiausius </w:t>
            </w:r>
            <w:r>
              <w:rPr>
                <w:rFonts w:ascii="Arial" w:hAnsi="Arial" w:cs="Arial"/>
                <w:sz w:val="20"/>
                <w:szCs w:val="20"/>
              </w:rPr>
              <w:t>žmones</w:t>
            </w:r>
            <w:r w:rsidRPr="00E21D1F">
              <w:rPr>
                <w:rFonts w:ascii="Arial" w:hAnsi="Arial" w:cs="Arial"/>
                <w:sz w:val="20"/>
                <w:szCs w:val="20"/>
              </w:rPr>
              <w:t xml:space="preserve">. </w:t>
            </w:r>
          </w:p>
          <w:p w14:paraId="30A27467" w14:textId="77777777" w:rsidR="009823DC" w:rsidRPr="00AD284D" w:rsidRDefault="009823DC" w:rsidP="00AD284D">
            <w:pPr>
              <w:pStyle w:val="ListParagraph"/>
              <w:jc w:val="both"/>
              <w:rPr>
                <w:rFonts w:ascii="Arial" w:hAnsi="Arial" w:cs="Arial"/>
                <w:sz w:val="20"/>
                <w:szCs w:val="20"/>
              </w:rPr>
            </w:pPr>
          </w:p>
          <w:p w14:paraId="7992AF9C" w14:textId="7EF8CC7E" w:rsidR="009A0C7F" w:rsidRDefault="009A0C7F" w:rsidP="00EA3F6C">
            <w:pPr>
              <w:pStyle w:val="ListParagraph"/>
              <w:tabs>
                <w:tab w:val="left" w:pos="8647"/>
              </w:tabs>
              <w:jc w:val="both"/>
              <w:rPr>
                <w:rFonts w:ascii="Arial" w:hAnsi="Arial" w:cs="Arial"/>
                <w:sz w:val="20"/>
                <w:szCs w:val="20"/>
              </w:rPr>
            </w:pPr>
            <w:r>
              <w:rPr>
                <w:rFonts w:ascii="Arial" w:hAnsi="Arial" w:cs="Arial"/>
                <w:sz w:val="20"/>
                <w:szCs w:val="20"/>
              </w:rPr>
              <w:t xml:space="preserve">Konkurencingas ir protingas atlygis turi padėti pritraukti ir išlaikyti </w:t>
            </w:r>
            <w:r w:rsidR="00544D4E">
              <w:rPr>
                <w:rFonts w:ascii="Arial" w:hAnsi="Arial" w:cs="Arial"/>
                <w:sz w:val="20"/>
                <w:szCs w:val="20"/>
              </w:rPr>
              <w:t xml:space="preserve">gabiausius </w:t>
            </w:r>
            <w:r>
              <w:rPr>
                <w:rFonts w:ascii="Arial" w:hAnsi="Arial" w:cs="Arial"/>
                <w:sz w:val="20"/>
                <w:szCs w:val="20"/>
              </w:rPr>
              <w:t xml:space="preserve">žmones, </w:t>
            </w:r>
            <w:r w:rsidR="00544D4E">
              <w:rPr>
                <w:rFonts w:ascii="Arial" w:hAnsi="Arial" w:cs="Arial"/>
                <w:sz w:val="20"/>
                <w:szCs w:val="20"/>
              </w:rPr>
              <w:t xml:space="preserve">reikalingus </w:t>
            </w:r>
            <w:r>
              <w:rPr>
                <w:rFonts w:ascii="Arial" w:hAnsi="Arial" w:cs="Arial"/>
                <w:sz w:val="20"/>
                <w:szCs w:val="20"/>
              </w:rPr>
              <w:t>Bendrovės versl</w:t>
            </w:r>
            <w:r w:rsidR="00544D4E">
              <w:rPr>
                <w:rFonts w:ascii="Arial" w:hAnsi="Arial" w:cs="Arial"/>
                <w:sz w:val="20"/>
                <w:szCs w:val="20"/>
              </w:rPr>
              <w:t>o augimui ir palaikymui</w:t>
            </w:r>
            <w:r w:rsidRPr="00E21D1F">
              <w:rPr>
                <w:rFonts w:ascii="Arial" w:hAnsi="Arial" w:cs="Arial"/>
                <w:sz w:val="20"/>
                <w:szCs w:val="20"/>
              </w:rPr>
              <w:t>.</w:t>
            </w:r>
          </w:p>
          <w:p w14:paraId="0B67DCBA" w14:textId="77777777" w:rsidR="009A0C7F" w:rsidRPr="00C577B0" w:rsidRDefault="009A0C7F" w:rsidP="00C577B0">
            <w:pPr>
              <w:tabs>
                <w:tab w:val="left" w:pos="8647"/>
              </w:tabs>
              <w:jc w:val="both"/>
              <w:rPr>
                <w:rFonts w:ascii="Arial" w:hAnsi="Arial" w:cs="Arial"/>
                <w:sz w:val="20"/>
                <w:szCs w:val="20"/>
              </w:rPr>
            </w:pPr>
          </w:p>
          <w:p w14:paraId="2A8B7229" w14:textId="237C8EEA" w:rsidR="009A0C7F" w:rsidRPr="00E21D1F" w:rsidRDefault="009A0C7F" w:rsidP="00EA3F6C">
            <w:pPr>
              <w:pStyle w:val="ListParagraph"/>
              <w:numPr>
                <w:ilvl w:val="0"/>
                <w:numId w:val="6"/>
              </w:num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Rizikos valdymo ir atlygio integracija </w:t>
            </w:r>
          </w:p>
          <w:p w14:paraId="42A75747" w14:textId="51CAF928" w:rsidR="009A0C7F" w:rsidRDefault="009A0C7F" w:rsidP="00EA3F6C">
            <w:pPr>
              <w:pStyle w:val="ListParagraph"/>
              <w:rPr>
                <w:rFonts w:ascii="Arial" w:hAnsi="Arial" w:cs="Arial"/>
                <w:b/>
                <w:bCs/>
                <w:sz w:val="20"/>
                <w:szCs w:val="20"/>
              </w:rPr>
            </w:pPr>
          </w:p>
          <w:p w14:paraId="72C55875" w14:textId="77777777" w:rsidR="00AD284D" w:rsidRPr="00E21D1F" w:rsidRDefault="00AD284D" w:rsidP="00EA3F6C">
            <w:pPr>
              <w:pStyle w:val="ListParagraph"/>
              <w:rPr>
                <w:rFonts w:ascii="Arial" w:hAnsi="Arial" w:cs="Arial"/>
                <w:b/>
                <w:bCs/>
                <w:sz w:val="20"/>
                <w:szCs w:val="20"/>
              </w:rPr>
            </w:pPr>
          </w:p>
          <w:p w14:paraId="28CC041A" w14:textId="1A2C0D90" w:rsidR="009A0C7F" w:rsidRPr="00E21D1F" w:rsidRDefault="00544D4E" w:rsidP="00EA3F6C">
            <w:pPr>
              <w:pStyle w:val="ListParagraph"/>
              <w:jc w:val="both"/>
              <w:rPr>
                <w:rFonts w:ascii="Arial" w:hAnsi="Arial" w:cs="Arial"/>
                <w:sz w:val="20"/>
                <w:szCs w:val="20"/>
              </w:rPr>
            </w:pPr>
            <w:r>
              <w:rPr>
                <w:rFonts w:ascii="Arial" w:hAnsi="Arial" w:cs="Arial"/>
                <w:sz w:val="20"/>
                <w:szCs w:val="20"/>
              </w:rPr>
              <w:t xml:space="preserve">Reikia nustatyti </w:t>
            </w:r>
            <w:r w:rsidR="00C76E75">
              <w:rPr>
                <w:rFonts w:ascii="Arial" w:hAnsi="Arial" w:cs="Arial"/>
                <w:sz w:val="20"/>
                <w:szCs w:val="20"/>
              </w:rPr>
              <w:t>patikimą ir pak</w:t>
            </w:r>
            <w:r w:rsidR="00AD284D">
              <w:rPr>
                <w:rFonts w:ascii="Arial" w:hAnsi="Arial" w:cs="Arial"/>
                <w:sz w:val="20"/>
                <w:szCs w:val="20"/>
              </w:rPr>
              <w:t>ank</w:t>
            </w:r>
            <w:r w:rsidR="00C76E75">
              <w:rPr>
                <w:rFonts w:ascii="Arial" w:hAnsi="Arial" w:cs="Arial"/>
                <w:sz w:val="20"/>
                <w:szCs w:val="20"/>
              </w:rPr>
              <w:t>amai griežtą r</w:t>
            </w:r>
            <w:r w:rsidR="009A0C7F">
              <w:rPr>
                <w:rFonts w:ascii="Arial" w:hAnsi="Arial" w:cs="Arial"/>
                <w:sz w:val="20"/>
                <w:szCs w:val="20"/>
              </w:rPr>
              <w:t>izikos valdym</w:t>
            </w:r>
            <w:r w:rsidR="00C76E75">
              <w:rPr>
                <w:rFonts w:ascii="Arial" w:hAnsi="Arial" w:cs="Arial"/>
                <w:sz w:val="20"/>
                <w:szCs w:val="20"/>
              </w:rPr>
              <w:t>o</w:t>
            </w:r>
            <w:r w:rsidR="009A0C7F" w:rsidRPr="00E21D1F">
              <w:rPr>
                <w:rFonts w:ascii="Arial" w:hAnsi="Arial" w:cs="Arial"/>
                <w:sz w:val="20"/>
                <w:szCs w:val="20"/>
              </w:rPr>
              <w:t xml:space="preserve">, </w:t>
            </w:r>
            <w:r w:rsidR="009A0C7F">
              <w:rPr>
                <w:rFonts w:ascii="Arial" w:hAnsi="Arial" w:cs="Arial"/>
                <w:sz w:val="20"/>
                <w:szCs w:val="20"/>
              </w:rPr>
              <w:t xml:space="preserve">atlygio </w:t>
            </w:r>
            <w:r w:rsidR="00C76E75">
              <w:rPr>
                <w:rFonts w:ascii="Arial" w:hAnsi="Arial" w:cs="Arial"/>
                <w:sz w:val="20"/>
                <w:szCs w:val="20"/>
              </w:rPr>
              <w:t xml:space="preserve">išieškojimo </w:t>
            </w:r>
            <w:r w:rsidR="009A0C7F">
              <w:rPr>
                <w:rFonts w:ascii="Arial" w:hAnsi="Arial" w:cs="Arial"/>
                <w:sz w:val="20"/>
                <w:szCs w:val="20"/>
              </w:rPr>
              <w:t xml:space="preserve">ir </w:t>
            </w:r>
            <w:r w:rsidR="00C76E75">
              <w:rPr>
                <w:rFonts w:ascii="Arial" w:hAnsi="Arial" w:cs="Arial"/>
                <w:sz w:val="20"/>
                <w:szCs w:val="20"/>
              </w:rPr>
              <w:t xml:space="preserve">grąžinimo </w:t>
            </w:r>
            <w:r w:rsidR="009A0C7F">
              <w:rPr>
                <w:rFonts w:ascii="Arial" w:hAnsi="Arial" w:cs="Arial"/>
                <w:sz w:val="20"/>
                <w:szCs w:val="20"/>
              </w:rPr>
              <w:t>politik</w:t>
            </w:r>
            <w:r w:rsidR="00C76E75">
              <w:rPr>
                <w:rFonts w:ascii="Arial" w:hAnsi="Arial" w:cs="Arial"/>
                <w:sz w:val="20"/>
                <w:szCs w:val="20"/>
              </w:rPr>
              <w:t>ą</w:t>
            </w:r>
            <w:r w:rsidR="009A0C7F">
              <w:rPr>
                <w:rFonts w:ascii="Arial" w:hAnsi="Arial" w:cs="Arial"/>
                <w:sz w:val="20"/>
                <w:szCs w:val="20"/>
              </w:rPr>
              <w:t xml:space="preserve">, </w:t>
            </w:r>
            <w:r w:rsidR="00C76E75">
              <w:rPr>
                <w:rFonts w:ascii="Arial" w:hAnsi="Arial" w:cs="Arial"/>
                <w:sz w:val="20"/>
                <w:szCs w:val="20"/>
              </w:rPr>
              <w:t xml:space="preserve">galinčią sulaikyti nuo </w:t>
            </w:r>
            <w:r w:rsidR="00AD284D">
              <w:rPr>
                <w:rFonts w:ascii="Arial" w:hAnsi="Arial" w:cs="Arial"/>
                <w:sz w:val="20"/>
                <w:szCs w:val="20"/>
              </w:rPr>
              <w:t>per didelės</w:t>
            </w:r>
            <w:r w:rsidR="00C76E75">
              <w:rPr>
                <w:rFonts w:ascii="Arial" w:hAnsi="Arial" w:cs="Arial"/>
                <w:sz w:val="20"/>
                <w:szCs w:val="20"/>
              </w:rPr>
              <w:t xml:space="preserve"> rizikos</w:t>
            </w:r>
            <w:r w:rsidR="009A0C7F" w:rsidRPr="00E21D1F">
              <w:rPr>
                <w:rFonts w:ascii="Arial" w:hAnsi="Arial" w:cs="Arial"/>
                <w:sz w:val="20"/>
                <w:szCs w:val="20"/>
              </w:rPr>
              <w:t xml:space="preserve">. </w:t>
            </w:r>
          </w:p>
          <w:p w14:paraId="35C633F6" w14:textId="77777777" w:rsidR="009A0C7F" w:rsidRPr="00E21D1F" w:rsidRDefault="009A0C7F" w:rsidP="00EA3F6C">
            <w:pPr>
              <w:pStyle w:val="ListParagraph"/>
              <w:jc w:val="both"/>
              <w:rPr>
                <w:rFonts w:ascii="Arial" w:hAnsi="Arial" w:cs="Arial"/>
                <w:sz w:val="20"/>
                <w:szCs w:val="20"/>
              </w:rPr>
            </w:pPr>
          </w:p>
          <w:p w14:paraId="0FC42808" w14:textId="620A53C6" w:rsidR="009A0C7F" w:rsidRPr="00E21D1F" w:rsidRDefault="009A0C7F" w:rsidP="00EA3F6C">
            <w:pPr>
              <w:pStyle w:val="ListParagraph"/>
              <w:jc w:val="both"/>
              <w:rPr>
                <w:rFonts w:ascii="Arial" w:hAnsi="Arial" w:cs="Arial"/>
                <w:sz w:val="20"/>
                <w:szCs w:val="20"/>
              </w:rPr>
            </w:pPr>
            <w:r>
              <w:rPr>
                <w:rFonts w:ascii="Arial" w:hAnsi="Arial" w:cs="Arial"/>
                <w:sz w:val="20"/>
                <w:szCs w:val="20"/>
              </w:rPr>
              <w:t xml:space="preserve">Bendrovės valdymo organai turi </w:t>
            </w:r>
            <w:r w:rsidR="00C577B0">
              <w:rPr>
                <w:rFonts w:ascii="Arial" w:hAnsi="Arial" w:cs="Arial"/>
                <w:sz w:val="20"/>
                <w:szCs w:val="20"/>
              </w:rPr>
              <w:t xml:space="preserve">atlikti </w:t>
            </w:r>
            <w:r w:rsidR="00246A4E">
              <w:rPr>
                <w:rFonts w:ascii="Arial" w:hAnsi="Arial" w:cs="Arial"/>
                <w:sz w:val="20"/>
                <w:szCs w:val="20"/>
              </w:rPr>
              <w:t>vertin</w:t>
            </w:r>
            <w:r w:rsidR="00C577B0">
              <w:rPr>
                <w:rFonts w:ascii="Arial" w:hAnsi="Arial" w:cs="Arial"/>
                <w:sz w:val="20"/>
                <w:szCs w:val="20"/>
              </w:rPr>
              <w:t>imus</w:t>
            </w:r>
            <w:r w:rsidR="00246A4E">
              <w:rPr>
                <w:rFonts w:ascii="Arial" w:hAnsi="Arial" w:cs="Arial"/>
                <w:sz w:val="20"/>
                <w:szCs w:val="20"/>
              </w:rPr>
              <w:t xml:space="preserve"> </w:t>
            </w:r>
            <w:r>
              <w:rPr>
                <w:rFonts w:ascii="Arial" w:hAnsi="Arial" w:cs="Arial"/>
                <w:sz w:val="20"/>
                <w:szCs w:val="20"/>
              </w:rPr>
              <w:t>sąžining</w:t>
            </w:r>
            <w:r w:rsidR="00246A4E">
              <w:rPr>
                <w:rFonts w:ascii="Arial" w:hAnsi="Arial" w:cs="Arial"/>
                <w:sz w:val="20"/>
                <w:szCs w:val="20"/>
              </w:rPr>
              <w:t>ai</w:t>
            </w:r>
            <w:r w:rsidRPr="00E21D1F">
              <w:rPr>
                <w:rFonts w:ascii="Arial" w:hAnsi="Arial" w:cs="Arial"/>
                <w:sz w:val="20"/>
                <w:szCs w:val="20"/>
              </w:rPr>
              <w:t xml:space="preserve">, </w:t>
            </w:r>
            <w:r>
              <w:rPr>
                <w:rFonts w:ascii="Arial" w:hAnsi="Arial" w:cs="Arial"/>
                <w:sz w:val="20"/>
                <w:szCs w:val="20"/>
              </w:rPr>
              <w:t>teising</w:t>
            </w:r>
            <w:r w:rsidR="00246A4E">
              <w:rPr>
                <w:rFonts w:ascii="Arial" w:hAnsi="Arial" w:cs="Arial"/>
                <w:sz w:val="20"/>
                <w:szCs w:val="20"/>
              </w:rPr>
              <w:t>ai</w:t>
            </w:r>
            <w:r>
              <w:rPr>
                <w:rFonts w:ascii="Arial" w:hAnsi="Arial" w:cs="Arial"/>
                <w:sz w:val="20"/>
                <w:szCs w:val="20"/>
              </w:rPr>
              <w:t xml:space="preserve"> ir objektyvi</w:t>
            </w:r>
            <w:r w:rsidR="00246A4E">
              <w:rPr>
                <w:rFonts w:ascii="Arial" w:hAnsi="Arial" w:cs="Arial"/>
                <w:sz w:val="20"/>
                <w:szCs w:val="20"/>
              </w:rPr>
              <w:t>ai bei</w:t>
            </w:r>
            <w:r>
              <w:rPr>
                <w:rFonts w:ascii="Arial" w:hAnsi="Arial" w:cs="Arial"/>
                <w:sz w:val="20"/>
                <w:szCs w:val="20"/>
              </w:rPr>
              <w:t xml:space="preserve"> </w:t>
            </w:r>
            <w:r w:rsidR="00246A4E">
              <w:rPr>
                <w:rFonts w:ascii="Arial" w:hAnsi="Arial" w:cs="Arial"/>
                <w:sz w:val="20"/>
                <w:szCs w:val="20"/>
              </w:rPr>
              <w:t xml:space="preserve">nustatyti </w:t>
            </w:r>
            <w:r w:rsidR="00F830D9">
              <w:rPr>
                <w:rFonts w:ascii="Arial" w:hAnsi="Arial" w:cs="Arial"/>
                <w:sz w:val="20"/>
                <w:szCs w:val="20"/>
              </w:rPr>
              <w:t xml:space="preserve">asmenis, atsakingus </w:t>
            </w:r>
            <w:r>
              <w:rPr>
                <w:rFonts w:ascii="Arial" w:hAnsi="Arial" w:cs="Arial"/>
                <w:sz w:val="20"/>
                <w:szCs w:val="20"/>
              </w:rPr>
              <w:t xml:space="preserve">už </w:t>
            </w:r>
            <w:r w:rsidR="00F830D9">
              <w:rPr>
                <w:rFonts w:ascii="Arial" w:hAnsi="Arial" w:cs="Arial"/>
                <w:sz w:val="20"/>
                <w:szCs w:val="20"/>
              </w:rPr>
              <w:t xml:space="preserve">reikšmingus </w:t>
            </w:r>
            <w:r>
              <w:rPr>
                <w:rFonts w:ascii="Arial" w:hAnsi="Arial" w:cs="Arial"/>
                <w:sz w:val="20"/>
                <w:szCs w:val="20"/>
              </w:rPr>
              <w:t>su rizika susijusius įvykius</w:t>
            </w:r>
            <w:r w:rsidR="00BF70CF">
              <w:rPr>
                <w:rFonts w:ascii="Arial" w:hAnsi="Arial" w:cs="Arial"/>
                <w:sz w:val="20"/>
                <w:szCs w:val="20"/>
              </w:rPr>
              <w:t>,</w:t>
            </w:r>
            <w:r>
              <w:rPr>
                <w:rFonts w:ascii="Arial" w:hAnsi="Arial" w:cs="Arial"/>
                <w:sz w:val="20"/>
                <w:szCs w:val="20"/>
              </w:rPr>
              <w:t xml:space="preserve"> ir </w:t>
            </w:r>
            <w:r w:rsidR="00BF70CF">
              <w:rPr>
                <w:rFonts w:ascii="Arial" w:hAnsi="Arial" w:cs="Arial"/>
                <w:sz w:val="20"/>
                <w:szCs w:val="20"/>
              </w:rPr>
              <w:t xml:space="preserve">jų </w:t>
            </w:r>
            <w:r>
              <w:rPr>
                <w:rFonts w:ascii="Arial" w:hAnsi="Arial" w:cs="Arial"/>
                <w:sz w:val="20"/>
                <w:szCs w:val="20"/>
              </w:rPr>
              <w:t>atskaitomybę</w:t>
            </w:r>
            <w:r w:rsidRPr="00E21D1F">
              <w:rPr>
                <w:rFonts w:ascii="Arial" w:hAnsi="Arial" w:cs="Arial"/>
                <w:sz w:val="20"/>
                <w:szCs w:val="20"/>
              </w:rPr>
              <w:t>.</w:t>
            </w:r>
          </w:p>
          <w:p w14:paraId="73406F34" w14:textId="77777777" w:rsidR="009A0C7F" w:rsidRPr="00E21D1F" w:rsidRDefault="009A0C7F" w:rsidP="00EA3F6C">
            <w:pPr>
              <w:pStyle w:val="ListParagraph"/>
              <w:jc w:val="both"/>
              <w:rPr>
                <w:rFonts w:ascii="Arial" w:hAnsi="Arial" w:cs="Arial"/>
                <w:sz w:val="20"/>
                <w:szCs w:val="20"/>
              </w:rPr>
            </w:pPr>
          </w:p>
          <w:p w14:paraId="09F715DB" w14:textId="29A0784B" w:rsidR="009A0C7F" w:rsidRPr="00E21D1F" w:rsidRDefault="009A0C7F" w:rsidP="00EA3F6C">
            <w:pPr>
              <w:pStyle w:val="ListParagraph"/>
              <w:jc w:val="both"/>
              <w:rPr>
                <w:rFonts w:ascii="Arial" w:hAnsi="Arial" w:cs="Arial"/>
                <w:sz w:val="20"/>
                <w:szCs w:val="20"/>
              </w:rPr>
            </w:pPr>
            <w:r>
              <w:rPr>
                <w:rFonts w:ascii="Arial" w:hAnsi="Arial" w:cs="Arial"/>
                <w:sz w:val="20"/>
                <w:szCs w:val="20"/>
              </w:rPr>
              <w:t xml:space="preserve">Atlygio skyrimo </w:t>
            </w:r>
            <w:r w:rsidR="00C527FD">
              <w:rPr>
                <w:rFonts w:ascii="Arial" w:hAnsi="Arial" w:cs="Arial"/>
                <w:sz w:val="20"/>
                <w:szCs w:val="20"/>
              </w:rPr>
              <w:t xml:space="preserve">praktika </w:t>
            </w:r>
            <w:r>
              <w:rPr>
                <w:rFonts w:ascii="Arial" w:hAnsi="Arial" w:cs="Arial"/>
                <w:sz w:val="20"/>
                <w:szCs w:val="20"/>
              </w:rPr>
              <w:t xml:space="preserve">turi atitikti </w:t>
            </w:r>
            <w:r w:rsidR="00F30555">
              <w:rPr>
                <w:rFonts w:ascii="Arial" w:hAnsi="Arial" w:cs="Arial"/>
                <w:sz w:val="20"/>
                <w:szCs w:val="20"/>
              </w:rPr>
              <w:t xml:space="preserve">atitinkamas </w:t>
            </w:r>
            <w:r>
              <w:rPr>
                <w:rFonts w:ascii="Arial" w:hAnsi="Arial" w:cs="Arial"/>
                <w:sz w:val="20"/>
                <w:szCs w:val="20"/>
              </w:rPr>
              <w:t>taisykles ir reglamentus</w:t>
            </w:r>
            <w:r w:rsidRPr="00E21D1F">
              <w:rPr>
                <w:rFonts w:ascii="Arial" w:hAnsi="Arial" w:cs="Arial"/>
                <w:sz w:val="20"/>
                <w:szCs w:val="20"/>
              </w:rPr>
              <w:t>.</w:t>
            </w:r>
          </w:p>
          <w:p w14:paraId="670E1EB0" w14:textId="77777777" w:rsidR="009A0C7F" w:rsidRPr="00E21D1F" w:rsidRDefault="009A0C7F" w:rsidP="00EA3F6C">
            <w:pPr>
              <w:pStyle w:val="ListParagraph"/>
              <w:tabs>
                <w:tab w:val="left" w:pos="8647"/>
              </w:tabs>
              <w:jc w:val="both"/>
              <w:rPr>
                <w:rFonts w:ascii="Arial" w:hAnsi="Arial" w:cs="Arial"/>
                <w:b/>
                <w:bCs/>
                <w:color w:val="2F5496" w:themeColor="accent1" w:themeShade="BF"/>
                <w:sz w:val="20"/>
                <w:szCs w:val="20"/>
              </w:rPr>
            </w:pPr>
          </w:p>
          <w:p w14:paraId="23BC459E" w14:textId="073D5269" w:rsidR="009A0C7F" w:rsidRPr="00E21D1F" w:rsidRDefault="00CB62FE" w:rsidP="00EA3F6C">
            <w:pPr>
              <w:pStyle w:val="ListParagraph"/>
              <w:numPr>
                <w:ilvl w:val="0"/>
                <w:numId w:val="6"/>
              </w:num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Griežtas</w:t>
            </w:r>
            <w:r w:rsidR="009A0C7F">
              <w:rPr>
                <w:rFonts w:ascii="Arial" w:hAnsi="Arial" w:cs="Arial"/>
                <w:b/>
                <w:bCs/>
                <w:color w:val="2F5496" w:themeColor="accent1" w:themeShade="BF"/>
                <w:sz w:val="20"/>
                <w:szCs w:val="20"/>
              </w:rPr>
              <w:t xml:space="preserve"> valdy</w:t>
            </w:r>
            <w:r w:rsidR="00F23261">
              <w:rPr>
                <w:rFonts w:ascii="Arial" w:hAnsi="Arial" w:cs="Arial"/>
                <w:b/>
                <w:bCs/>
                <w:color w:val="2F5496" w:themeColor="accent1" w:themeShade="BF"/>
                <w:sz w:val="20"/>
                <w:szCs w:val="20"/>
              </w:rPr>
              <w:t xml:space="preserve">mas </w:t>
            </w:r>
          </w:p>
          <w:p w14:paraId="08C785A9" w14:textId="77777777" w:rsidR="009A0C7F" w:rsidRPr="00E21D1F" w:rsidRDefault="009A0C7F" w:rsidP="00EA3F6C">
            <w:pPr>
              <w:pStyle w:val="ListParagraph"/>
              <w:rPr>
                <w:rFonts w:ascii="Arial" w:hAnsi="Arial" w:cs="Arial"/>
                <w:b/>
                <w:bCs/>
                <w:sz w:val="20"/>
                <w:szCs w:val="20"/>
              </w:rPr>
            </w:pPr>
          </w:p>
          <w:p w14:paraId="5277EE07" w14:textId="57FDC7D4" w:rsidR="00F23261" w:rsidRPr="00B10DAE" w:rsidRDefault="00CB62FE" w:rsidP="00B10DAE">
            <w:pPr>
              <w:pStyle w:val="ListParagraph"/>
              <w:jc w:val="both"/>
              <w:rPr>
                <w:rFonts w:ascii="Arial" w:hAnsi="Arial" w:cs="Arial"/>
                <w:sz w:val="20"/>
                <w:szCs w:val="20"/>
              </w:rPr>
            </w:pPr>
            <w:r>
              <w:rPr>
                <w:rFonts w:ascii="Arial" w:hAnsi="Arial" w:cs="Arial"/>
                <w:sz w:val="20"/>
                <w:szCs w:val="20"/>
              </w:rPr>
              <w:t>Griežtas</w:t>
            </w:r>
            <w:r w:rsidR="00F23261">
              <w:rPr>
                <w:rFonts w:ascii="Arial" w:hAnsi="Arial" w:cs="Arial"/>
                <w:sz w:val="20"/>
                <w:szCs w:val="20"/>
              </w:rPr>
              <w:t xml:space="preserve"> įmonės valdymas </w:t>
            </w:r>
            <w:r w:rsidR="009A0C7F">
              <w:rPr>
                <w:rFonts w:ascii="Arial" w:hAnsi="Arial" w:cs="Arial"/>
                <w:sz w:val="20"/>
                <w:szCs w:val="20"/>
              </w:rPr>
              <w:t>palaikoma</w:t>
            </w:r>
            <w:r w:rsidR="00F23261">
              <w:rPr>
                <w:rFonts w:ascii="Arial" w:hAnsi="Arial" w:cs="Arial"/>
                <w:sz w:val="20"/>
                <w:szCs w:val="20"/>
              </w:rPr>
              <w:t>s</w:t>
            </w:r>
            <w:r w:rsidR="009A0C7F">
              <w:rPr>
                <w:rFonts w:ascii="Arial" w:hAnsi="Arial" w:cs="Arial"/>
                <w:sz w:val="20"/>
                <w:szCs w:val="20"/>
              </w:rPr>
              <w:t xml:space="preserve"> </w:t>
            </w:r>
            <w:r w:rsidR="00DC4821">
              <w:rPr>
                <w:rFonts w:ascii="Arial" w:hAnsi="Arial" w:cs="Arial"/>
                <w:sz w:val="20"/>
                <w:szCs w:val="20"/>
              </w:rPr>
              <w:t>ASK</w:t>
            </w:r>
            <w:r w:rsidR="009A0C7F">
              <w:rPr>
                <w:rFonts w:ascii="Arial" w:hAnsi="Arial" w:cs="Arial"/>
                <w:sz w:val="20"/>
                <w:szCs w:val="20"/>
              </w:rPr>
              <w:t xml:space="preserve"> ir Stebėtojų taryb</w:t>
            </w:r>
            <w:r>
              <w:rPr>
                <w:rFonts w:ascii="Arial" w:hAnsi="Arial" w:cs="Arial"/>
                <w:sz w:val="20"/>
                <w:szCs w:val="20"/>
              </w:rPr>
              <w:t xml:space="preserve">os </w:t>
            </w:r>
            <w:r w:rsidR="009A0C7F">
              <w:rPr>
                <w:rFonts w:ascii="Arial" w:hAnsi="Arial" w:cs="Arial"/>
                <w:sz w:val="20"/>
                <w:szCs w:val="20"/>
              </w:rPr>
              <w:t xml:space="preserve">prižiūrint </w:t>
            </w:r>
            <w:r w:rsidR="00B10DAE">
              <w:rPr>
                <w:rFonts w:ascii="Arial" w:hAnsi="Arial" w:cs="Arial"/>
                <w:sz w:val="20"/>
                <w:szCs w:val="20"/>
              </w:rPr>
              <w:t xml:space="preserve">vadovų </w:t>
            </w:r>
            <w:r w:rsidR="009A0C7F">
              <w:rPr>
                <w:rFonts w:ascii="Arial" w:hAnsi="Arial" w:cs="Arial"/>
                <w:sz w:val="20"/>
                <w:szCs w:val="20"/>
              </w:rPr>
              <w:lastRenderedPageBreak/>
              <w:t>atlygio programą</w:t>
            </w:r>
            <w:r w:rsidR="009A0C7F" w:rsidRPr="00E21D1F">
              <w:rPr>
                <w:rFonts w:ascii="Arial" w:hAnsi="Arial" w:cs="Arial"/>
                <w:sz w:val="20"/>
                <w:szCs w:val="20"/>
              </w:rPr>
              <w:t xml:space="preserve">, </w:t>
            </w:r>
            <w:r w:rsidR="00F23261">
              <w:rPr>
                <w:rFonts w:ascii="Arial" w:hAnsi="Arial" w:cs="Arial"/>
                <w:sz w:val="20"/>
                <w:szCs w:val="20"/>
              </w:rPr>
              <w:t xml:space="preserve">įskaitant </w:t>
            </w:r>
            <w:r w:rsidR="009A0C7F">
              <w:rPr>
                <w:rFonts w:ascii="Arial" w:hAnsi="Arial" w:cs="Arial"/>
                <w:sz w:val="20"/>
                <w:szCs w:val="20"/>
              </w:rPr>
              <w:t>Bendrovės atlygio princip</w:t>
            </w:r>
            <w:r>
              <w:rPr>
                <w:rFonts w:ascii="Arial" w:hAnsi="Arial" w:cs="Arial"/>
                <w:sz w:val="20"/>
                <w:szCs w:val="20"/>
              </w:rPr>
              <w:t>ų nustatymą</w:t>
            </w:r>
            <w:r w:rsidR="00F23261">
              <w:rPr>
                <w:rFonts w:ascii="Arial" w:hAnsi="Arial" w:cs="Arial"/>
                <w:sz w:val="20"/>
                <w:szCs w:val="20"/>
              </w:rPr>
              <w:t>,</w:t>
            </w:r>
            <w:r w:rsidR="009A0C7F">
              <w:rPr>
                <w:rFonts w:ascii="Arial" w:hAnsi="Arial" w:cs="Arial"/>
                <w:sz w:val="20"/>
                <w:szCs w:val="20"/>
              </w:rPr>
              <w:t xml:space="preserve"> bendr</w:t>
            </w:r>
            <w:r>
              <w:rPr>
                <w:rFonts w:ascii="Arial" w:hAnsi="Arial" w:cs="Arial"/>
                <w:sz w:val="20"/>
                <w:szCs w:val="20"/>
              </w:rPr>
              <w:t>ų</w:t>
            </w:r>
            <w:r w:rsidR="009A0C7F">
              <w:rPr>
                <w:rFonts w:ascii="Arial" w:hAnsi="Arial" w:cs="Arial"/>
                <w:sz w:val="20"/>
                <w:szCs w:val="20"/>
              </w:rPr>
              <w:t xml:space="preserve"> </w:t>
            </w:r>
            <w:r w:rsidR="004F08A0">
              <w:rPr>
                <w:rFonts w:ascii="Arial" w:hAnsi="Arial" w:cs="Arial"/>
                <w:sz w:val="20"/>
                <w:szCs w:val="20"/>
              </w:rPr>
              <w:t>Bendrovės</w:t>
            </w:r>
            <w:r w:rsidR="00B10DAE">
              <w:rPr>
                <w:rFonts w:ascii="Arial" w:hAnsi="Arial" w:cs="Arial"/>
                <w:sz w:val="20"/>
                <w:szCs w:val="20"/>
              </w:rPr>
              <w:t xml:space="preserve"> </w:t>
            </w:r>
            <w:r w:rsidR="004F08A0">
              <w:rPr>
                <w:rFonts w:ascii="Arial" w:hAnsi="Arial" w:cs="Arial"/>
                <w:sz w:val="20"/>
                <w:szCs w:val="20"/>
              </w:rPr>
              <w:t>ištekli</w:t>
            </w:r>
            <w:r>
              <w:rPr>
                <w:rFonts w:ascii="Arial" w:hAnsi="Arial" w:cs="Arial"/>
                <w:sz w:val="20"/>
                <w:szCs w:val="20"/>
              </w:rPr>
              <w:t>ų</w:t>
            </w:r>
            <w:r w:rsidR="00B10DAE">
              <w:rPr>
                <w:rFonts w:ascii="Arial" w:hAnsi="Arial" w:cs="Arial"/>
                <w:sz w:val="20"/>
                <w:szCs w:val="20"/>
              </w:rPr>
              <w:t xml:space="preserve">, </w:t>
            </w:r>
            <w:r w:rsidR="00B10DAE" w:rsidRPr="00B10DAE">
              <w:rPr>
                <w:rFonts w:ascii="Arial" w:hAnsi="Arial" w:cs="Arial"/>
                <w:sz w:val="20"/>
                <w:szCs w:val="20"/>
              </w:rPr>
              <w:t>naudojam</w:t>
            </w:r>
            <w:r w:rsidR="00B10DAE">
              <w:rPr>
                <w:rFonts w:ascii="Arial" w:hAnsi="Arial" w:cs="Arial"/>
                <w:sz w:val="20"/>
                <w:szCs w:val="20"/>
              </w:rPr>
              <w:t>ų</w:t>
            </w:r>
            <w:r w:rsidR="00B10DAE" w:rsidRPr="00B10DAE">
              <w:rPr>
                <w:rFonts w:ascii="Arial" w:hAnsi="Arial" w:cs="Arial"/>
                <w:sz w:val="20"/>
                <w:szCs w:val="20"/>
              </w:rPr>
              <w:t xml:space="preserve"> skatinamajam atlygiui</w:t>
            </w:r>
            <w:r w:rsidR="00B10DAE">
              <w:rPr>
                <w:rFonts w:ascii="Arial" w:hAnsi="Arial" w:cs="Arial"/>
                <w:sz w:val="20"/>
                <w:szCs w:val="20"/>
              </w:rPr>
              <w:t>,</w:t>
            </w:r>
            <w:r w:rsidR="00B10DAE" w:rsidRPr="00B10DAE">
              <w:rPr>
                <w:rFonts w:ascii="Arial" w:hAnsi="Arial" w:cs="Arial"/>
                <w:sz w:val="20"/>
                <w:szCs w:val="20"/>
              </w:rPr>
              <w:t xml:space="preserve"> </w:t>
            </w:r>
            <w:r w:rsidRPr="00B10DAE">
              <w:rPr>
                <w:rFonts w:ascii="Arial" w:hAnsi="Arial" w:cs="Arial"/>
                <w:sz w:val="20"/>
                <w:szCs w:val="20"/>
              </w:rPr>
              <w:t>peržiūrėjimą ir tvirtinimą</w:t>
            </w:r>
            <w:r w:rsidR="009A0C7F" w:rsidRPr="00B10DAE">
              <w:rPr>
                <w:rFonts w:ascii="Arial" w:hAnsi="Arial" w:cs="Arial"/>
                <w:sz w:val="20"/>
                <w:szCs w:val="20"/>
              </w:rPr>
              <w:t>.</w:t>
            </w:r>
          </w:p>
          <w:p w14:paraId="083C88E3" w14:textId="77777777" w:rsidR="009A0C7F" w:rsidRPr="00E21D1F" w:rsidRDefault="009A0C7F" w:rsidP="00EA3F6C">
            <w:pPr>
              <w:pStyle w:val="ListParagraph"/>
              <w:tabs>
                <w:tab w:val="left" w:pos="8647"/>
              </w:tabs>
              <w:jc w:val="both"/>
              <w:rPr>
                <w:rFonts w:ascii="Arial" w:hAnsi="Arial" w:cs="Arial"/>
                <w:b/>
                <w:bCs/>
                <w:color w:val="2F5496" w:themeColor="accent1" w:themeShade="BF"/>
                <w:sz w:val="20"/>
                <w:szCs w:val="20"/>
              </w:rPr>
            </w:pPr>
          </w:p>
          <w:p w14:paraId="155C2A82" w14:textId="3A017053" w:rsidR="009A0C7F" w:rsidRPr="00E21D1F" w:rsidRDefault="00F00C46" w:rsidP="00EA3F6C">
            <w:pPr>
              <w:pStyle w:val="ListParagraph"/>
              <w:numPr>
                <w:ilvl w:val="0"/>
                <w:numId w:val="6"/>
              </w:num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Skaidr</w:t>
            </w:r>
            <w:r w:rsidR="005E6EFC">
              <w:rPr>
                <w:rFonts w:ascii="Arial" w:hAnsi="Arial" w:cs="Arial"/>
                <w:b/>
                <w:bCs/>
                <w:color w:val="2F5496" w:themeColor="accent1" w:themeShade="BF"/>
                <w:sz w:val="20"/>
                <w:szCs w:val="20"/>
              </w:rPr>
              <w:t>umas</w:t>
            </w:r>
            <w:r>
              <w:rPr>
                <w:rFonts w:ascii="Arial" w:hAnsi="Arial" w:cs="Arial"/>
                <w:b/>
                <w:bCs/>
                <w:color w:val="2F5496" w:themeColor="accent1" w:themeShade="BF"/>
                <w:sz w:val="20"/>
                <w:szCs w:val="20"/>
              </w:rPr>
              <w:t xml:space="preserve"> akcinink</w:t>
            </w:r>
            <w:r w:rsidR="005E6EFC">
              <w:rPr>
                <w:rFonts w:ascii="Arial" w:hAnsi="Arial" w:cs="Arial"/>
                <w:b/>
                <w:bCs/>
                <w:color w:val="2F5496" w:themeColor="accent1" w:themeShade="BF"/>
                <w:sz w:val="20"/>
                <w:szCs w:val="20"/>
              </w:rPr>
              <w:t>ams</w:t>
            </w:r>
            <w:r>
              <w:rPr>
                <w:rFonts w:ascii="Arial" w:hAnsi="Arial" w:cs="Arial"/>
                <w:b/>
                <w:bCs/>
                <w:color w:val="2F5496" w:themeColor="accent1" w:themeShade="BF"/>
                <w:sz w:val="20"/>
                <w:szCs w:val="20"/>
              </w:rPr>
              <w:t xml:space="preserve"> </w:t>
            </w:r>
          </w:p>
          <w:p w14:paraId="0BD77FFE" w14:textId="77777777" w:rsidR="009A0C7F" w:rsidRPr="00E21D1F" w:rsidRDefault="009A0C7F" w:rsidP="00EA3F6C">
            <w:pPr>
              <w:pStyle w:val="ListParagraph"/>
              <w:rPr>
                <w:rFonts w:ascii="Arial" w:hAnsi="Arial" w:cs="Arial"/>
                <w:b/>
                <w:bCs/>
                <w:sz w:val="20"/>
                <w:szCs w:val="20"/>
              </w:rPr>
            </w:pPr>
          </w:p>
          <w:p w14:paraId="6555E0AE" w14:textId="4C937927" w:rsidR="009A0C7F" w:rsidRPr="00E21D1F" w:rsidRDefault="009A0C7F" w:rsidP="00EA3F6C">
            <w:pPr>
              <w:pStyle w:val="ListParagraph"/>
              <w:jc w:val="both"/>
              <w:rPr>
                <w:rFonts w:ascii="Arial" w:hAnsi="Arial" w:cs="Arial"/>
                <w:sz w:val="20"/>
                <w:szCs w:val="20"/>
              </w:rPr>
            </w:pPr>
            <w:r>
              <w:rPr>
                <w:rFonts w:ascii="Arial" w:hAnsi="Arial" w:cs="Arial"/>
                <w:sz w:val="20"/>
                <w:szCs w:val="20"/>
              </w:rPr>
              <w:t>Labai svarbu, kad akcininka</w:t>
            </w:r>
            <w:r w:rsidR="00F00C46">
              <w:rPr>
                <w:rFonts w:ascii="Arial" w:hAnsi="Arial" w:cs="Arial"/>
                <w:sz w:val="20"/>
                <w:szCs w:val="20"/>
              </w:rPr>
              <w:t xml:space="preserve">i būtų skaidriai informuojami apie </w:t>
            </w:r>
            <w:r>
              <w:rPr>
                <w:rFonts w:ascii="Arial" w:hAnsi="Arial" w:cs="Arial"/>
                <w:sz w:val="20"/>
                <w:szCs w:val="20"/>
              </w:rPr>
              <w:t>Bendrovės atlygio</w:t>
            </w:r>
            <w:r w:rsidR="00C527FD">
              <w:rPr>
                <w:rFonts w:ascii="Arial" w:hAnsi="Arial" w:cs="Arial"/>
                <w:sz w:val="20"/>
                <w:szCs w:val="20"/>
              </w:rPr>
              <w:t xml:space="preserve"> </w:t>
            </w:r>
            <w:r>
              <w:rPr>
                <w:rFonts w:ascii="Arial" w:hAnsi="Arial" w:cs="Arial"/>
                <w:sz w:val="20"/>
                <w:szCs w:val="20"/>
              </w:rPr>
              <w:t>politik</w:t>
            </w:r>
            <w:r w:rsidR="00F00C46">
              <w:rPr>
                <w:rFonts w:ascii="Arial" w:hAnsi="Arial" w:cs="Arial"/>
                <w:sz w:val="20"/>
                <w:szCs w:val="20"/>
              </w:rPr>
              <w:t>ą</w:t>
            </w:r>
            <w:r w:rsidRPr="00E21D1F">
              <w:rPr>
                <w:rFonts w:ascii="Arial" w:hAnsi="Arial" w:cs="Arial"/>
                <w:sz w:val="20"/>
                <w:szCs w:val="20"/>
              </w:rPr>
              <w:t xml:space="preserve">. </w:t>
            </w:r>
            <w:r>
              <w:rPr>
                <w:rFonts w:ascii="Arial" w:hAnsi="Arial" w:cs="Arial"/>
                <w:sz w:val="20"/>
                <w:szCs w:val="20"/>
              </w:rPr>
              <w:t>Siek</w:t>
            </w:r>
            <w:r w:rsidR="004F08A0">
              <w:rPr>
                <w:rFonts w:ascii="Arial" w:hAnsi="Arial" w:cs="Arial"/>
                <w:sz w:val="20"/>
                <w:szCs w:val="20"/>
              </w:rPr>
              <w:t xml:space="preserve">dama </w:t>
            </w:r>
            <w:r>
              <w:rPr>
                <w:rFonts w:ascii="Arial" w:hAnsi="Arial" w:cs="Arial"/>
                <w:sz w:val="20"/>
                <w:szCs w:val="20"/>
              </w:rPr>
              <w:t xml:space="preserve">akcininkams </w:t>
            </w:r>
            <w:r w:rsidR="001718DC">
              <w:rPr>
                <w:rFonts w:ascii="Arial" w:hAnsi="Arial" w:cs="Arial"/>
                <w:sz w:val="20"/>
                <w:szCs w:val="20"/>
              </w:rPr>
              <w:t xml:space="preserve">suteikti </w:t>
            </w:r>
            <w:r>
              <w:rPr>
                <w:rFonts w:ascii="Arial" w:hAnsi="Arial" w:cs="Arial"/>
                <w:sz w:val="20"/>
                <w:szCs w:val="20"/>
              </w:rPr>
              <w:t>pa</w:t>
            </w:r>
            <w:r w:rsidR="005E6EFC">
              <w:rPr>
                <w:rFonts w:ascii="Arial" w:hAnsi="Arial" w:cs="Arial"/>
                <w:sz w:val="20"/>
                <w:szCs w:val="20"/>
              </w:rPr>
              <w:t>kank</w:t>
            </w:r>
            <w:r>
              <w:rPr>
                <w:rFonts w:ascii="Arial" w:hAnsi="Arial" w:cs="Arial"/>
                <w:sz w:val="20"/>
                <w:szCs w:val="20"/>
              </w:rPr>
              <w:t xml:space="preserve">amai informacijos ir konteksto, kad galėtų įvertinti Bendrovės programas, </w:t>
            </w:r>
            <w:r w:rsidR="00C527FD">
              <w:rPr>
                <w:rFonts w:ascii="Arial" w:hAnsi="Arial" w:cs="Arial"/>
                <w:sz w:val="20"/>
                <w:szCs w:val="20"/>
              </w:rPr>
              <w:t xml:space="preserve">praktiką </w:t>
            </w:r>
            <w:r>
              <w:rPr>
                <w:rFonts w:ascii="Arial" w:hAnsi="Arial" w:cs="Arial"/>
                <w:sz w:val="20"/>
                <w:szCs w:val="20"/>
              </w:rPr>
              <w:t>ir jų efektyvumą</w:t>
            </w:r>
            <w:r w:rsidRPr="00E21D1F">
              <w:rPr>
                <w:rFonts w:ascii="Arial" w:hAnsi="Arial" w:cs="Arial"/>
                <w:sz w:val="20"/>
                <w:szCs w:val="20"/>
              </w:rPr>
              <w:t xml:space="preserve">, </w:t>
            </w:r>
            <w:r>
              <w:rPr>
                <w:rFonts w:ascii="Arial" w:hAnsi="Arial" w:cs="Arial"/>
                <w:sz w:val="20"/>
                <w:szCs w:val="20"/>
              </w:rPr>
              <w:t>Bendrovė atskleidžia esmines taikomos atlygio programos sąlygas ir, prireikus, visus veiksmus</w:t>
            </w:r>
            <w:r w:rsidR="007F5E75">
              <w:rPr>
                <w:rFonts w:ascii="Arial" w:hAnsi="Arial" w:cs="Arial"/>
                <w:sz w:val="20"/>
                <w:szCs w:val="20"/>
              </w:rPr>
              <w:t>, kurių Bendrovė</w:t>
            </w:r>
            <w:r>
              <w:rPr>
                <w:rFonts w:ascii="Arial" w:hAnsi="Arial" w:cs="Arial"/>
                <w:sz w:val="20"/>
                <w:szCs w:val="20"/>
              </w:rPr>
              <w:t xml:space="preserve"> </w:t>
            </w:r>
            <w:r w:rsidR="000D7003">
              <w:rPr>
                <w:rFonts w:ascii="Arial" w:hAnsi="Arial" w:cs="Arial"/>
                <w:sz w:val="20"/>
                <w:szCs w:val="20"/>
              </w:rPr>
              <w:t xml:space="preserve">ėmėsi svarbių </w:t>
            </w:r>
            <w:r>
              <w:rPr>
                <w:rFonts w:ascii="Arial" w:hAnsi="Arial" w:cs="Arial"/>
                <w:sz w:val="20"/>
                <w:szCs w:val="20"/>
              </w:rPr>
              <w:t>įvyki</w:t>
            </w:r>
            <w:r w:rsidR="007F5E75">
              <w:rPr>
                <w:rFonts w:ascii="Arial" w:hAnsi="Arial" w:cs="Arial"/>
                <w:sz w:val="20"/>
                <w:szCs w:val="20"/>
              </w:rPr>
              <w:t>ų atveju</w:t>
            </w:r>
            <w:r w:rsidRPr="00E21D1F">
              <w:rPr>
                <w:rFonts w:ascii="Arial" w:hAnsi="Arial" w:cs="Arial"/>
                <w:sz w:val="20"/>
                <w:szCs w:val="20"/>
              </w:rPr>
              <w:t>.</w:t>
            </w:r>
          </w:p>
          <w:p w14:paraId="2A994FE6" w14:textId="77777777" w:rsidR="009A0C7F" w:rsidRPr="00E21D1F" w:rsidRDefault="009A0C7F" w:rsidP="00EA3F6C">
            <w:pPr>
              <w:pStyle w:val="ListParagraph"/>
              <w:jc w:val="both"/>
              <w:rPr>
                <w:rFonts w:ascii="Arial" w:hAnsi="Arial" w:cs="Arial"/>
                <w:sz w:val="20"/>
                <w:szCs w:val="20"/>
              </w:rPr>
            </w:pPr>
          </w:p>
          <w:p w14:paraId="569AF87B" w14:textId="63AD3749" w:rsidR="009A0C7F" w:rsidRPr="00E21D1F" w:rsidRDefault="00DC4821" w:rsidP="00EA3F6C">
            <w:pPr>
              <w:tabs>
                <w:tab w:val="left" w:pos="8647"/>
              </w:tabs>
              <w:jc w:val="both"/>
              <w:rPr>
                <w:rFonts w:ascii="Arial" w:hAnsi="Arial" w:cs="Arial"/>
                <w:sz w:val="20"/>
                <w:szCs w:val="20"/>
              </w:rPr>
            </w:pPr>
            <w:r>
              <w:rPr>
                <w:rFonts w:ascii="Arial" w:hAnsi="Arial" w:cs="Arial"/>
                <w:sz w:val="20"/>
                <w:szCs w:val="20"/>
              </w:rPr>
              <w:t>ASK</w:t>
            </w:r>
            <w:r w:rsidR="009A0C7F">
              <w:rPr>
                <w:rFonts w:ascii="Arial" w:hAnsi="Arial" w:cs="Arial"/>
                <w:sz w:val="20"/>
                <w:szCs w:val="20"/>
              </w:rPr>
              <w:t xml:space="preserve"> </w:t>
            </w:r>
            <w:r w:rsidR="00C527FD">
              <w:rPr>
                <w:rFonts w:ascii="Arial" w:hAnsi="Arial" w:cs="Arial"/>
                <w:sz w:val="20"/>
                <w:szCs w:val="20"/>
              </w:rPr>
              <w:t xml:space="preserve">mažiausiai kasmet </w:t>
            </w:r>
            <w:r w:rsidR="009A0C7F">
              <w:rPr>
                <w:rFonts w:ascii="Arial" w:hAnsi="Arial" w:cs="Arial"/>
                <w:sz w:val="20"/>
                <w:szCs w:val="20"/>
              </w:rPr>
              <w:t xml:space="preserve">peržiūri Bendrovės atlygio politiką ir jos įgyvendinimą, </w:t>
            </w:r>
            <w:r w:rsidR="00C527FD">
              <w:rPr>
                <w:rFonts w:ascii="Arial" w:hAnsi="Arial" w:cs="Arial"/>
                <w:sz w:val="20"/>
                <w:szCs w:val="20"/>
              </w:rPr>
              <w:t xml:space="preserve">kad </w:t>
            </w:r>
            <w:r w:rsidR="005E6EFC">
              <w:rPr>
                <w:rFonts w:ascii="Arial" w:hAnsi="Arial" w:cs="Arial"/>
                <w:sz w:val="20"/>
                <w:szCs w:val="20"/>
              </w:rPr>
              <w:t>tai</w:t>
            </w:r>
            <w:r w:rsidR="009A0C7F">
              <w:rPr>
                <w:rFonts w:ascii="Arial" w:hAnsi="Arial" w:cs="Arial"/>
                <w:sz w:val="20"/>
                <w:szCs w:val="20"/>
              </w:rPr>
              <w:t xml:space="preserve"> nenu</w:t>
            </w:r>
            <w:r w:rsidR="00C527FD">
              <w:rPr>
                <w:rFonts w:ascii="Arial" w:hAnsi="Arial" w:cs="Arial"/>
                <w:sz w:val="20"/>
                <w:szCs w:val="20"/>
              </w:rPr>
              <w:softHyphen/>
            </w:r>
            <w:r w:rsidR="009A0C7F">
              <w:rPr>
                <w:rFonts w:ascii="Arial" w:hAnsi="Arial" w:cs="Arial"/>
                <w:sz w:val="20"/>
                <w:szCs w:val="20"/>
              </w:rPr>
              <w:t xml:space="preserve">kryptų nuo Bendrovės verslo strategijos ir ilgalaikių interesų bei atitiktų </w:t>
            </w:r>
            <w:r w:rsidR="00D46A2C">
              <w:rPr>
                <w:rFonts w:ascii="Arial" w:hAnsi="Arial" w:cs="Arial"/>
                <w:sz w:val="20"/>
                <w:szCs w:val="20"/>
              </w:rPr>
              <w:t xml:space="preserve">keliamus </w:t>
            </w:r>
            <w:r w:rsidR="009A0C7F">
              <w:rPr>
                <w:rFonts w:ascii="Arial" w:hAnsi="Arial" w:cs="Arial"/>
                <w:sz w:val="20"/>
                <w:szCs w:val="20"/>
              </w:rPr>
              <w:t>reikalavimus</w:t>
            </w:r>
            <w:r w:rsidR="009A0C7F" w:rsidRPr="00E21D1F">
              <w:rPr>
                <w:rFonts w:ascii="Arial" w:hAnsi="Arial" w:cs="Arial"/>
                <w:sz w:val="20"/>
                <w:szCs w:val="20"/>
              </w:rPr>
              <w:t xml:space="preserve">. </w:t>
            </w:r>
          </w:p>
          <w:p w14:paraId="123B5CEE" w14:textId="7E5FE986" w:rsidR="009A0C7F" w:rsidRDefault="009A0C7F" w:rsidP="00EA3F6C">
            <w:pPr>
              <w:tabs>
                <w:tab w:val="left" w:pos="8647"/>
              </w:tabs>
              <w:jc w:val="both"/>
              <w:rPr>
                <w:rFonts w:ascii="Arial" w:hAnsi="Arial" w:cs="Arial"/>
                <w:sz w:val="20"/>
                <w:szCs w:val="20"/>
              </w:rPr>
            </w:pPr>
          </w:p>
          <w:p w14:paraId="408EBD8E" w14:textId="77777777" w:rsidR="005E6EFC" w:rsidRPr="00E21D1F" w:rsidRDefault="005E6EFC" w:rsidP="00EA3F6C">
            <w:pPr>
              <w:tabs>
                <w:tab w:val="left" w:pos="8647"/>
              </w:tabs>
              <w:jc w:val="both"/>
              <w:rPr>
                <w:rFonts w:ascii="Arial" w:hAnsi="Arial" w:cs="Arial"/>
                <w:sz w:val="20"/>
                <w:szCs w:val="20"/>
              </w:rPr>
            </w:pPr>
          </w:p>
          <w:p w14:paraId="3ADB6B8F" w14:textId="0CFB17D4" w:rsidR="009A0C7F" w:rsidRDefault="009A0C7F" w:rsidP="00EA3F6C">
            <w:pPr>
              <w:tabs>
                <w:tab w:val="left" w:pos="8647"/>
              </w:tabs>
              <w:jc w:val="both"/>
              <w:rPr>
                <w:rFonts w:ascii="Arial" w:hAnsi="Arial" w:cs="Arial"/>
                <w:sz w:val="20"/>
                <w:szCs w:val="20"/>
              </w:rPr>
            </w:pPr>
            <w:r>
              <w:rPr>
                <w:rFonts w:ascii="Arial" w:hAnsi="Arial" w:cs="Arial"/>
                <w:sz w:val="20"/>
                <w:szCs w:val="20"/>
              </w:rPr>
              <w:t>Vidaus audit</w:t>
            </w:r>
            <w:r w:rsidR="00C5411F">
              <w:rPr>
                <w:rFonts w:ascii="Arial" w:hAnsi="Arial" w:cs="Arial"/>
                <w:sz w:val="20"/>
                <w:szCs w:val="20"/>
              </w:rPr>
              <w:t xml:space="preserve">as privalo </w:t>
            </w:r>
            <w:r>
              <w:rPr>
                <w:rFonts w:ascii="Arial" w:hAnsi="Arial" w:cs="Arial"/>
                <w:sz w:val="20"/>
                <w:szCs w:val="20"/>
              </w:rPr>
              <w:t xml:space="preserve">vadovų prašymu, bet ne </w:t>
            </w:r>
            <w:r w:rsidR="00D46A2C">
              <w:rPr>
                <w:rFonts w:ascii="Arial" w:hAnsi="Arial" w:cs="Arial"/>
                <w:sz w:val="20"/>
                <w:szCs w:val="20"/>
              </w:rPr>
              <w:t xml:space="preserve">rečiau </w:t>
            </w:r>
            <w:r>
              <w:rPr>
                <w:rFonts w:ascii="Arial" w:hAnsi="Arial" w:cs="Arial"/>
                <w:sz w:val="20"/>
                <w:szCs w:val="20"/>
              </w:rPr>
              <w:t>kaip kart</w:t>
            </w:r>
            <w:r w:rsidR="00C5411F">
              <w:rPr>
                <w:rFonts w:ascii="Arial" w:hAnsi="Arial" w:cs="Arial"/>
                <w:sz w:val="20"/>
                <w:szCs w:val="20"/>
              </w:rPr>
              <w:t>ą</w:t>
            </w:r>
            <w:r>
              <w:rPr>
                <w:rFonts w:ascii="Arial" w:hAnsi="Arial" w:cs="Arial"/>
                <w:sz w:val="20"/>
                <w:szCs w:val="20"/>
              </w:rPr>
              <w:t xml:space="preserve"> per 2 (dvejus) metus, peržiūrėti, kaip įgyvendinama atitinkama politika</w:t>
            </w:r>
            <w:r w:rsidRPr="00E21D1F">
              <w:rPr>
                <w:rFonts w:ascii="Arial" w:hAnsi="Arial" w:cs="Arial"/>
                <w:sz w:val="20"/>
                <w:szCs w:val="20"/>
              </w:rPr>
              <w:t xml:space="preserve">; </w:t>
            </w:r>
            <w:r>
              <w:rPr>
                <w:rFonts w:ascii="Arial" w:hAnsi="Arial" w:cs="Arial"/>
                <w:sz w:val="20"/>
                <w:szCs w:val="20"/>
              </w:rPr>
              <w:t>audito išvados pateikiamos atitinkamam Bendrovės valdymo organui</w:t>
            </w:r>
            <w:r w:rsidRPr="00E21D1F">
              <w:rPr>
                <w:rFonts w:ascii="Arial" w:hAnsi="Arial" w:cs="Arial"/>
                <w:sz w:val="20"/>
                <w:szCs w:val="20"/>
              </w:rPr>
              <w:t xml:space="preserve">. </w:t>
            </w:r>
          </w:p>
          <w:p w14:paraId="4B5C78D5" w14:textId="72BC3F75" w:rsidR="009A0C7F" w:rsidRPr="00E21D1F" w:rsidRDefault="009A0C7F" w:rsidP="00EA3F6C">
            <w:pPr>
              <w:tabs>
                <w:tab w:val="left" w:pos="8647"/>
              </w:tabs>
              <w:jc w:val="both"/>
              <w:rPr>
                <w:rFonts w:ascii="Arial" w:hAnsi="Arial" w:cs="Arial"/>
                <w:b/>
                <w:bCs/>
                <w:color w:val="2F5496" w:themeColor="accent1" w:themeShade="BF"/>
                <w:sz w:val="24"/>
                <w:szCs w:val="24"/>
              </w:rPr>
            </w:pPr>
          </w:p>
        </w:tc>
      </w:tr>
      <w:tr w:rsidR="009A0C7F" w14:paraId="149521D7" w14:textId="77777777" w:rsidTr="009A0C7F">
        <w:tc>
          <w:tcPr>
            <w:tcW w:w="4673" w:type="dxa"/>
          </w:tcPr>
          <w:p w14:paraId="1B625D1E" w14:textId="3D38FC5E" w:rsidR="009A0C7F" w:rsidRPr="00E85BF8" w:rsidRDefault="009A0C7F" w:rsidP="00EA3F6C">
            <w:pPr>
              <w:tabs>
                <w:tab w:val="left" w:pos="8647"/>
              </w:tabs>
              <w:jc w:val="both"/>
              <w:rPr>
                <w:rFonts w:ascii="Arial" w:hAnsi="Arial" w:cs="Arial"/>
                <w:b/>
                <w:bCs/>
                <w:color w:val="2F5496" w:themeColor="accent1" w:themeShade="BF"/>
                <w:sz w:val="20"/>
                <w:szCs w:val="20"/>
                <w:lang w:val="en-US"/>
              </w:rPr>
            </w:pPr>
            <w:bookmarkStart w:id="4" w:name="_Hlk20492795"/>
            <w:r w:rsidRPr="00E85BF8">
              <w:rPr>
                <w:rFonts w:ascii="Arial" w:hAnsi="Arial" w:cs="Arial"/>
                <w:b/>
                <w:bCs/>
                <w:color w:val="2F5496" w:themeColor="accent1" w:themeShade="BF"/>
                <w:sz w:val="20"/>
                <w:szCs w:val="20"/>
                <w:lang w:val="en-US"/>
              </w:rPr>
              <w:lastRenderedPageBreak/>
              <w:t xml:space="preserve">Measures taken to avoid conflicts of interest </w:t>
            </w:r>
          </w:p>
          <w:p w14:paraId="4E367565"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279AF947" w14:textId="1A4275F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Company’s remuneration governance practices contain </w:t>
            </w:r>
            <w:proofErr w:type="gramStart"/>
            <w:r w:rsidRPr="00E85BF8">
              <w:rPr>
                <w:rFonts w:ascii="Arial" w:hAnsi="Arial" w:cs="Arial"/>
                <w:sz w:val="20"/>
                <w:szCs w:val="20"/>
                <w:lang w:val="en-US"/>
              </w:rPr>
              <w:t>a number of</w:t>
            </w:r>
            <w:proofErr w:type="gramEnd"/>
            <w:r w:rsidRPr="00E85BF8">
              <w:rPr>
                <w:rFonts w:ascii="Arial" w:hAnsi="Arial" w:cs="Arial"/>
                <w:sz w:val="20"/>
                <w:szCs w:val="20"/>
                <w:lang w:val="en-US"/>
              </w:rPr>
              <w:t xml:space="preserve"> measures to avoid conflicts of interest, including the following: </w:t>
            </w:r>
          </w:p>
          <w:p w14:paraId="02B44925" w14:textId="77777777" w:rsidR="009A0C7F" w:rsidRPr="00E85BF8" w:rsidRDefault="009A0C7F" w:rsidP="00EA3F6C">
            <w:pPr>
              <w:tabs>
                <w:tab w:val="left" w:pos="8647"/>
              </w:tabs>
              <w:jc w:val="both"/>
              <w:rPr>
                <w:rFonts w:ascii="Arial" w:hAnsi="Arial" w:cs="Arial"/>
                <w:sz w:val="20"/>
                <w:szCs w:val="20"/>
                <w:lang w:val="en-US"/>
              </w:rPr>
            </w:pPr>
          </w:p>
          <w:p w14:paraId="7F59E72A" w14:textId="77777777" w:rsidR="009A0C7F" w:rsidRPr="00E85BF8" w:rsidRDefault="009A0C7F" w:rsidP="00EA3F6C">
            <w:pPr>
              <w:pStyle w:val="ListParagraph"/>
              <w:numPr>
                <w:ilvl w:val="0"/>
                <w:numId w:val="6"/>
              </w:numPr>
              <w:tabs>
                <w:tab w:val="left" w:pos="8647"/>
              </w:tabs>
              <w:jc w:val="both"/>
              <w:rPr>
                <w:rFonts w:ascii="Arial" w:hAnsi="Arial" w:cs="Arial"/>
                <w:sz w:val="20"/>
                <w:szCs w:val="20"/>
                <w:lang w:val="en-US"/>
              </w:rPr>
            </w:pPr>
            <w:r w:rsidRPr="00E85BF8">
              <w:rPr>
                <w:rFonts w:ascii="Arial" w:hAnsi="Arial" w:cs="Arial"/>
                <w:sz w:val="20"/>
                <w:szCs w:val="20"/>
                <w:lang w:val="en-US"/>
              </w:rPr>
              <w:t xml:space="preserve">Two of four members of RNC are independent and provides both independent oversight and control of the Company’s Remuneration Policy and pay practices. </w:t>
            </w:r>
          </w:p>
          <w:p w14:paraId="37063650" w14:textId="77777777" w:rsidR="009A0C7F" w:rsidRPr="00E85BF8" w:rsidRDefault="009A0C7F" w:rsidP="00EA3F6C">
            <w:pPr>
              <w:pStyle w:val="ListParagraph"/>
              <w:numPr>
                <w:ilvl w:val="0"/>
                <w:numId w:val="6"/>
              </w:numPr>
              <w:tabs>
                <w:tab w:val="left" w:pos="8647"/>
              </w:tabs>
              <w:jc w:val="both"/>
              <w:rPr>
                <w:rFonts w:ascii="Arial" w:hAnsi="Arial" w:cs="Arial"/>
                <w:sz w:val="20"/>
                <w:szCs w:val="20"/>
                <w:lang w:val="en-US"/>
              </w:rPr>
            </w:pPr>
            <w:r w:rsidRPr="00E85BF8">
              <w:rPr>
                <w:rFonts w:ascii="Arial" w:hAnsi="Arial" w:cs="Arial"/>
                <w:sz w:val="20"/>
                <w:szCs w:val="20"/>
                <w:lang w:val="en-US"/>
              </w:rPr>
              <w:t>The Company conducts robust performance management reviews for all employees. For employees holding certain regulatory designations, part of this process includes soliciting additional feedback directly from RNC/Supervisory Council who independently assess the employee’s risk and control behavior.</w:t>
            </w:r>
          </w:p>
          <w:p w14:paraId="045E5EE0" w14:textId="77777777" w:rsidR="009A0C7F" w:rsidRPr="00E85BF8" w:rsidRDefault="009A0C7F" w:rsidP="00EA3F6C">
            <w:pPr>
              <w:pStyle w:val="ListParagraph"/>
              <w:numPr>
                <w:ilvl w:val="0"/>
                <w:numId w:val="6"/>
              </w:numPr>
              <w:tabs>
                <w:tab w:val="left" w:pos="8647"/>
              </w:tabs>
              <w:jc w:val="both"/>
              <w:rPr>
                <w:rFonts w:ascii="Arial" w:hAnsi="Arial" w:cs="Arial"/>
                <w:sz w:val="20"/>
                <w:szCs w:val="20"/>
                <w:lang w:val="en-US"/>
              </w:rPr>
            </w:pPr>
            <w:r w:rsidRPr="00E85BF8">
              <w:rPr>
                <w:rFonts w:ascii="Arial" w:hAnsi="Arial" w:cs="Arial"/>
                <w:sz w:val="20"/>
                <w:szCs w:val="20"/>
                <w:lang w:val="en-US"/>
              </w:rPr>
              <w:t xml:space="preserve">There is active engagement, transparency and assessments of risk and control issues by control function heads, senior management across the Company.  </w:t>
            </w:r>
          </w:p>
          <w:p w14:paraId="336A799D" w14:textId="77777777" w:rsidR="009A0C7F" w:rsidRPr="00E85BF8" w:rsidRDefault="009A0C7F" w:rsidP="00EA3F6C">
            <w:pPr>
              <w:pStyle w:val="ListParagraph"/>
              <w:numPr>
                <w:ilvl w:val="0"/>
                <w:numId w:val="6"/>
              </w:numPr>
              <w:tabs>
                <w:tab w:val="left" w:pos="8647"/>
              </w:tabs>
              <w:jc w:val="both"/>
              <w:rPr>
                <w:rFonts w:ascii="Arial" w:hAnsi="Arial" w:cs="Arial"/>
                <w:sz w:val="20"/>
                <w:szCs w:val="20"/>
                <w:lang w:val="en-US"/>
              </w:rPr>
            </w:pPr>
            <w:r w:rsidRPr="00E85BF8">
              <w:rPr>
                <w:rFonts w:ascii="Arial" w:hAnsi="Arial" w:cs="Arial"/>
                <w:sz w:val="20"/>
                <w:szCs w:val="20"/>
                <w:lang w:val="en-US"/>
              </w:rPr>
              <w:t xml:space="preserve">Individual remuneration decisions are subject to oversight and governance, including HR (Human </w:t>
            </w:r>
            <w:proofErr w:type="spellStart"/>
            <w:r w:rsidRPr="00E85BF8">
              <w:rPr>
                <w:rFonts w:ascii="Arial" w:hAnsi="Arial" w:cs="Arial"/>
                <w:sz w:val="20"/>
                <w:szCs w:val="20"/>
                <w:lang w:val="en-US"/>
              </w:rPr>
              <w:t>Resourse</w:t>
            </w:r>
            <w:proofErr w:type="spellEnd"/>
            <w:r w:rsidRPr="00E85BF8">
              <w:rPr>
                <w:rFonts w:ascii="Arial" w:hAnsi="Arial" w:cs="Arial"/>
                <w:sz w:val="20"/>
                <w:szCs w:val="20"/>
                <w:lang w:val="en-US"/>
              </w:rPr>
              <w:t xml:space="preserve">) review. Highly paid individuals (top management) are subject to review by the management bodies of the Company - RNC and Supervisory Council. </w:t>
            </w:r>
          </w:p>
          <w:p w14:paraId="16C84565" w14:textId="77777777" w:rsidR="009A0C7F" w:rsidRPr="00E85BF8" w:rsidRDefault="009A0C7F" w:rsidP="00EA3F6C">
            <w:pPr>
              <w:pStyle w:val="ListParagraph"/>
              <w:numPr>
                <w:ilvl w:val="0"/>
                <w:numId w:val="6"/>
              </w:numPr>
              <w:tabs>
                <w:tab w:val="left" w:pos="8647"/>
              </w:tabs>
              <w:jc w:val="both"/>
              <w:rPr>
                <w:rFonts w:ascii="Arial" w:hAnsi="Arial" w:cs="Arial"/>
                <w:color w:val="000000" w:themeColor="text1"/>
                <w:sz w:val="20"/>
                <w:szCs w:val="20"/>
                <w:lang w:val="en-US"/>
              </w:rPr>
            </w:pPr>
            <w:r w:rsidRPr="00E85BF8">
              <w:rPr>
                <w:rFonts w:ascii="Arial" w:hAnsi="Arial" w:cs="Arial"/>
                <w:color w:val="000000" w:themeColor="text1"/>
                <w:sz w:val="20"/>
                <w:szCs w:val="20"/>
                <w:lang w:val="en-US"/>
              </w:rPr>
              <w:lastRenderedPageBreak/>
              <w:t>To avoid potential conflicts of interest, the remuneration policy provides that members of the collegial bodies which perform the supervisory functions do not receive remuneration based on the company’s performance.</w:t>
            </w:r>
          </w:p>
          <w:p w14:paraId="452A2815"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tc>
        <w:tc>
          <w:tcPr>
            <w:tcW w:w="4673" w:type="dxa"/>
          </w:tcPr>
          <w:p w14:paraId="4CE1C47C" w14:textId="7833682A" w:rsidR="009A0C7F" w:rsidRPr="00F43F65"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lastRenderedPageBreak/>
              <w:t xml:space="preserve">Priemonės interesų konfliktams išvengti </w:t>
            </w:r>
          </w:p>
          <w:p w14:paraId="0C3BA463" w14:textId="77777777" w:rsidR="009A0C7F" w:rsidRPr="00F43F65" w:rsidRDefault="009A0C7F" w:rsidP="00EA3F6C">
            <w:pPr>
              <w:tabs>
                <w:tab w:val="left" w:pos="8647"/>
              </w:tabs>
              <w:jc w:val="both"/>
              <w:rPr>
                <w:rFonts w:ascii="Arial" w:hAnsi="Arial" w:cs="Arial"/>
                <w:b/>
                <w:bCs/>
                <w:color w:val="2F5496" w:themeColor="accent1" w:themeShade="BF"/>
                <w:sz w:val="20"/>
                <w:szCs w:val="20"/>
              </w:rPr>
            </w:pPr>
          </w:p>
          <w:p w14:paraId="671E2D8C" w14:textId="3202442E" w:rsidR="009A0C7F" w:rsidRPr="00F43F65" w:rsidRDefault="009A0C7F" w:rsidP="00EA3F6C">
            <w:pPr>
              <w:tabs>
                <w:tab w:val="left" w:pos="8647"/>
              </w:tabs>
              <w:jc w:val="both"/>
              <w:rPr>
                <w:rFonts w:ascii="Arial" w:hAnsi="Arial" w:cs="Arial"/>
                <w:sz w:val="20"/>
                <w:szCs w:val="20"/>
              </w:rPr>
            </w:pPr>
            <w:r>
              <w:rPr>
                <w:rFonts w:ascii="Arial" w:hAnsi="Arial" w:cs="Arial"/>
                <w:sz w:val="20"/>
                <w:szCs w:val="20"/>
              </w:rPr>
              <w:t>Bendrovės atlygio valdy</w:t>
            </w:r>
            <w:r w:rsidR="008537CE">
              <w:rPr>
                <w:rFonts w:ascii="Arial" w:hAnsi="Arial" w:cs="Arial"/>
                <w:sz w:val="20"/>
                <w:szCs w:val="20"/>
              </w:rPr>
              <w:t xml:space="preserve">mo </w:t>
            </w:r>
            <w:r>
              <w:rPr>
                <w:rFonts w:ascii="Arial" w:hAnsi="Arial" w:cs="Arial"/>
                <w:sz w:val="20"/>
                <w:szCs w:val="20"/>
              </w:rPr>
              <w:t>praktikoje numatomos įvairios priemonės, kaip išvengti interesų konfliktų</w:t>
            </w:r>
            <w:r w:rsidRPr="00F43F65">
              <w:rPr>
                <w:rFonts w:ascii="Arial" w:hAnsi="Arial" w:cs="Arial"/>
                <w:sz w:val="20"/>
                <w:szCs w:val="20"/>
              </w:rPr>
              <w:t xml:space="preserve">, </w:t>
            </w:r>
            <w:r>
              <w:rPr>
                <w:rFonts w:ascii="Arial" w:hAnsi="Arial" w:cs="Arial"/>
                <w:sz w:val="20"/>
                <w:szCs w:val="20"/>
              </w:rPr>
              <w:t>įskaitant nurodytas toliau</w:t>
            </w:r>
            <w:r w:rsidR="005E6EFC">
              <w:rPr>
                <w:rFonts w:ascii="Arial" w:hAnsi="Arial" w:cs="Arial"/>
                <w:sz w:val="20"/>
                <w:szCs w:val="20"/>
              </w:rPr>
              <w:t>:</w:t>
            </w:r>
          </w:p>
          <w:p w14:paraId="0BC64DEC" w14:textId="77777777" w:rsidR="009A0C7F" w:rsidRPr="00F43F65" w:rsidRDefault="009A0C7F" w:rsidP="00EA3F6C">
            <w:pPr>
              <w:tabs>
                <w:tab w:val="left" w:pos="8647"/>
              </w:tabs>
              <w:jc w:val="both"/>
              <w:rPr>
                <w:rFonts w:ascii="Arial" w:hAnsi="Arial" w:cs="Arial"/>
                <w:sz w:val="20"/>
                <w:szCs w:val="20"/>
              </w:rPr>
            </w:pPr>
          </w:p>
          <w:p w14:paraId="51A80617" w14:textId="69E65090" w:rsidR="009A0C7F" w:rsidRDefault="009A0C7F" w:rsidP="00EA3F6C">
            <w:pPr>
              <w:pStyle w:val="ListParagraph"/>
              <w:numPr>
                <w:ilvl w:val="0"/>
                <w:numId w:val="6"/>
              </w:numPr>
              <w:tabs>
                <w:tab w:val="left" w:pos="8647"/>
              </w:tabs>
              <w:jc w:val="both"/>
              <w:rPr>
                <w:rFonts w:ascii="Arial" w:hAnsi="Arial" w:cs="Arial"/>
                <w:sz w:val="20"/>
                <w:szCs w:val="20"/>
              </w:rPr>
            </w:pPr>
            <w:r>
              <w:rPr>
                <w:rFonts w:ascii="Arial" w:hAnsi="Arial" w:cs="Arial"/>
                <w:sz w:val="20"/>
                <w:szCs w:val="20"/>
              </w:rPr>
              <w:t xml:space="preserve">Du iš keturių </w:t>
            </w:r>
            <w:r w:rsidR="00DC4821">
              <w:rPr>
                <w:rFonts w:ascii="Arial" w:hAnsi="Arial" w:cs="Arial"/>
                <w:sz w:val="20"/>
                <w:szCs w:val="20"/>
              </w:rPr>
              <w:t>ASK</w:t>
            </w:r>
            <w:r>
              <w:rPr>
                <w:rFonts w:ascii="Arial" w:hAnsi="Arial" w:cs="Arial"/>
                <w:sz w:val="20"/>
                <w:szCs w:val="20"/>
              </w:rPr>
              <w:t xml:space="preserve"> narių yra nepriklausomi ir vykdo tiek </w:t>
            </w:r>
            <w:r w:rsidR="001856A2">
              <w:rPr>
                <w:rFonts w:ascii="Arial" w:hAnsi="Arial" w:cs="Arial"/>
                <w:sz w:val="20"/>
                <w:szCs w:val="20"/>
              </w:rPr>
              <w:t xml:space="preserve">nepriklausomą </w:t>
            </w:r>
            <w:r>
              <w:rPr>
                <w:rFonts w:ascii="Arial" w:hAnsi="Arial" w:cs="Arial"/>
                <w:sz w:val="20"/>
                <w:szCs w:val="20"/>
              </w:rPr>
              <w:t>Bendrovės atlygio politikos ir mo</w:t>
            </w:r>
            <w:r>
              <w:rPr>
                <w:rFonts w:ascii="Arial" w:hAnsi="Arial" w:cs="Arial"/>
                <w:sz w:val="20"/>
                <w:szCs w:val="20"/>
              </w:rPr>
              <w:softHyphen/>
              <w:t>kėjimo praktikų priežiūrą, tiek kontrolę</w:t>
            </w:r>
            <w:r w:rsidRPr="00F43F65">
              <w:rPr>
                <w:rFonts w:ascii="Arial" w:hAnsi="Arial" w:cs="Arial"/>
                <w:sz w:val="20"/>
                <w:szCs w:val="20"/>
              </w:rPr>
              <w:t xml:space="preserve">. </w:t>
            </w:r>
          </w:p>
          <w:p w14:paraId="43AD9694" w14:textId="77777777" w:rsidR="00B74579" w:rsidRPr="00F43F65" w:rsidRDefault="00B74579" w:rsidP="00B74579">
            <w:pPr>
              <w:pStyle w:val="ListParagraph"/>
              <w:tabs>
                <w:tab w:val="left" w:pos="8647"/>
              </w:tabs>
              <w:jc w:val="both"/>
              <w:rPr>
                <w:rFonts w:ascii="Arial" w:hAnsi="Arial" w:cs="Arial"/>
                <w:sz w:val="20"/>
                <w:szCs w:val="20"/>
              </w:rPr>
            </w:pPr>
          </w:p>
          <w:p w14:paraId="35FE7267" w14:textId="2080BD47" w:rsidR="009A0C7F" w:rsidRPr="00F43F65" w:rsidRDefault="009A0C7F" w:rsidP="00EA3F6C">
            <w:pPr>
              <w:pStyle w:val="ListParagraph"/>
              <w:numPr>
                <w:ilvl w:val="0"/>
                <w:numId w:val="6"/>
              </w:numPr>
              <w:tabs>
                <w:tab w:val="left" w:pos="8647"/>
              </w:tabs>
              <w:jc w:val="both"/>
              <w:rPr>
                <w:rFonts w:ascii="Arial" w:hAnsi="Arial" w:cs="Arial"/>
                <w:sz w:val="20"/>
                <w:szCs w:val="20"/>
              </w:rPr>
            </w:pPr>
            <w:r>
              <w:rPr>
                <w:rFonts w:ascii="Arial" w:hAnsi="Arial" w:cs="Arial"/>
                <w:sz w:val="20"/>
                <w:szCs w:val="20"/>
              </w:rPr>
              <w:t>Bendrovė patikim</w:t>
            </w:r>
            <w:r w:rsidR="00F9304A">
              <w:rPr>
                <w:rFonts w:ascii="Arial" w:hAnsi="Arial" w:cs="Arial"/>
                <w:sz w:val="20"/>
                <w:szCs w:val="20"/>
              </w:rPr>
              <w:t>ai įvertina</w:t>
            </w:r>
            <w:r>
              <w:rPr>
                <w:rFonts w:ascii="Arial" w:hAnsi="Arial" w:cs="Arial"/>
                <w:sz w:val="20"/>
                <w:szCs w:val="20"/>
              </w:rPr>
              <w:t xml:space="preserve"> visų darbuo</w:t>
            </w:r>
            <w:r w:rsidR="00F9304A">
              <w:rPr>
                <w:rFonts w:ascii="Arial" w:hAnsi="Arial" w:cs="Arial"/>
                <w:sz w:val="20"/>
                <w:szCs w:val="20"/>
              </w:rPr>
              <w:softHyphen/>
            </w:r>
            <w:r>
              <w:rPr>
                <w:rFonts w:ascii="Arial" w:hAnsi="Arial" w:cs="Arial"/>
                <w:sz w:val="20"/>
                <w:szCs w:val="20"/>
              </w:rPr>
              <w:t xml:space="preserve">tojų </w:t>
            </w:r>
            <w:r w:rsidR="00F9304A">
              <w:rPr>
                <w:rFonts w:ascii="Arial" w:hAnsi="Arial" w:cs="Arial"/>
                <w:sz w:val="20"/>
                <w:szCs w:val="20"/>
              </w:rPr>
              <w:t xml:space="preserve">veiklos </w:t>
            </w:r>
            <w:r>
              <w:rPr>
                <w:rFonts w:ascii="Arial" w:hAnsi="Arial" w:cs="Arial"/>
                <w:sz w:val="20"/>
                <w:szCs w:val="20"/>
              </w:rPr>
              <w:t>valdym</w:t>
            </w:r>
            <w:r w:rsidR="00F9304A">
              <w:rPr>
                <w:rFonts w:ascii="Arial" w:hAnsi="Arial" w:cs="Arial"/>
                <w:sz w:val="20"/>
                <w:szCs w:val="20"/>
              </w:rPr>
              <w:t>ą</w:t>
            </w:r>
            <w:r w:rsidRPr="00F43F65">
              <w:rPr>
                <w:rFonts w:ascii="Arial" w:hAnsi="Arial" w:cs="Arial"/>
                <w:sz w:val="20"/>
                <w:szCs w:val="20"/>
              </w:rPr>
              <w:t xml:space="preserve">. </w:t>
            </w:r>
            <w:r>
              <w:rPr>
                <w:rFonts w:ascii="Arial" w:hAnsi="Arial" w:cs="Arial"/>
                <w:sz w:val="20"/>
                <w:szCs w:val="20"/>
              </w:rPr>
              <w:t>Kai darbuotojų pareigos apima tam tikrus su reguliavimu susijusius aspektus</w:t>
            </w:r>
            <w:r w:rsidRPr="00F43F65">
              <w:rPr>
                <w:rFonts w:ascii="Arial" w:hAnsi="Arial" w:cs="Arial"/>
                <w:sz w:val="20"/>
                <w:szCs w:val="20"/>
              </w:rPr>
              <w:t xml:space="preserve">, </w:t>
            </w:r>
            <w:r w:rsidR="00F9304A">
              <w:rPr>
                <w:rFonts w:ascii="Arial" w:hAnsi="Arial" w:cs="Arial"/>
                <w:sz w:val="20"/>
                <w:szCs w:val="20"/>
              </w:rPr>
              <w:t xml:space="preserve">vykdant šį procesą taip pat </w:t>
            </w:r>
            <w:r>
              <w:rPr>
                <w:rFonts w:ascii="Arial" w:hAnsi="Arial" w:cs="Arial"/>
                <w:sz w:val="20"/>
                <w:szCs w:val="20"/>
              </w:rPr>
              <w:t>praš</w:t>
            </w:r>
            <w:r w:rsidR="00F9304A">
              <w:rPr>
                <w:rFonts w:ascii="Arial" w:hAnsi="Arial" w:cs="Arial"/>
                <w:sz w:val="20"/>
                <w:szCs w:val="20"/>
              </w:rPr>
              <w:t xml:space="preserve">oma </w:t>
            </w:r>
            <w:r>
              <w:rPr>
                <w:rFonts w:ascii="Arial" w:hAnsi="Arial" w:cs="Arial"/>
                <w:sz w:val="20"/>
                <w:szCs w:val="20"/>
              </w:rPr>
              <w:t>papildomų atsiliepimų tiesi</w:t>
            </w:r>
            <w:r w:rsidR="00B74579">
              <w:rPr>
                <w:rFonts w:ascii="Arial" w:hAnsi="Arial" w:cs="Arial"/>
                <w:sz w:val="20"/>
                <w:szCs w:val="20"/>
              </w:rPr>
              <w:t>ogiai</w:t>
            </w:r>
            <w:r>
              <w:rPr>
                <w:rFonts w:ascii="Arial" w:hAnsi="Arial" w:cs="Arial"/>
                <w:sz w:val="20"/>
                <w:szCs w:val="20"/>
              </w:rPr>
              <w:t xml:space="preserve"> iš </w:t>
            </w:r>
            <w:r w:rsidR="00DC4821">
              <w:rPr>
                <w:rFonts w:ascii="Arial" w:hAnsi="Arial" w:cs="Arial"/>
                <w:sz w:val="20"/>
                <w:szCs w:val="20"/>
              </w:rPr>
              <w:t>ASK</w:t>
            </w:r>
            <w:r>
              <w:rPr>
                <w:rFonts w:ascii="Arial" w:hAnsi="Arial" w:cs="Arial"/>
                <w:sz w:val="20"/>
                <w:szCs w:val="20"/>
              </w:rPr>
              <w:t xml:space="preserve"> ar Stebėtojų tarybos,</w:t>
            </w:r>
            <w:r w:rsidR="00B74579">
              <w:rPr>
                <w:rFonts w:ascii="Arial" w:hAnsi="Arial" w:cs="Arial"/>
                <w:sz w:val="20"/>
                <w:szCs w:val="20"/>
              </w:rPr>
              <w:t xml:space="preserve"> kuri</w:t>
            </w:r>
            <w:r>
              <w:rPr>
                <w:rFonts w:ascii="Arial" w:hAnsi="Arial" w:cs="Arial"/>
                <w:sz w:val="20"/>
                <w:szCs w:val="20"/>
              </w:rPr>
              <w:t xml:space="preserve"> nepriklausomai įvertin</w:t>
            </w:r>
            <w:r w:rsidR="00F9304A">
              <w:rPr>
                <w:rFonts w:ascii="Arial" w:hAnsi="Arial" w:cs="Arial"/>
                <w:sz w:val="20"/>
                <w:szCs w:val="20"/>
              </w:rPr>
              <w:t>a</w:t>
            </w:r>
            <w:r>
              <w:rPr>
                <w:rFonts w:ascii="Arial" w:hAnsi="Arial" w:cs="Arial"/>
                <w:sz w:val="20"/>
                <w:szCs w:val="20"/>
              </w:rPr>
              <w:t xml:space="preserve"> su rizika ir kontrole</w:t>
            </w:r>
            <w:r w:rsidR="00F9304A">
              <w:rPr>
                <w:rFonts w:ascii="Arial" w:hAnsi="Arial" w:cs="Arial"/>
                <w:sz w:val="20"/>
                <w:szCs w:val="20"/>
              </w:rPr>
              <w:t xml:space="preserve"> susijusį darbuotojo elgesį</w:t>
            </w:r>
            <w:r w:rsidRPr="00F43F65">
              <w:rPr>
                <w:rFonts w:ascii="Arial" w:hAnsi="Arial" w:cs="Arial"/>
                <w:sz w:val="20"/>
                <w:szCs w:val="20"/>
              </w:rPr>
              <w:t>.</w:t>
            </w:r>
          </w:p>
          <w:p w14:paraId="7D77AF48" w14:textId="74B5A084" w:rsidR="009A0C7F" w:rsidRPr="00F43F65" w:rsidRDefault="009A0C7F" w:rsidP="00EA3F6C">
            <w:pPr>
              <w:pStyle w:val="ListParagraph"/>
              <w:numPr>
                <w:ilvl w:val="0"/>
                <w:numId w:val="6"/>
              </w:numPr>
              <w:tabs>
                <w:tab w:val="left" w:pos="8647"/>
              </w:tabs>
              <w:jc w:val="both"/>
              <w:rPr>
                <w:rFonts w:ascii="Arial" w:hAnsi="Arial" w:cs="Arial"/>
                <w:sz w:val="20"/>
                <w:szCs w:val="20"/>
              </w:rPr>
            </w:pPr>
            <w:r>
              <w:rPr>
                <w:rFonts w:ascii="Arial" w:hAnsi="Arial" w:cs="Arial"/>
                <w:sz w:val="20"/>
                <w:szCs w:val="20"/>
              </w:rPr>
              <w:t>Kontrolės funkcij</w:t>
            </w:r>
            <w:r w:rsidR="00EC288D">
              <w:rPr>
                <w:rFonts w:ascii="Arial" w:hAnsi="Arial" w:cs="Arial"/>
                <w:sz w:val="20"/>
                <w:szCs w:val="20"/>
              </w:rPr>
              <w:t>as vykdantys</w:t>
            </w:r>
            <w:r>
              <w:rPr>
                <w:rFonts w:ascii="Arial" w:hAnsi="Arial" w:cs="Arial"/>
                <w:sz w:val="20"/>
                <w:szCs w:val="20"/>
              </w:rPr>
              <w:t xml:space="preserve"> </w:t>
            </w:r>
            <w:r w:rsidR="00EC288D">
              <w:rPr>
                <w:rFonts w:ascii="Arial" w:hAnsi="Arial" w:cs="Arial"/>
                <w:sz w:val="20"/>
                <w:szCs w:val="20"/>
              </w:rPr>
              <w:t xml:space="preserve">vadovai ir </w:t>
            </w:r>
            <w:r>
              <w:rPr>
                <w:rFonts w:ascii="Arial" w:hAnsi="Arial" w:cs="Arial"/>
                <w:sz w:val="20"/>
                <w:szCs w:val="20"/>
              </w:rPr>
              <w:t>aukšti Bendrovės vadovai aktyviai dalyvauja</w:t>
            </w:r>
            <w:r w:rsidRPr="00F43F65">
              <w:rPr>
                <w:rFonts w:ascii="Arial" w:hAnsi="Arial" w:cs="Arial"/>
                <w:sz w:val="20"/>
                <w:szCs w:val="20"/>
              </w:rPr>
              <w:t xml:space="preserve">, </w:t>
            </w:r>
            <w:r>
              <w:rPr>
                <w:rFonts w:ascii="Arial" w:hAnsi="Arial" w:cs="Arial"/>
                <w:sz w:val="20"/>
                <w:szCs w:val="20"/>
              </w:rPr>
              <w:t>užtikrina skaidrumą ir vertina rizikos ir kontrolės klausimus</w:t>
            </w:r>
            <w:r w:rsidRPr="00F43F65">
              <w:rPr>
                <w:rFonts w:ascii="Arial" w:hAnsi="Arial" w:cs="Arial"/>
                <w:sz w:val="20"/>
                <w:szCs w:val="20"/>
              </w:rPr>
              <w:t xml:space="preserve">.  </w:t>
            </w:r>
          </w:p>
          <w:p w14:paraId="738C6380" w14:textId="757685AD" w:rsidR="009A0C7F" w:rsidRDefault="0047334C" w:rsidP="00EA3F6C">
            <w:pPr>
              <w:pStyle w:val="ListParagraph"/>
              <w:numPr>
                <w:ilvl w:val="0"/>
                <w:numId w:val="6"/>
              </w:numPr>
              <w:tabs>
                <w:tab w:val="left" w:pos="8647"/>
              </w:tabs>
              <w:jc w:val="both"/>
              <w:rPr>
                <w:rFonts w:ascii="Arial" w:hAnsi="Arial" w:cs="Arial"/>
                <w:sz w:val="20"/>
                <w:szCs w:val="20"/>
              </w:rPr>
            </w:pPr>
            <w:r>
              <w:rPr>
                <w:rFonts w:ascii="Arial" w:hAnsi="Arial" w:cs="Arial"/>
                <w:sz w:val="20"/>
                <w:szCs w:val="20"/>
              </w:rPr>
              <w:t>Sprendimai dėl individualaus atlygio turi būti prižiūrimi ir valdomi, taip pat peržiūrimi personalo skyriaus</w:t>
            </w:r>
            <w:r w:rsidRPr="00F43F65">
              <w:rPr>
                <w:rFonts w:ascii="Arial" w:hAnsi="Arial" w:cs="Arial"/>
                <w:sz w:val="20"/>
                <w:szCs w:val="20"/>
              </w:rPr>
              <w:t xml:space="preserve">. </w:t>
            </w:r>
            <w:r>
              <w:rPr>
                <w:rFonts w:ascii="Arial" w:hAnsi="Arial" w:cs="Arial"/>
                <w:sz w:val="20"/>
                <w:szCs w:val="20"/>
              </w:rPr>
              <w:t xml:space="preserve">Didelį atlyginimą gaunančius asmenis </w:t>
            </w:r>
            <w:r w:rsidRPr="00F43F65">
              <w:rPr>
                <w:rFonts w:ascii="Arial" w:hAnsi="Arial" w:cs="Arial"/>
                <w:sz w:val="20"/>
                <w:szCs w:val="20"/>
              </w:rPr>
              <w:t>(</w:t>
            </w:r>
            <w:r>
              <w:rPr>
                <w:rFonts w:ascii="Arial" w:hAnsi="Arial" w:cs="Arial"/>
                <w:sz w:val="20"/>
                <w:szCs w:val="20"/>
              </w:rPr>
              <w:t>aukščiausius vado</w:t>
            </w:r>
            <w:r>
              <w:rPr>
                <w:rFonts w:ascii="Arial" w:hAnsi="Arial" w:cs="Arial"/>
                <w:sz w:val="20"/>
                <w:szCs w:val="20"/>
              </w:rPr>
              <w:softHyphen/>
              <w:t>vus</w:t>
            </w:r>
            <w:r w:rsidRPr="00F43F65">
              <w:rPr>
                <w:rFonts w:ascii="Arial" w:hAnsi="Arial" w:cs="Arial"/>
                <w:sz w:val="20"/>
                <w:szCs w:val="20"/>
              </w:rPr>
              <w:t xml:space="preserve">) </w:t>
            </w:r>
            <w:r>
              <w:rPr>
                <w:rFonts w:ascii="Arial" w:hAnsi="Arial" w:cs="Arial"/>
                <w:sz w:val="20"/>
                <w:szCs w:val="20"/>
              </w:rPr>
              <w:t xml:space="preserve">tikrina Bendrovės valdymo organai – </w:t>
            </w:r>
            <w:r w:rsidR="00DC4821">
              <w:rPr>
                <w:rFonts w:ascii="Arial" w:hAnsi="Arial" w:cs="Arial"/>
                <w:sz w:val="20"/>
                <w:szCs w:val="20"/>
              </w:rPr>
              <w:t>ASK</w:t>
            </w:r>
            <w:r>
              <w:rPr>
                <w:rFonts w:ascii="Arial" w:hAnsi="Arial" w:cs="Arial"/>
                <w:sz w:val="20"/>
                <w:szCs w:val="20"/>
              </w:rPr>
              <w:t xml:space="preserve"> ir Stebėtojų taryba</w:t>
            </w:r>
            <w:r w:rsidRPr="00F43F65">
              <w:rPr>
                <w:rFonts w:ascii="Arial" w:hAnsi="Arial" w:cs="Arial"/>
                <w:sz w:val="20"/>
                <w:szCs w:val="20"/>
              </w:rPr>
              <w:t>.</w:t>
            </w:r>
            <w:r w:rsidR="009A0C7F" w:rsidRPr="00F43F65">
              <w:rPr>
                <w:rFonts w:ascii="Arial" w:hAnsi="Arial" w:cs="Arial"/>
                <w:sz w:val="20"/>
                <w:szCs w:val="20"/>
              </w:rPr>
              <w:t xml:space="preserve"> </w:t>
            </w:r>
          </w:p>
          <w:p w14:paraId="5EF33CD9" w14:textId="77777777" w:rsidR="00B74579" w:rsidRPr="00F43F65" w:rsidRDefault="00B74579" w:rsidP="00B74579">
            <w:pPr>
              <w:pStyle w:val="ListParagraph"/>
              <w:tabs>
                <w:tab w:val="left" w:pos="8647"/>
              </w:tabs>
              <w:jc w:val="both"/>
              <w:rPr>
                <w:rFonts w:ascii="Arial" w:hAnsi="Arial" w:cs="Arial"/>
                <w:sz w:val="20"/>
                <w:szCs w:val="20"/>
              </w:rPr>
            </w:pPr>
          </w:p>
          <w:p w14:paraId="195B6CEA" w14:textId="47A1A1F4" w:rsidR="009A0C7F" w:rsidRPr="0047334C" w:rsidRDefault="009A0C7F" w:rsidP="00EA3F6C">
            <w:pPr>
              <w:pStyle w:val="ListParagraph"/>
              <w:numPr>
                <w:ilvl w:val="0"/>
                <w:numId w:val="6"/>
              </w:numPr>
              <w:tabs>
                <w:tab w:val="left" w:pos="8647"/>
              </w:tabs>
              <w:jc w:val="both"/>
              <w:rPr>
                <w:rFonts w:ascii="Arial" w:hAnsi="Arial" w:cs="Arial"/>
                <w:color w:val="000000" w:themeColor="text1"/>
                <w:sz w:val="20"/>
                <w:szCs w:val="20"/>
              </w:rPr>
            </w:pPr>
            <w:r>
              <w:rPr>
                <w:rFonts w:ascii="Arial" w:hAnsi="Arial" w:cs="Arial"/>
                <w:color w:val="000000" w:themeColor="text1"/>
                <w:sz w:val="20"/>
                <w:szCs w:val="20"/>
              </w:rPr>
              <w:lastRenderedPageBreak/>
              <w:t>Siekiant išvengti galim</w:t>
            </w:r>
            <w:r w:rsidR="0047334C">
              <w:rPr>
                <w:rFonts w:ascii="Arial" w:hAnsi="Arial" w:cs="Arial"/>
                <w:color w:val="000000" w:themeColor="text1"/>
                <w:sz w:val="20"/>
                <w:szCs w:val="20"/>
              </w:rPr>
              <w:t>ų</w:t>
            </w:r>
            <w:r>
              <w:rPr>
                <w:rFonts w:ascii="Arial" w:hAnsi="Arial" w:cs="Arial"/>
                <w:color w:val="000000" w:themeColor="text1"/>
                <w:sz w:val="20"/>
                <w:szCs w:val="20"/>
              </w:rPr>
              <w:t xml:space="preserve"> interesų konflikt</w:t>
            </w:r>
            <w:r w:rsidR="0047334C">
              <w:rPr>
                <w:rFonts w:ascii="Arial" w:hAnsi="Arial" w:cs="Arial"/>
                <w:color w:val="000000" w:themeColor="text1"/>
                <w:sz w:val="20"/>
                <w:szCs w:val="20"/>
              </w:rPr>
              <w:t>ų</w:t>
            </w:r>
            <w:r w:rsidRPr="00F43F65">
              <w:rPr>
                <w:rFonts w:ascii="Arial" w:hAnsi="Arial" w:cs="Arial"/>
                <w:color w:val="000000" w:themeColor="text1"/>
                <w:sz w:val="20"/>
                <w:szCs w:val="20"/>
              </w:rPr>
              <w:t xml:space="preserve">, </w:t>
            </w:r>
            <w:r>
              <w:rPr>
                <w:rFonts w:ascii="Arial" w:hAnsi="Arial" w:cs="Arial"/>
                <w:color w:val="000000" w:themeColor="text1"/>
                <w:sz w:val="20"/>
                <w:szCs w:val="20"/>
              </w:rPr>
              <w:t xml:space="preserve">atlygio politikoje numatoma, kad priežiūros funkcijas vykdančių kolegialių organų nariai negauna atlygio, priklausančio nuo </w:t>
            </w:r>
            <w:r w:rsidR="0047334C">
              <w:rPr>
                <w:rFonts w:ascii="Arial" w:hAnsi="Arial" w:cs="Arial"/>
                <w:color w:val="000000" w:themeColor="text1"/>
                <w:sz w:val="20"/>
                <w:szCs w:val="20"/>
              </w:rPr>
              <w:t>B</w:t>
            </w:r>
            <w:r>
              <w:rPr>
                <w:rFonts w:ascii="Arial" w:hAnsi="Arial" w:cs="Arial"/>
                <w:color w:val="000000" w:themeColor="text1"/>
                <w:sz w:val="20"/>
                <w:szCs w:val="20"/>
              </w:rPr>
              <w:t>endrovės rezultatų</w:t>
            </w:r>
            <w:r w:rsidRPr="00F43F65">
              <w:rPr>
                <w:rFonts w:ascii="Arial" w:hAnsi="Arial" w:cs="Arial"/>
                <w:color w:val="000000" w:themeColor="text1"/>
                <w:sz w:val="20"/>
                <w:szCs w:val="20"/>
              </w:rPr>
              <w:t>.</w:t>
            </w:r>
          </w:p>
        </w:tc>
      </w:tr>
      <w:tr w:rsidR="009A0C7F" w14:paraId="1E359E92" w14:textId="77777777" w:rsidTr="009A0C7F">
        <w:tc>
          <w:tcPr>
            <w:tcW w:w="4673" w:type="dxa"/>
          </w:tcPr>
          <w:p w14:paraId="07B0767F" w14:textId="510D5786" w:rsidR="009A0C7F" w:rsidRPr="001247C1" w:rsidRDefault="009A0C7F" w:rsidP="001247C1">
            <w:pPr>
              <w:pStyle w:val="ListParagraph"/>
              <w:numPr>
                <w:ilvl w:val="0"/>
                <w:numId w:val="21"/>
              </w:numPr>
              <w:tabs>
                <w:tab w:val="left" w:pos="8647"/>
              </w:tabs>
              <w:jc w:val="both"/>
              <w:rPr>
                <w:rFonts w:ascii="Arial" w:hAnsi="Arial" w:cs="Arial"/>
                <w:b/>
                <w:bCs/>
                <w:color w:val="2F5496" w:themeColor="accent1" w:themeShade="BF"/>
                <w:sz w:val="24"/>
                <w:szCs w:val="24"/>
                <w:lang w:val="en-US"/>
              </w:rPr>
            </w:pPr>
            <w:r w:rsidRPr="001247C1">
              <w:rPr>
                <w:rFonts w:ascii="Arial" w:hAnsi="Arial" w:cs="Arial"/>
                <w:b/>
                <w:bCs/>
                <w:color w:val="2F5496" w:themeColor="accent1" w:themeShade="BF"/>
                <w:sz w:val="24"/>
                <w:szCs w:val="24"/>
                <w:lang w:val="en-US"/>
              </w:rPr>
              <w:lastRenderedPageBreak/>
              <w:t>Remuneration Structure</w:t>
            </w:r>
          </w:p>
          <w:p w14:paraId="17BE9D5D" w14:textId="77777777" w:rsidR="009A0C7F" w:rsidRPr="00E85BF8" w:rsidRDefault="009A0C7F" w:rsidP="00EA3F6C">
            <w:pPr>
              <w:pStyle w:val="ListParagraph"/>
              <w:tabs>
                <w:tab w:val="left" w:pos="8647"/>
              </w:tabs>
              <w:ind w:left="284"/>
              <w:jc w:val="both"/>
              <w:rPr>
                <w:rFonts w:ascii="Arial" w:hAnsi="Arial" w:cs="Arial"/>
                <w:b/>
                <w:bCs/>
                <w:color w:val="2F5496" w:themeColor="accent1" w:themeShade="BF"/>
                <w:sz w:val="24"/>
                <w:szCs w:val="24"/>
                <w:lang w:val="en-US"/>
              </w:rPr>
            </w:pPr>
          </w:p>
          <w:p w14:paraId="06A7A73F" w14:textId="70852DE4"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Company and its subsidiaries ensure for its employees a competitive and fair remuneration for results achieved by the Company and/or Company’s Group and the employee individually. The purpose of the remuneration policy is to retain existing and attract new employees to ensure business success.</w:t>
            </w:r>
          </w:p>
          <w:p w14:paraId="403E6E3A" w14:textId="77777777" w:rsidR="009A0C7F" w:rsidRPr="00E85BF8" w:rsidRDefault="009A0C7F" w:rsidP="00EA3F6C">
            <w:pPr>
              <w:tabs>
                <w:tab w:val="left" w:pos="8647"/>
              </w:tabs>
              <w:jc w:val="both"/>
              <w:rPr>
                <w:rFonts w:ascii="Arial" w:hAnsi="Arial" w:cs="Arial"/>
                <w:sz w:val="20"/>
                <w:szCs w:val="20"/>
                <w:lang w:val="en-US"/>
              </w:rPr>
            </w:pPr>
          </w:p>
          <w:p w14:paraId="68C7C0AD" w14:textId="36177E36"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Main components of remuneration:</w:t>
            </w:r>
          </w:p>
          <w:p w14:paraId="3E51C0F9" w14:textId="77777777" w:rsidR="009A0C7F" w:rsidRPr="00E85BF8" w:rsidRDefault="009A0C7F" w:rsidP="00EA3F6C">
            <w:pPr>
              <w:tabs>
                <w:tab w:val="left" w:pos="8647"/>
              </w:tabs>
              <w:jc w:val="both"/>
              <w:rPr>
                <w:rFonts w:ascii="Arial" w:hAnsi="Arial" w:cs="Arial"/>
                <w:b/>
                <w:bCs/>
                <w:sz w:val="20"/>
                <w:szCs w:val="20"/>
                <w:lang w:val="en-US"/>
              </w:rPr>
            </w:pPr>
          </w:p>
          <w:p w14:paraId="52378DCE" w14:textId="77777777" w:rsidR="009A0C7F" w:rsidRPr="00E85BF8" w:rsidRDefault="009A0C7F" w:rsidP="00EA3F6C">
            <w:pPr>
              <w:pStyle w:val="ListParagraph"/>
              <w:numPr>
                <w:ilvl w:val="0"/>
                <w:numId w:val="7"/>
              </w:numPr>
              <w:tabs>
                <w:tab w:val="left" w:pos="8647"/>
              </w:tabs>
              <w:jc w:val="both"/>
              <w:rPr>
                <w:rFonts w:ascii="Arial" w:hAnsi="Arial" w:cs="Arial"/>
                <w:sz w:val="20"/>
                <w:szCs w:val="20"/>
                <w:lang w:val="en-US"/>
              </w:rPr>
            </w:pPr>
            <w:r w:rsidRPr="00E85BF8">
              <w:rPr>
                <w:rFonts w:ascii="Arial" w:hAnsi="Arial" w:cs="Arial"/>
                <w:sz w:val="20"/>
                <w:szCs w:val="20"/>
                <w:lang w:val="en-US"/>
              </w:rPr>
              <w:t>Basic part – a monthly remuneration the scales of which are set for the groups of employees in respect to the applicable laws, necessary competencies, job functions, the level of responsibility and other components, influencing the amount of remuneration;</w:t>
            </w:r>
          </w:p>
          <w:p w14:paraId="3847F353" w14:textId="621A483E" w:rsidR="009A0C7F" w:rsidRPr="00E07C70" w:rsidRDefault="009A0C7F" w:rsidP="00E07C70">
            <w:pPr>
              <w:pStyle w:val="ListParagraph"/>
              <w:numPr>
                <w:ilvl w:val="0"/>
                <w:numId w:val="7"/>
              </w:numPr>
              <w:tabs>
                <w:tab w:val="left" w:pos="8647"/>
              </w:tabs>
              <w:jc w:val="both"/>
              <w:rPr>
                <w:rFonts w:ascii="Arial" w:hAnsi="Arial" w:cs="Arial"/>
                <w:sz w:val="20"/>
                <w:szCs w:val="20"/>
                <w:lang w:val="en-US"/>
              </w:rPr>
            </w:pPr>
            <w:r w:rsidRPr="00E85BF8">
              <w:rPr>
                <w:rFonts w:ascii="Arial" w:hAnsi="Arial" w:cs="Arial"/>
                <w:sz w:val="20"/>
                <w:szCs w:val="20"/>
                <w:lang w:val="en-US"/>
              </w:rPr>
              <w:t xml:space="preserve">Variable part – the part depending on the achievement of the Company’s financial, long-term and/or short-term goals and employee’s individual and/or department/unit results the amount of which and payment periods are set out in the Company’s or Group remuneration regulations. </w:t>
            </w:r>
            <w:r w:rsidR="00E07C70" w:rsidRPr="000E350C">
              <w:rPr>
                <w:rFonts w:ascii="Arial" w:hAnsi="Arial" w:cs="Arial"/>
                <w:sz w:val="20"/>
                <w:szCs w:val="20"/>
                <w:lang w:val="en-US"/>
              </w:rPr>
              <w:t xml:space="preserve">The goals, objectives for employees should be objective and clearly measurable. </w:t>
            </w:r>
            <w:r w:rsidRPr="00E07C70">
              <w:rPr>
                <w:rFonts w:ascii="Arial" w:hAnsi="Arial" w:cs="Arial"/>
                <w:sz w:val="20"/>
                <w:szCs w:val="20"/>
                <w:lang w:val="en-US"/>
              </w:rPr>
              <w:t xml:space="preserve">The variable part may vary from 5 to 30% of the </w:t>
            </w:r>
            <w:proofErr w:type="gramStart"/>
            <w:r w:rsidRPr="00E07C70">
              <w:rPr>
                <w:rFonts w:ascii="Arial" w:hAnsi="Arial" w:cs="Arial"/>
                <w:sz w:val="20"/>
                <w:szCs w:val="20"/>
                <w:lang w:val="en-US"/>
              </w:rPr>
              <w:t>employee‘</w:t>
            </w:r>
            <w:proofErr w:type="gramEnd"/>
            <w:r w:rsidRPr="00E07C70">
              <w:rPr>
                <w:rFonts w:ascii="Arial" w:hAnsi="Arial" w:cs="Arial"/>
                <w:sz w:val="20"/>
                <w:szCs w:val="20"/>
                <w:lang w:val="en-US"/>
              </w:rPr>
              <w:t>s basic part of the remuneration, paid according to the Company’s or Group remuneration regulations;</w:t>
            </w:r>
          </w:p>
          <w:p w14:paraId="3B4E88AD" w14:textId="77777777" w:rsidR="009A0C7F" w:rsidRPr="00E85BF8" w:rsidRDefault="009A0C7F" w:rsidP="00EA3F6C">
            <w:pPr>
              <w:pStyle w:val="ListParagraph"/>
              <w:numPr>
                <w:ilvl w:val="0"/>
                <w:numId w:val="7"/>
              </w:numPr>
              <w:tabs>
                <w:tab w:val="left" w:pos="8647"/>
              </w:tabs>
              <w:jc w:val="both"/>
              <w:rPr>
                <w:rFonts w:ascii="Arial" w:hAnsi="Arial" w:cs="Arial"/>
                <w:sz w:val="20"/>
                <w:szCs w:val="20"/>
                <w:lang w:val="en-US"/>
              </w:rPr>
            </w:pPr>
            <w:r w:rsidRPr="00E85BF8">
              <w:rPr>
                <w:rFonts w:ascii="Arial" w:hAnsi="Arial" w:cs="Arial"/>
                <w:sz w:val="20"/>
                <w:szCs w:val="20"/>
                <w:lang w:val="en-US"/>
              </w:rPr>
              <w:t>Annual additionally is a motivational part of the pay, payment of which depends on whether:</w:t>
            </w:r>
          </w:p>
          <w:p w14:paraId="4EDE204D" w14:textId="77777777" w:rsidR="009A0C7F" w:rsidRPr="00E85BF8" w:rsidRDefault="009A0C7F" w:rsidP="00EA3F6C">
            <w:pPr>
              <w:pStyle w:val="ListParagraph"/>
              <w:tabs>
                <w:tab w:val="left" w:pos="8647"/>
              </w:tabs>
              <w:jc w:val="both"/>
              <w:rPr>
                <w:rFonts w:ascii="Arial" w:hAnsi="Arial" w:cs="Arial"/>
                <w:sz w:val="20"/>
                <w:szCs w:val="20"/>
                <w:lang w:val="en-US"/>
              </w:rPr>
            </w:pPr>
          </w:p>
          <w:p w14:paraId="3A8A0071" w14:textId="77777777" w:rsidR="009A0C7F" w:rsidRPr="00E85BF8" w:rsidRDefault="009A0C7F" w:rsidP="00EA3F6C">
            <w:pPr>
              <w:pStyle w:val="ListParagraph"/>
              <w:numPr>
                <w:ilvl w:val="0"/>
                <w:numId w:val="3"/>
              </w:numPr>
              <w:tabs>
                <w:tab w:val="left" w:pos="8647"/>
              </w:tabs>
              <w:jc w:val="both"/>
              <w:rPr>
                <w:rFonts w:ascii="Arial" w:hAnsi="Arial" w:cs="Arial"/>
                <w:sz w:val="20"/>
                <w:szCs w:val="20"/>
                <w:lang w:val="en-US"/>
              </w:rPr>
            </w:pPr>
            <w:r w:rsidRPr="00E85BF8">
              <w:rPr>
                <w:rFonts w:ascii="Arial" w:hAnsi="Arial" w:cs="Arial"/>
                <w:sz w:val="20"/>
                <w:szCs w:val="20"/>
                <w:lang w:val="en-US"/>
              </w:rPr>
              <w:t>Exceptional personal objectives set for the employee have been achieved;</w:t>
            </w:r>
          </w:p>
          <w:p w14:paraId="5B3FBA0D" w14:textId="77777777" w:rsidR="009A0C7F" w:rsidRPr="00E85BF8" w:rsidRDefault="009A0C7F" w:rsidP="00EA3F6C">
            <w:pPr>
              <w:pStyle w:val="ListParagraph"/>
              <w:numPr>
                <w:ilvl w:val="0"/>
                <w:numId w:val="3"/>
              </w:numPr>
              <w:tabs>
                <w:tab w:val="left" w:pos="8647"/>
              </w:tabs>
              <w:jc w:val="both"/>
              <w:rPr>
                <w:rFonts w:ascii="Arial" w:hAnsi="Arial" w:cs="Arial"/>
                <w:sz w:val="20"/>
                <w:szCs w:val="20"/>
                <w:lang w:val="en-US"/>
              </w:rPr>
            </w:pPr>
            <w:r w:rsidRPr="00E85BF8">
              <w:rPr>
                <w:rFonts w:ascii="Arial" w:hAnsi="Arial" w:cs="Arial"/>
                <w:sz w:val="20"/>
                <w:szCs w:val="20"/>
                <w:lang w:val="en-US"/>
              </w:rPr>
              <w:t>High-performance of the individual employees;</w:t>
            </w:r>
          </w:p>
          <w:p w14:paraId="36D17E1B" w14:textId="6164E4C0" w:rsidR="009A0C7F" w:rsidRPr="00E85BF8" w:rsidRDefault="009A0C7F" w:rsidP="00EA3F6C">
            <w:pPr>
              <w:pStyle w:val="ListParagraph"/>
              <w:numPr>
                <w:ilvl w:val="0"/>
                <w:numId w:val="3"/>
              </w:numPr>
              <w:tabs>
                <w:tab w:val="left" w:pos="8647"/>
              </w:tabs>
              <w:jc w:val="both"/>
              <w:rPr>
                <w:rFonts w:ascii="Arial" w:hAnsi="Arial" w:cs="Arial"/>
                <w:sz w:val="20"/>
                <w:szCs w:val="20"/>
                <w:lang w:val="en-US"/>
              </w:rPr>
            </w:pPr>
            <w:r w:rsidRPr="00E85BF8">
              <w:rPr>
                <w:rFonts w:ascii="Arial" w:hAnsi="Arial" w:cs="Arial"/>
                <w:sz w:val="20"/>
                <w:szCs w:val="20"/>
                <w:lang w:val="en-US"/>
              </w:rPr>
              <w:t>objectives of the Company of the particular year have been achieved (“shared success remuneration”).</w:t>
            </w:r>
          </w:p>
          <w:p w14:paraId="76A880D9" w14:textId="77777777" w:rsidR="009A0C7F" w:rsidRPr="00E85BF8" w:rsidRDefault="009A0C7F" w:rsidP="00EA3F6C">
            <w:pPr>
              <w:tabs>
                <w:tab w:val="left" w:pos="8647"/>
              </w:tabs>
              <w:jc w:val="both"/>
              <w:rPr>
                <w:rFonts w:ascii="Arial" w:hAnsi="Arial" w:cs="Arial"/>
                <w:sz w:val="20"/>
                <w:szCs w:val="20"/>
                <w:lang w:val="en-US"/>
              </w:rPr>
            </w:pPr>
          </w:p>
          <w:p w14:paraId="1DDFB58A"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Remuneration is reviewed for all the employees once in a year, during the annual interview with the Managing Director.</w:t>
            </w:r>
          </w:p>
          <w:p w14:paraId="2A443FE8"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top management motivation system is based on the Group EBITDA target, strategic goals achievement and individual targets.</w:t>
            </w:r>
            <w:r w:rsidRPr="00E85BF8">
              <w:rPr>
                <w:rFonts w:ascii="Arial" w:hAnsi="Arial" w:cs="Arial"/>
                <w:color w:val="000000" w:themeColor="text1"/>
                <w:sz w:val="20"/>
                <w:szCs w:val="20"/>
                <w:lang w:val="en-US"/>
              </w:rPr>
              <w:t xml:space="preserve"> </w:t>
            </w:r>
            <w:r w:rsidRPr="00E85BF8">
              <w:rPr>
                <w:rFonts w:ascii="Arial" w:hAnsi="Arial" w:cs="Arial"/>
                <w:sz w:val="20"/>
                <w:szCs w:val="20"/>
                <w:lang w:val="en-US"/>
              </w:rPr>
              <w:t xml:space="preserve">Individual targets together with their weight in valuation are defined every year by the Supervisory Council. The </w:t>
            </w:r>
            <w:r w:rsidRPr="00E85BF8">
              <w:rPr>
                <w:rFonts w:ascii="Arial" w:hAnsi="Arial" w:cs="Arial"/>
                <w:sz w:val="20"/>
                <w:szCs w:val="20"/>
                <w:lang w:val="en-US"/>
              </w:rPr>
              <w:lastRenderedPageBreak/>
              <w:t>Supervisory Council of the Company makes decision on the amounts to be paid after annual meeting and evaluation of each manager to whom the individual targets were set.</w:t>
            </w:r>
          </w:p>
          <w:p w14:paraId="175479C8"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bonus is paid in cash or as a contribution to the pension fund selected by the respective employee, </w:t>
            </w:r>
            <w:proofErr w:type="gramStart"/>
            <w:r w:rsidRPr="00E85BF8">
              <w:rPr>
                <w:rFonts w:ascii="Arial" w:hAnsi="Arial" w:cs="Arial"/>
                <w:sz w:val="20"/>
                <w:szCs w:val="20"/>
                <w:lang w:val="en-US"/>
              </w:rPr>
              <w:t>if and when</w:t>
            </w:r>
            <w:proofErr w:type="gramEnd"/>
            <w:r w:rsidRPr="00E85BF8">
              <w:rPr>
                <w:rFonts w:ascii="Arial" w:hAnsi="Arial" w:cs="Arial"/>
                <w:sz w:val="20"/>
                <w:szCs w:val="20"/>
                <w:lang w:val="en-US"/>
              </w:rPr>
              <w:t xml:space="preserve"> applicable. </w:t>
            </w:r>
          </w:p>
          <w:p w14:paraId="3B29FFCB"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tc>
        <w:tc>
          <w:tcPr>
            <w:tcW w:w="4673" w:type="dxa"/>
          </w:tcPr>
          <w:p w14:paraId="762B9116" w14:textId="038C098D" w:rsidR="009A0C7F" w:rsidRPr="001247C1" w:rsidRDefault="009A0C7F" w:rsidP="001247C1">
            <w:pPr>
              <w:pStyle w:val="ListParagraph"/>
              <w:numPr>
                <w:ilvl w:val="0"/>
                <w:numId w:val="20"/>
              </w:numPr>
              <w:tabs>
                <w:tab w:val="left" w:pos="8647"/>
              </w:tabs>
              <w:jc w:val="both"/>
              <w:rPr>
                <w:rFonts w:ascii="Arial" w:hAnsi="Arial" w:cs="Arial"/>
                <w:b/>
                <w:bCs/>
                <w:color w:val="2F5496" w:themeColor="accent1" w:themeShade="BF"/>
                <w:sz w:val="24"/>
                <w:szCs w:val="24"/>
                <w:lang w:val="en-US"/>
              </w:rPr>
            </w:pPr>
            <w:proofErr w:type="spellStart"/>
            <w:r w:rsidRPr="001247C1">
              <w:rPr>
                <w:rFonts w:ascii="Arial" w:hAnsi="Arial" w:cs="Arial"/>
                <w:b/>
                <w:bCs/>
                <w:color w:val="2F5496" w:themeColor="accent1" w:themeShade="BF"/>
                <w:sz w:val="24"/>
                <w:szCs w:val="24"/>
                <w:lang w:val="en-US"/>
              </w:rPr>
              <w:lastRenderedPageBreak/>
              <w:t>Atlygio</w:t>
            </w:r>
            <w:proofErr w:type="spellEnd"/>
            <w:r w:rsidRPr="001247C1">
              <w:rPr>
                <w:rFonts w:ascii="Arial" w:hAnsi="Arial" w:cs="Arial"/>
                <w:b/>
                <w:bCs/>
                <w:color w:val="2F5496" w:themeColor="accent1" w:themeShade="BF"/>
                <w:sz w:val="24"/>
                <w:szCs w:val="24"/>
                <w:lang w:val="en-US"/>
              </w:rPr>
              <w:t xml:space="preserve"> </w:t>
            </w:r>
            <w:proofErr w:type="spellStart"/>
            <w:r w:rsidRPr="001247C1">
              <w:rPr>
                <w:rFonts w:ascii="Arial" w:hAnsi="Arial" w:cs="Arial"/>
                <w:b/>
                <w:bCs/>
                <w:color w:val="2F5496" w:themeColor="accent1" w:themeShade="BF"/>
                <w:sz w:val="24"/>
                <w:szCs w:val="24"/>
                <w:lang w:val="en-US"/>
              </w:rPr>
              <w:t>struktūra</w:t>
            </w:r>
            <w:proofErr w:type="spellEnd"/>
            <w:r w:rsidRPr="001247C1">
              <w:rPr>
                <w:rFonts w:ascii="Arial" w:hAnsi="Arial" w:cs="Arial"/>
                <w:b/>
                <w:bCs/>
                <w:color w:val="2F5496" w:themeColor="accent1" w:themeShade="BF"/>
                <w:sz w:val="24"/>
                <w:szCs w:val="24"/>
                <w:lang w:val="en-US"/>
              </w:rPr>
              <w:t xml:space="preserve"> </w:t>
            </w:r>
          </w:p>
          <w:p w14:paraId="0069E8DD" w14:textId="77777777" w:rsidR="009A0C7F" w:rsidRPr="009337B6" w:rsidRDefault="009A0C7F" w:rsidP="00EA3F6C">
            <w:pPr>
              <w:pStyle w:val="ListParagraph"/>
              <w:tabs>
                <w:tab w:val="left" w:pos="8647"/>
              </w:tabs>
              <w:ind w:left="284"/>
              <w:jc w:val="both"/>
              <w:rPr>
                <w:rFonts w:ascii="Arial" w:hAnsi="Arial" w:cs="Arial"/>
                <w:b/>
                <w:bCs/>
                <w:color w:val="2F5496" w:themeColor="accent1" w:themeShade="BF"/>
                <w:sz w:val="24"/>
                <w:szCs w:val="24"/>
              </w:rPr>
            </w:pPr>
          </w:p>
          <w:p w14:paraId="7A17211A" w14:textId="41D47B78" w:rsidR="009A0C7F" w:rsidRPr="009337B6" w:rsidRDefault="009A0C7F" w:rsidP="00EA3F6C">
            <w:pPr>
              <w:tabs>
                <w:tab w:val="left" w:pos="8647"/>
              </w:tabs>
              <w:jc w:val="both"/>
              <w:rPr>
                <w:rFonts w:ascii="Arial" w:hAnsi="Arial" w:cs="Arial"/>
                <w:sz w:val="20"/>
                <w:szCs w:val="20"/>
              </w:rPr>
            </w:pPr>
            <w:r>
              <w:rPr>
                <w:rFonts w:ascii="Arial" w:hAnsi="Arial" w:cs="Arial"/>
                <w:sz w:val="20"/>
                <w:szCs w:val="20"/>
              </w:rPr>
              <w:t xml:space="preserve">Bendrovė ir jos </w:t>
            </w:r>
            <w:r w:rsidR="00096C33">
              <w:rPr>
                <w:rFonts w:ascii="Arial" w:hAnsi="Arial" w:cs="Arial"/>
                <w:sz w:val="20"/>
                <w:szCs w:val="20"/>
              </w:rPr>
              <w:t>dukterinės bendrovės</w:t>
            </w:r>
            <w:r>
              <w:rPr>
                <w:rFonts w:ascii="Arial" w:hAnsi="Arial" w:cs="Arial"/>
                <w:sz w:val="20"/>
                <w:szCs w:val="20"/>
              </w:rPr>
              <w:t xml:space="preserve"> darbuotojams užtikrina konkurencingą ir teisingą atlygį už Bendrovės ir (arba) Bendrovės grupės, taip pat darbuotojo asmeniškai pasiektus rezultatus</w:t>
            </w:r>
            <w:r w:rsidRPr="009337B6">
              <w:rPr>
                <w:rFonts w:ascii="Arial" w:hAnsi="Arial" w:cs="Arial"/>
                <w:sz w:val="20"/>
                <w:szCs w:val="20"/>
              </w:rPr>
              <w:t xml:space="preserve">. </w:t>
            </w:r>
            <w:r>
              <w:rPr>
                <w:rFonts w:ascii="Arial" w:hAnsi="Arial" w:cs="Arial"/>
                <w:sz w:val="20"/>
                <w:szCs w:val="20"/>
              </w:rPr>
              <w:t xml:space="preserve">Atlygio politikos tikslas – išlaikyti esamus ir pritraukti naujų darbuotojų, </w:t>
            </w:r>
            <w:r w:rsidR="00CE6F32">
              <w:rPr>
                <w:rFonts w:ascii="Arial" w:hAnsi="Arial" w:cs="Arial"/>
                <w:sz w:val="20"/>
                <w:szCs w:val="20"/>
              </w:rPr>
              <w:t xml:space="preserve">siekiant </w:t>
            </w:r>
            <w:r>
              <w:rPr>
                <w:rFonts w:ascii="Arial" w:hAnsi="Arial" w:cs="Arial"/>
                <w:sz w:val="20"/>
                <w:szCs w:val="20"/>
              </w:rPr>
              <w:t>užtikrinti verslo sėkmę</w:t>
            </w:r>
            <w:r w:rsidRPr="009337B6">
              <w:rPr>
                <w:rFonts w:ascii="Arial" w:hAnsi="Arial" w:cs="Arial"/>
                <w:sz w:val="20"/>
                <w:szCs w:val="20"/>
              </w:rPr>
              <w:t>.</w:t>
            </w:r>
            <w:r w:rsidR="00E07C70" w:rsidRPr="00E07C70">
              <w:rPr>
                <w:rFonts w:ascii="Arial" w:hAnsi="Arial" w:cs="Arial"/>
                <w:color w:val="002060"/>
                <w:sz w:val="20"/>
                <w:szCs w:val="20"/>
              </w:rPr>
              <w:t xml:space="preserve"> </w:t>
            </w:r>
          </w:p>
          <w:p w14:paraId="645DD2D6" w14:textId="77777777" w:rsidR="009A0C7F" w:rsidRPr="009337B6" w:rsidRDefault="009A0C7F" w:rsidP="00EA3F6C">
            <w:pPr>
              <w:tabs>
                <w:tab w:val="left" w:pos="8647"/>
              </w:tabs>
              <w:jc w:val="both"/>
              <w:rPr>
                <w:rFonts w:ascii="Arial" w:hAnsi="Arial" w:cs="Arial"/>
                <w:sz w:val="20"/>
                <w:szCs w:val="20"/>
              </w:rPr>
            </w:pPr>
          </w:p>
          <w:p w14:paraId="7E6E55A6" w14:textId="2165DE0B" w:rsidR="009A0C7F" w:rsidRPr="009337B6"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Pagrindin</w:t>
            </w:r>
            <w:r w:rsidR="00096C33">
              <w:rPr>
                <w:rFonts w:ascii="Arial" w:hAnsi="Arial" w:cs="Arial"/>
                <w:b/>
                <w:bCs/>
                <w:color w:val="2F5496" w:themeColor="accent1" w:themeShade="BF"/>
                <w:sz w:val="20"/>
                <w:szCs w:val="20"/>
              </w:rPr>
              <w:t>ės</w:t>
            </w:r>
            <w:r>
              <w:rPr>
                <w:rFonts w:ascii="Arial" w:hAnsi="Arial" w:cs="Arial"/>
                <w:b/>
                <w:bCs/>
                <w:color w:val="2F5496" w:themeColor="accent1" w:themeShade="BF"/>
                <w:sz w:val="20"/>
                <w:szCs w:val="20"/>
              </w:rPr>
              <w:t xml:space="preserve"> atlygio </w:t>
            </w:r>
            <w:r w:rsidR="00096C33">
              <w:rPr>
                <w:rFonts w:ascii="Arial" w:hAnsi="Arial" w:cs="Arial"/>
                <w:b/>
                <w:bCs/>
                <w:color w:val="2F5496" w:themeColor="accent1" w:themeShade="BF"/>
                <w:sz w:val="20"/>
                <w:szCs w:val="20"/>
              </w:rPr>
              <w:t>dalys</w:t>
            </w:r>
          </w:p>
          <w:p w14:paraId="69D8AF72" w14:textId="77777777" w:rsidR="009A0C7F" w:rsidRPr="009337B6" w:rsidRDefault="009A0C7F" w:rsidP="00EA3F6C">
            <w:pPr>
              <w:tabs>
                <w:tab w:val="left" w:pos="8647"/>
              </w:tabs>
              <w:jc w:val="both"/>
              <w:rPr>
                <w:rFonts w:ascii="Arial" w:hAnsi="Arial" w:cs="Arial"/>
                <w:b/>
                <w:bCs/>
                <w:sz w:val="20"/>
                <w:szCs w:val="20"/>
              </w:rPr>
            </w:pPr>
          </w:p>
          <w:p w14:paraId="38CFA937" w14:textId="5C04046A" w:rsidR="009A0C7F" w:rsidRDefault="009A0C7F" w:rsidP="00EA3F6C">
            <w:pPr>
              <w:pStyle w:val="ListParagraph"/>
              <w:numPr>
                <w:ilvl w:val="0"/>
                <w:numId w:val="7"/>
              </w:numPr>
              <w:tabs>
                <w:tab w:val="left" w:pos="8647"/>
              </w:tabs>
              <w:jc w:val="both"/>
              <w:rPr>
                <w:rFonts w:ascii="Arial" w:hAnsi="Arial" w:cs="Arial"/>
                <w:sz w:val="20"/>
                <w:szCs w:val="20"/>
              </w:rPr>
            </w:pPr>
            <w:r>
              <w:rPr>
                <w:rFonts w:ascii="Arial" w:hAnsi="Arial" w:cs="Arial"/>
                <w:sz w:val="20"/>
                <w:szCs w:val="20"/>
              </w:rPr>
              <w:t>Bazinė dalis – mėnesinis atlyginimas, kurio dydis nustatomas darbuotojų grupėms pagal atitinkamus įstatymus</w:t>
            </w:r>
            <w:r w:rsidRPr="009337B6">
              <w:rPr>
                <w:rFonts w:ascii="Arial" w:hAnsi="Arial" w:cs="Arial"/>
                <w:sz w:val="20"/>
                <w:szCs w:val="20"/>
              </w:rPr>
              <w:t xml:space="preserve">, </w:t>
            </w:r>
            <w:r>
              <w:rPr>
                <w:rFonts w:ascii="Arial" w:hAnsi="Arial" w:cs="Arial"/>
                <w:sz w:val="20"/>
                <w:szCs w:val="20"/>
              </w:rPr>
              <w:t>reikiamas kompetencijas</w:t>
            </w:r>
            <w:r w:rsidRPr="009337B6">
              <w:rPr>
                <w:rFonts w:ascii="Arial" w:hAnsi="Arial" w:cs="Arial"/>
                <w:sz w:val="20"/>
                <w:szCs w:val="20"/>
              </w:rPr>
              <w:t xml:space="preserve">, </w:t>
            </w:r>
            <w:r>
              <w:rPr>
                <w:rFonts w:ascii="Arial" w:hAnsi="Arial" w:cs="Arial"/>
                <w:sz w:val="20"/>
                <w:szCs w:val="20"/>
              </w:rPr>
              <w:t>pareigas</w:t>
            </w:r>
            <w:r w:rsidRPr="009337B6">
              <w:rPr>
                <w:rFonts w:ascii="Arial" w:hAnsi="Arial" w:cs="Arial"/>
                <w:sz w:val="20"/>
                <w:szCs w:val="20"/>
              </w:rPr>
              <w:t xml:space="preserve">, </w:t>
            </w:r>
            <w:r>
              <w:rPr>
                <w:rFonts w:ascii="Arial" w:hAnsi="Arial" w:cs="Arial"/>
                <w:sz w:val="20"/>
                <w:szCs w:val="20"/>
              </w:rPr>
              <w:t>atsakomybės lygį ir kitus komponentus</w:t>
            </w:r>
            <w:r w:rsidRPr="009337B6">
              <w:rPr>
                <w:rFonts w:ascii="Arial" w:hAnsi="Arial" w:cs="Arial"/>
                <w:sz w:val="20"/>
                <w:szCs w:val="20"/>
              </w:rPr>
              <w:t xml:space="preserve">, </w:t>
            </w:r>
            <w:r w:rsidR="002B2BBD">
              <w:rPr>
                <w:rFonts w:ascii="Arial" w:hAnsi="Arial" w:cs="Arial"/>
                <w:sz w:val="20"/>
                <w:szCs w:val="20"/>
              </w:rPr>
              <w:t xml:space="preserve">nuo kurių priklauso </w:t>
            </w:r>
            <w:r>
              <w:rPr>
                <w:rFonts w:ascii="Arial" w:hAnsi="Arial" w:cs="Arial"/>
                <w:sz w:val="20"/>
                <w:szCs w:val="20"/>
              </w:rPr>
              <w:t>atlygio dyd</w:t>
            </w:r>
            <w:r w:rsidR="002B2BBD">
              <w:rPr>
                <w:rFonts w:ascii="Arial" w:hAnsi="Arial" w:cs="Arial"/>
                <w:sz w:val="20"/>
                <w:szCs w:val="20"/>
              </w:rPr>
              <w:t>is</w:t>
            </w:r>
            <w:r w:rsidRPr="009337B6">
              <w:rPr>
                <w:rFonts w:ascii="Arial" w:hAnsi="Arial" w:cs="Arial"/>
                <w:sz w:val="20"/>
                <w:szCs w:val="20"/>
              </w:rPr>
              <w:t>;</w:t>
            </w:r>
          </w:p>
          <w:p w14:paraId="212A4E18" w14:textId="77777777" w:rsidR="00096C33" w:rsidRPr="009337B6" w:rsidRDefault="00096C33" w:rsidP="00096C33">
            <w:pPr>
              <w:pStyle w:val="ListParagraph"/>
              <w:tabs>
                <w:tab w:val="left" w:pos="8647"/>
              </w:tabs>
              <w:jc w:val="both"/>
              <w:rPr>
                <w:rFonts w:ascii="Arial" w:hAnsi="Arial" w:cs="Arial"/>
                <w:sz w:val="20"/>
                <w:szCs w:val="20"/>
              </w:rPr>
            </w:pPr>
          </w:p>
          <w:p w14:paraId="119B860A" w14:textId="7BB6021D" w:rsidR="009A0C7F" w:rsidRPr="00E07C70" w:rsidRDefault="009A0C7F" w:rsidP="00E07C70">
            <w:pPr>
              <w:pStyle w:val="ListParagraph"/>
              <w:numPr>
                <w:ilvl w:val="0"/>
                <w:numId w:val="7"/>
              </w:numPr>
              <w:jc w:val="both"/>
              <w:rPr>
                <w:rFonts w:ascii="Arial" w:hAnsi="Arial" w:cs="Arial"/>
                <w:sz w:val="20"/>
                <w:szCs w:val="20"/>
              </w:rPr>
            </w:pPr>
            <w:r>
              <w:rPr>
                <w:rFonts w:ascii="Arial" w:hAnsi="Arial" w:cs="Arial"/>
                <w:sz w:val="20"/>
                <w:szCs w:val="20"/>
              </w:rPr>
              <w:t>Kintamoji dalis – dalis, kuri priklauso nuo Bendrovės pasiektų finansinių, ilgalaikių ir (arba) trumpalaikių tikslų ir darbuotojo indi</w:t>
            </w:r>
            <w:r w:rsidR="00AD6A85">
              <w:rPr>
                <w:rFonts w:ascii="Arial" w:hAnsi="Arial" w:cs="Arial"/>
                <w:sz w:val="20"/>
                <w:szCs w:val="20"/>
              </w:rPr>
              <w:softHyphen/>
            </w:r>
            <w:r>
              <w:rPr>
                <w:rFonts w:ascii="Arial" w:hAnsi="Arial" w:cs="Arial"/>
                <w:sz w:val="20"/>
                <w:szCs w:val="20"/>
              </w:rPr>
              <w:t xml:space="preserve">vidualių ir (arba) skyriaus rezultatų, o jos suma ir mokėjimo </w:t>
            </w:r>
            <w:r w:rsidR="002B2BBD">
              <w:rPr>
                <w:rFonts w:ascii="Arial" w:hAnsi="Arial" w:cs="Arial"/>
                <w:sz w:val="20"/>
                <w:szCs w:val="20"/>
              </w:rPr>
              <w:t xml:space="preserve">periodai </w:t>
            </w:r>
            <w:r>
              <w:rPr>
                <w:rFonts w:ascii="Arial" w:hAnsi="Arial" w:cs="Arial"/>
                <w:sz w:val="20"/>
                <w:szCs w:val="20"/>
              </w:rPr>
              <w:t>nustatom</w:t>
            </w:r>
            <w:r w:rsidR="002B2BBD">
              <w:rPr>
                <w:rFonts w:ascii="Arial" w:hAnsi="Arial" w:cs="Arial"/>
                <w:sz w:val="20"/>
                <w:szCs w:val="20"/>
              </w:rPr>
              <w:t>i</w:t>
            </w:r>
            <w:r>
              <w:rPr>
                <w:rFonts w:ascii="Arial" w:hAnsi="Arial" w:cs="Arial"/>
                <w:sz w:val="20"/>
                <w:szCs w:val="20"/>
              </w:rPr>
              <w:t xml:space="preserve"> Ben</w:t>
            </w:r>
            <w:r w:rsidR="00AD6A85">
              <w:rPr>
                <w:rFonts w:ascii="Arial" w:hAnsi="Arial" w:cs="Arial"/>
                <w:sz w:val="20"/>
                <w:szCs w:val="20"/>
              </w:rPr>
              <w:softHyphen/>
            </w:r>
            <w:r>
              <w:rPr>
                <w:rFonts w:ascii="Arial" w:hAnsi="Arial" w:cs="Arial"/>
                <w:sz w:val="20"/>
                <w:szCs w:val="20"/>
              </w:rPr>
              <w:t xml:space="preserve">drovės </w:t>
            </w:r>
            <w:r w:rsidRPr="000E350C">
              <w:rPr>
                <w:rFonts w:ascii="Arial" w:hAnsi="Arial" w:cs="Arial"/>
                <w:sz w:val="20"/>
                <w:szCs w:val="20"/>
              </w:rPr>
              <w:t xml:space="preserve">arba Grupės atlygio </w:t>
            </w:r>
            <w:r w:rsidR="002B2BBD" w:rsidRPr="000E350C">
              <w:rPr>
                <w:rFonts w:ascii="Arial" w:hAnsi="Arial" w:cs="Arial"/>
                <w:sz w:val="20"/>
                <w:szCs w:val="20"/>
              </w:rPr>
              <w:t xml:space="preserve">skyrimo </w:t>
            </w:r>
            <w:r w:rsidRPr="000E350C">
              <w:rPr>
                <w:rFonts w:ascii="Arial" w:hAnsi="Arial" w:cs="Arial"/>
                <w:sz w:val="20"/>
                <w:szCs w:val="20"/>
              </w:rPr>
              <w:t>taisyk</w:t>
            </w:r>
            <w:r w:rsidR="00AD6A85" w:rsidRPr="000E350C">
              <w:rPr>
                <w:rFonts w:ascii="Arial" w:hAnsi="Arial" w:cs="Arial"/>
                <w:sz w:val="20"/>
                <w:szCs w:val="20"/>
              </w:rPr>
              <w:softHyphen/>
            </w:r>
            <w:r w:rsidRPr="000E350C">
              <w:rPr>
                <w:rFonts w:ascii="Arial" w:hAnsi="Arial" w:cs="Arial"/>
                <w:sz w:val="20"/>
                <w:szCs w:val="20"/>
              </w:rPr>
              <w:t xml:space="preserve">lėse. </w:t>
            </w:r>
            <w:r w:rsidR="00E07C70" w:rsidRPr="000E350C">
              <w:rPr>
                <w:rFonts w:ascii="Arial" w:hAnsi="Arial" w:cs="Arial"/>
                <w:sz w:val="20"/>
                <w:szCs w:val="20"/>
              </w:rPr>
              <w:t xml:space="preserve">Darbuotojams keliami tikslai turėtų būti objektyvūs ir aiškiai pamatuojami. </w:t>
            </w:r>
            <w:bookmarkStart w:id="5" w:name="_GoBack"/>
            <w:bookmarkEnd w:id="5"/>
            <w:r w:rsidRPr="00E07C70">
              <w:rPr>
                <w:rFonts w:ascii="Arial" w:hAnsi="Arial" w:cs="Arial"/>
                <w:sz w:val="20"/>
                <w:szCs w:val="20"/>
              </w:rPr>
              <w:t xml:space="preserve">Kintamoji dalis gali sudaryti 5–30 proc. nuo bazinės </w:t>
            </w:r>
            <w:r w:rsidR="002B2BBD" w:rsidRPr="00E07C70">
              <w:rPr>
                <w:rFonts w:ascii="Arial" w:hAnsi="Arial" w:cs="Arial"/>
                <w:sz w:val="20"/>
                <w:szCs w:val="20"/>
              </w:rPr>
              <w:t xml:space="preserve">darbuotojo </w:t>
            </w:r>
            <w:r w:rsidRPr="00E07C70">
              <w:rPr>
                <w:rFonts w:ascii="Arial" w:hAnsi="Arial" w:cs="Arial"/>
                <w:sz w:val="20"/>
                <w:szCs w:val="20"/>
              </w:rPr>
              <w:t>atly</w:t>
            </w:r>
            <w:r w:rsidR="00AD6A85" w:rsidRPr="00E07C70">
              <w:rPr>
                <w:rFonts w:ascii="Arial" w:hAnsi="Arial" w:cs="Arial"/>
                <w:sz w:val="20"/>
                <w:szCs w:val="20"/>
              </w:rPr>
              <w:softHyphen/>
            </w:r>
            <w:r w:rsidRPr="00E07C70">
              <w:rPr>
                <w:rFonts w:ascii="Arial" w:hAnsi="Arial" w:cs="Arial"/>
                <w:sz w:val="20"/>
                <w:szCs w:val="20"/>
              </w:rPr>
              <w:t>gi</w:t>
            </w:r>
            <w:r w:rsidR="00AD6A85" w:rsidRPr="00E07C70">
              <w:rPr>
                <w:rFonts w:ascii="Arial" w:hAnsi="Arial" w:cs="Arial"/>
                <w:sz w:val="20"/>
                <w:szCs w:val="20"/>
              </w:rPr>
              <w:softHyphen/>
            </w:r>
            <w:r w:rsidRPr="00E07C70">
              <w:rPr>
                <w:rFonts w:ascii="Arial" w:hAnsi="Arial" w:cs="Arial"/>
                <w:sz w:val="20"/>
                <w:szCs w:val="20"/>
              </w:rPr>
              <w:t>ni</w:t>
            </w:r>
            <w:r w:rsidR="00AD6A85" w:rsidRPr="00E07C70">
              <w:rPr>
                <w:rFonts w:ascii="Arial" w:hAnsi="Arial" w:cs="Arial"/>
                <w:sz w:val="20"/>
                <w:szCs w:val="20"/>
              </w:rPr>
              <w:softHyphen/>
            </w:r>
            <w:r w:rsidRPr="00E07C70">
              <w:rPr>
                <w:rFonts w:ascii="Arial" w:hAnsi="Arial" w:cs="Arial"/>
                <w:sz w:val="20"/>
                <w:szCs w:val="20"/>
              </w:rPr>
              <w:t>mo dalies</w:t>
            </w:r>
            <w:r w:rsidR="00AD6A85" w:rsidRPr="00E07C70">
              <w:rPr>
                <w:rFonts w:ascii="Arial" w:hAnsi="Arial" w:cs="Arial"/>
                <w:sz w:val="20"/>
                <w:szCs w:val="20"/>
              </w:rPr>
              <w:t xml:space="preserve">, mokamos pagal </w:t>
            </w:r>
            <w:r w:rsidRPr="00E07C70">
              <w:rPr>
                <w:rFonts w:ascii="Arial" w:hAnsi="Arial" w:cs="Arial"/>
                <w:sz w:val="20"/>
                <w:szCs w:val="20"/>
              </w:rPr>
              <w:t>Bendro</w:t>
            </w:r>
            <w:r w:rsidR="00AD6A85" w:rsidRPr="00E07C70">
              <w:rPr>
                <w:rFonts w:ascii="Arial" w:hAnsi="Arial" w:cs="Arial"/>
                <w:sz w:val="20"/>
                <w:szCs w:val="20"/>
              </w:rPr>
              <w:softHyphen/>
            </w:r>
            <w:r w:rsidRPr="00E07C70">
              <w:rPr>
                <w:rFonts w:ascii="Arial" w:hAnsi="Arial" w:cs="Arial"/>
                <w:sz w:val="20"/>
                <w:szCs w:val="20"/>
              </w:rPr>
              <w:t xml:space="preserve">vės arba Grupės atlygio </w:t>
            </w:r>
            <w:r w:rsidR="002B2BBD" w:rsidRPr="00E07C70">
              <w:rPr>
                <w:rFonts w:ascii="Arial" w:hAnsi="Arial" w:cs="Arial"/>
                <w:sz w:val="20"/>
                <w:szCs w:val="20"/>
              </w:rPr>
              <w:t xml:space="preserve">skyrimo </w:t>
            </w:r>
            <w:r w:rsidRPr="00E07C70">
              <w:rPr>
                <w:rFonts w:ascii="Arial" w:hAnsi="Arial" w:cs="Arial"/>
                <w:sz w:val="20"/>
                <w:szCs w:val="20"/>
              </w:rPr>
              <w:t>taisykl</w:t>
            </w:r>
            <w:r w:rsidR="00AD6A85" w:rsidRPr="00E07C70">
              <w:rPr>
                <w:rFonts w:ascii="Arial" w:hAnsi="Arial" w:cs="Arial"/>
                <w:sz w:val="20"/>
                <w:szCs w:val="20"/>
              </w:rPr>
              <w:t>es</w:t>
            </w:r>
            <w:r w:rsidRPr="00E07C70">
              <w:rPr>
                <w:rFonts w:ascii="Arial" w:hAnsi="Arial" w:cs="Arial"/>
                <w:sz w:val="20"/>
                <w:szCs w:val="20"/>
              </w:rPr>
              <w:t>;</w:t>
            </w:r>
          </w:p>
          <w:p w14:paraId="147915FD" w14:textId="77777777" w:rsidR="00096C33" w:rsidRPr="00096C33" w:rsidRDefault="00096C33" w:rsidP="00096C33">
            <w:pPr>
              <w:pStyle w:val="ListParagraph"/>
              <w:rPr>
                <w:rFonts w:ascii="Arial" w:hAnsi="Arial" w:cs="Arial"/>
                <w:sz w:val="20"/>
                <w:szCs w:val="20"/>
              </w:rPr>
            </w:pPr>
          </w:p>
          <w:p w14:paraId="583F6E58" w14:textId="77777777" w:rsidR="00096C33" w:rsidRPr="00E07C70" w:rsidRDefault="00096C33" w:rsidP="00E07C70">
            <w:pPr>
              <w:tabs>
                <w:tab w:val="left" w:pos="8647"/>
              </w:tabs>
              <w:jc w:val="both"/>
              <w:rPr>
                <w:rFonts w:ascii="Arial" w:hAnsi="Arial" w:cs="Arial"/>
                <w:sz w:val="20"/>
                <w:szCs w:val="20"/>
              </w:rPr>
            </w:pPr>
          </w:p>
          <w:p w14:paraId="1671E60F" w14:textId="5B386D3A" w:rsidR="009A0C7F" w:rsidRPr="009337B6" w:rsidRDefault="009A0C7F" w:rsidP="00EA3F6C">
            <w:pPr>
              <w:pStyle w:val="ListParagraph"/>
              <w:numPr>
                <w:ilvl w:val="0"/>
                <w:numId w:val="7"/>
              </w:numPr>
              <w:tabs>
                <w:tab w:val="left" w:pos="8647"/>
              </w:tabs>
              <w:jc w:val="both"/>
              <w:rPr>
                <w:rFonts w:ascii="Arial" w:hAnsi="Arial" w:cs="Arial"/>
                <w:sz w:val="20"/>
                <w:szCs w:val="20"/>
              </w:rPr>
            </w:pPr>
            <w:r>
              <w:rPr>
                <w:rFonts w:ascii="Arial" w:hAnsi="Arial" w:cs="Arial"/>
                <w:sz w:val="20"/>
                <w:szCs w:val="20"/>
              </w:rPr>
              <w:t>Metinis priedas – tai motyvuoti skirta užmokesčio dalis</w:t>
            </w:r>
            <w:r w:rsidRPr="009337B6">
              <w:rPr>
                <w:rFonts w:ascii="Arial" w:hAnsi="Arial" w:cs="Arial"/>
                <w:sz w:val="20"/>
                <w:szCs w:val="20"/>
              </w:rPr>
              <w:t xml:space="preserve">, </w:t>
            </w:r>
            <w:r>
              <w:rPr>
                <w:rFonts w:ascii="Arial" w:hAnsi="Arial" w:cs="Arial"/>
                <w:sz w:val="20"/>
                <w:szCs w:val="20"/>
              </w:rPr>
              <w:t>išmokama atsižvelgiant į šiuos aspektus</w:t>
            </w:r>
            <w:r w:rsidRPr="009337B6">
              <w:rPr>
                <w:rFonts w:ascii="Arial" w:hAnsi="Arial" w:cs="Arial"/>
                <w:sz w:val="20"/>
                <w:szCs w:val="20"/>
              </w:rPr>
              <w:t>:</w:t>
            </w:r>
          </w:p>
          <w:p w14:paraId="2A93784F" w14:textId="77777777" w:rsidR="009A0C7F" w:rsidRPr="009337B6" w:rsidRDefault="009A0C7F" w:rsidP="00EA3F6C">
            <w:pPr>
              <w:pStyle w:val="ListParagraph"/>
              <w:tabs>
                <w:tab w:val="left" w:pos="8647"/>
              </w:tabs>
              <w:jc w:val="both"/>
              <w:rPr>
                <w:rFonts w:ascii="Arial" w:hAnsi="Arial" w:cs="Arial"/>
                <w:sz w:val="20"/>
                <w:szCs w:val="20"/>
              </w:rPr>
            </w:pPr>
          </w:p>
          <w:p w14:paraId="767B44A4" w14:textId="26056155" w:rsidR="009A0C7F" w:rsidRDefault="009A0C7F" w:rsidP="00EA3F6C">
            <w:pPr>
              <w:pStyle w:val="ListParagraph"/>
              <w:numPr>
                <w:ilvl w:val="0"/>
                <w:numId w:val="3"/>
              </w:numPr>
              <w:tabs>
                <w:tab w:val="left" w:pos="8647"/>
              </w:tabs>
              <w:jc w:val="both"/>
              <w:rPr>
                <w:rFonts w:ascii="Arial" w:hAnsi="Arial" w:cs="Arial"/>
                <w:sz w:val="20"/>
                <w:szCs w:val="20"/>
              </w:rPr>
            </w:pPr>
            <w:r>
              <w:rPr>
                <w:rFonts w:ascii="Arial" w:hAnsi="Arial" w:cs="Arial"/>
                <w:sz w:val="20"/>
                <w:szCs w:val="20"/>
              </w:rPr>
              <w:t>įvykdyt</w:t>
            </w:r>
            <w:r w:rsidR="00AD6A85">
              <w:rPr>
                <w:rFonts w:ascii="Arial" w:hAnsi="Arial" w:cs="Arial"/>
                <w:sz w:val="20"/>
                <w:szCs w:val="20"/>
              </w:rPr>
              <w:t>us</w:t>
            </w:r>
            <w:r>
              <w:rPr>
                <w:rFonts w:ascii="Arial" w:hAnsi="Arial" w:cs="Arial"/>
                <w:sz w:val="20"/>
                <w:szCs w:val="20"/>
              </w:rPr>
              <w:t xml:space="preserve"> išskirtin</w:t>
            </w:r>
            <w:r w:rsidR="00AD6A85">
              <w:rPr>
                <w:rFonts w:ascii="Arial" w:hAnsi="Arial" w:cs="Arial"/>
                <w:sz w:val="20"/>
                <w:szCs w:val="20"/>
              </w:rPr>
              <w:t>ius</w:t>
            </w:r>
            <w:r>
              <w:rPr>
                <w:rFonts w:ascii="Arial" w:hAnsi="Arial" w:cs="Arial"/>
                <w:sz w:val="20"/>
                <w:szCs w:val="20"/>
              </w:rPr>
              <w:t xml:space="preserve"> asmenini</w:t>
            </w:r>
            <w:r w:rsidR="00AD6A85">
              <w:rPr>
                <w:rFonts w:ascii="Arial" w:hAnsi="Arial" w:cs="Arial"/>
                <w:sz w:val="20"/>
                <w:szCs w:val="20"/>
              </w:rPr>
              <w:t>us</w:t>
            </w:r>
            <w:r>
              <w:rPr>
                <w:rFonts w:ascii="Arial" w:hAnsi="Arial" w:cs="Arial"/>
                <w:sz w:val="20"/>
                <w:szCs w:val="20"/>
              </w:rPr>
              <w:t xml:space="preserve"> darbuotojui iškelt</w:t>
            </w:r>
            <w:r w:rsidR="00AD6A85">
              <w:rPr>
                <w:rFonts w:ascii="Arial" w:hAnsi="Arial" w:cs="Arial"/>
                <w:sz w:val="20"/>
                <w:szCs w:val="20"/>
              </w:rPr>
              <w:t>us</w:t>
            </w:r>
            <w:r>
              <w:rPr>
                <w:rFonts w:ascii="Arial" w:hAnsi="Arial" w:cs="Arial"/>
                <w:sz w:val="20"/>
                <w:szCs w:val="20"/>
              </w:rPr>
              <w:t xml:space="preserve"> uždavini</w:t>
            </w:r>
            <w:r w:rsidR="00AD6A85">
              <w:rPr>
                <w:rFonts w:ascii="Arial" w:hAnsi="Arial" w:cs="Arial"/>
                <w:sz w:val="20"/>
                <w:szCs w:val="20"/>
              </w:rPr>
              <w:t>us</w:t>
            </w:r>
            <w:r w:rsidRPr="009337B6">
              <w:rPr>
                <w:rFonts w:ascii="Arial" w:hAnsi="Arial" w:cs="Arial"/>
                <w:sz w:val="20"/>
                <w:szCs w:val="20"/>
              </w:rPr>
              <w:t>;</w:t>
            </w:r>
          </w:p>
          <w:p w14:paraId="3773BB5E" w14:textId="77777777" w:rsidR="00096C33" w:rsidRPr="009337B6" w:rsidRDefault="00096C33" w:rsidP="00096C33">
            <w:pPr>
              <w:pStyle w:val="ListParagraph"/>
              <w:tabs>
                <w:tab w:val="left" w:pos="8647"/>
              </w:tabs>
              <w:ind w:left="1282"/>
              <w:jc w:val="both"/>
              <w:rPr>
                <w:rFonts w:ascii="Arial" w:hAnsi="Arial" w:cs="Arial"/>
                <w:sz w:val="20"/>
                <w:szCs w:val="20"/>
              </w:rPr>
            </w:pPr>
          </w:p>
          <w:p w14:paraId="72052E87" w14:textId="512D4A8B" w:rsidR="009A0C7F" w:rsidRPr="009337B6" w:rsidRDefault="009A0C7F" w:rsidP="00EA3F6C">
            <w:pPr>
              <w:pStyle w:val="ListParagraph"/>
              <w:numPr>
                <w:ilvl w:val="0"/>
                <w:numId w:val="3"/>
              </w:numPr>
              <w:tabs>
                <w:tab w:val="left" w:pos="8647"/>
              </w:tabs>
              <w:jc w:val="both"/>
              <w:rPr>
                <w:rFonts w:ascii="Arial" w:hAnsi="Arial" w:cs="Arial"/>
                <w:sz w:val="20"/>
                <w:szCs w:val="20"/>
              </w:rPr>
            </w:pPr>
            <w:r>
              <w:rPr>
                <w:rFonts w:ascii="Arial" w:hAnsi="Arial" w:cs="Arial"/>
                <w:sz w:val="20"/>
                <w:szCs w:val="20"/>
              </w:rPr>
              <w:t>aukšt</w:t>
            </w:r>
            <w:r w:rsidR="00AD6A85">
              <w:rPr>
                <w:rFonts w:ascii="Arial" w:hAnsi="Arial" w:cs="Arial"/>
                <w:sz w:val="20"/>
                <w:szCs w:val="20"/>
              </w:rPr>
              <w:t>us</w:t>
            </w:r>
            <w:r>
              <w:rPr>
                <w:rFonts w:ascii="Arial" w:hAnsi="Arial" w:cs="Arial"/>
                <w:sz w:val="20"/>
                <w:szCs w:val="20"/>
              </w:rPr>
              <w:t xml:space="preserve"> atskirų darbuotojų rezultat</w:t>
            </w:r>
            <w:r w:rsidR="00AD6A85">
              <w:rPr>
                <w:rFonts w:ascii="Arial" w:hAnsi="Arial" w:cs="Arial"/>
                <w:sz w:val="20"/>
                <w:szCs w:val="20"/>
              </w:rPr>
              <w:t>us</w:t>
            </w:r>
            <w:r w:rsidRPr="009337B6">
              <w:rPr>
                <w:rFonts w:ascii="Arial" w:hAnsi="Arial" w:cs="Arial"/>
                <w:sz w:val="20"/>
                <w:szCs w:val="20"/>
              </w:rPr>
              <w:t>;</w:t>
            </w:r>
          </w:p>
          <w:p w14:paraId="4BD6E10F" w14:textId="4A8F41BA" w:rsidR="009A0C7F" w:rsidRPr="009337B6" w:rsidRDefault="009A0C7F" w:rsidP="00EA3F6C">
            <w:pPr>
              <w:pStyle w:val="ListParagraph"/>
              <w:numPr>
                <w:ilvl w:val="0"/>
                <w:numId w:val="3"/>
              </w:numPr>
              <w:tabs>
                <w:tab w:val="left" w:pos="8647"/>
              </w:tabs>
              <w:jc w:val="both"/>
              <w:rPr>
                <w:rFonts w:ascii="Arial" w:hAnsi="Arial" w:cs="Arial"/>
                <w:sz w:val="20"/>
                <w:szCs w:val="20"/>
              </w:rPr>
            </w:pPr>
            <w:r>
              <w:rPr>
                <w:rFonts w:ascii="Arial" w:hAnsi="Arial" w:cs="Arial"/>
                <w:sz w:val="20"/>
                <w:szCs w:val="20"/>
              </w:rPr>
              <w:t>pasiekt</w:t>
            </w:r>
            <w:r w:rsidR="00AD6A85">
              <w:rPr>
                <w:rFonts w:ascii="Arial" w:hAnsi="Arial" w:cs="Arial"/>
                <w:sz w:val="20"/>
                <w:szCs w:val="20"/>
              </w:rPr>
              <w:t>us</w:t>
            </w:r>
            <w:r>
              <w:rPr>
                <w:rFonts w:ascii="Arial" w:hAnsi="Arial" w:cs="Arial"/>
                <w:sz w:val="20"/>
                <w:szCs w:val="20"/>
              </w:rPr>
              <w:t xml:space="preserve"> konkrečių metų Bendrovės uždavini</w:t>
            </w:r>
            <w:r w:rsidR="00AD6A85">
              <w:rPr>
                <w:rFonts w:ascii="Arial" w:hAnsi="Arial" w:cs="Arial"/>
                <w:sz w:val="20"/>
                <w:szCs w:val="20"/>
              </w:rPr>
              <w:t>us</w:t>
            </w:r>
            <w:r>
              <w:rPr>
                <w:rFonts w:ascii="Arial" w:hAnsi="Arial" w:cs="Arial"/>
                <w:sz w:val="20"/>
                <w:szCs w:val="20"/>
              </w:rPr>
              <w:t xml:space="preserve"> </w:t>
            </w:r>
            <w:r w:rsidRPr="009337B6">
              <w:rPr>
                <w:rFonts w:ascii="Arial" w:hAnsi="Arial" w:cs="Arial"/>
                <w:sz w:val="20"/>
                <w:szCs w:val="20"/>
              </w:rPr>
              <w:t>(</w:t>
            </w:r>
            <w:r>
              <w:rPr>
                <w:rFonts w:ascii="Arial" w:hAnsi="Arial" w:cs="Arial"/>
                <w:sz w:val="20"/>
                <w:szCs w:val="20"/>
              </w:rPr>
              <w:t>„atlygis už bendrą sėkmę“</w:t>
            </w:r>
            <w:r w:rsidRPr="009337B6">
              <w:rPr>
                <w:rFonts w:ascii="Arial" w:hAnsi="Arial" w:cs="Arial"/>
                <w:sz w:val="20"/>
                <w:szCs w:val="20"/>
              </w:rPr>
              <w:t>).</w:t>
            </w:r>
          </w:p>
          <w:p w14:paraId="0D84EB92" w14:textId="77777777" w:rsidR="009A0C7F" w:rsidRPr="009337B6" w:rsidRDefault="009A0C7F" w:rsidP="00EA3F6C">
            <w:pPr>
              <w:tabs>
                <w:tab w:val="left" w:pos="8647"/>
              </w:tabs>
              <w:jc w:val="both"/>
              <w:rPr>
                <w:rFonts w:ascii="Arial" w:hAnsi="Arial" w:cs="Arial"/>
                <w:sz w:val="20"/>
                <w:szCs w:val="20"/>
              </w:rPr>
            </w:pPr>
          </w:p>
          <w:p w14:paraId="3F4E01D4" w14:textId="10BF7128" w:rsidR="009A0C7F" w:rsidRDefault="009A0C7F" w:rsidP="00EA3F6C">
            <w:pPr>
              <w:tabs>
                <w:tab w:val="left" w:pos="8647"/>
              </w:tabs>
              <w:jc w:val="both"/>
              <w:rPr>
                <w:rFonts w:ascii="Arial" w:hAnsi="Arial" w:cs="Arial"/>
                <w:sz w:val="20"/>
                <w:szCs w:val="20"/>
              </w:rPr>
            </w:pPr>
            <w:r>
              <w:rPr>
                <w:rFonts w:ascii="Arial" w:hAnsi="Arial" w:cs="Arial"/>
                <w:sz w:val="20"/>
                <w:szCs w:val="20"/>
              </w:rPr>
              <w:t>Visų darbuotojų atlyginimai peržiūrimi kartą per metus</w:t>
            </w:r>
            <w:r w:rsidRPr="009337B6">
              <w:rPr>
                <w:rFonts w:ascii="Arial" w:hAnsi="Arial" w:cs="Arial"/>
                <w:sz w:val="20"/>
                <w:szCs w:val="20"/>
              </w:rPr>
              <w:t xml:space="preserve">, </w:t>
            </w:r>
            <w:r w:rsidR="00AD6A85">
              <w:rPr>
                <w:rFonts w:ascii="Arial" w:hAnsi="Arial" w:cs="Arial"/>
                <w:sz w:val="20"/>
                <w:szCs w:val="20"/>
              </w:rPr>
              <w:t xml:space="preserve">kai vyksta metiniai pokalbiai su </w:t>
            </w:r>
            <w:r w:rsidR="00096C33">
              <w:rPr>
                <w:rFonts w:ascii="Arial" w:hAnsi="Arial" w:cs="Arial"/>
                <w:sz w:val="20"/>
                <w:szCs w:val="20"/>
              </w:rPr>
              <w:t>vadovu.</w:t>
            </w:r>
          </w:p>
          <w:p w14:paraId="1B64BF16" w14:textId="77777777" w:rsidR="00096C33" w:rsidRPr="009337B6" w:rsidRDefault="00096C33" w:rsidP="00EA3F6C">
            <w:pPr>
              <w:tabs>
                <w:tab w:val="left" w:pos="8647"/>
              </w:tabs>
              <w:jc w:val="both"/>
              <w:rPr>
                <w:rFonts w:ascii="Arial" w:hAnsi="Arial" w:cs="Arial"/>
                <w:sz w:val="20"/>
                <w:szCs w:val="20"/>
              </w:rPr>
            </w:pPr>
          </w:p>
          <w:p w14:paraId="2EA8E7ED" w14:textId="2A1DF58E" w:rsidR="009A0C7F" w:rsidRDefault="009A0C7F" w:rsidP="00EA3F6C">
            <w:pPr>
              <w:tabs>
                <w:tab w:val="left" w:pos="8647"/>
              </w:tabs>
              <w:jc w:val="both"/>
              <w:rPr>
                <w:rFonts w:ascii="Arial" w:hAnsi="Arial" w:cs="Arial"/>
                <w:sz w:val="20"/>
                <w:szCs w:val="20"/>
              </w:rPr>
            </w:pPr>
            <w:r>
              <w:rPr>
                <w:rFonts w:ascii="Arial" w:hAnsi="Arial" w:cs="Arial"/>
                <w:sz w:val="20"/>
                <w:szCs w:val="20"/>
              </w:rPr>
              <w:t xml:space="preserve">Aukščiausių vadovų motyvacijos sistema priklauso nuo Grupės </w:t>
            </w:r>
            <w:r w:rsidRPr="009337B6">
              <w:rPr>
                <w:rFonts w:ascii="Arial" w:hAnsi="Arial" w:cs="Arial"/>
                <w:sz w:val="20"/>
                <w:szCs w:val="20"/>
              </w:rPr>
              <w:t xml:space="preserve">EBITDA </w:t>
            </w:r>
            <w:r>
              <w:rPr>
                <w:rFonts w:ascii="Arial" w:hAnsi="Arial" w:cs="Arial"/>
                <w:sz w:val="20"/>
                <w:szCs w:val="20"/>
              </w:rPr>
              <w:t>tikslo</w:t>
            </w:r>
            <w:r w:rsidR="00AD6A85">
              <w:rPr>
                <w:rFonts w:ascii="Arial" w:hAnsi="Arial" w:cs="Arial"/>
                <w:sz w:val="20"/>
                <w:szCs w:val="20"/>
              </w:rPr>
              <w:t xml:space="preserve">, pasiektų </w:t>
            </w:r>
            <w:r>
              <w:rPr>
                <w:rFonts w:ascii="Arial" w:hAnsi="Arial" w:cs="Arial"/>
                <w:sz w:val="20"/>
                <w:szCs w:val="20"/>
              </w:rPr>
              <w:t xml:space="preserve">strateginių tikslų </w:t>
            </w:r>
            <w:r w:rsidR="00AD6A85">
              <w:rPr>
                <w:rFonts w:ascii="Arial" w:hAnsi="Arial" w:cs="Arial"/>
                <w:sz w:val="20"/>
                <w:szCs w:val="20"/>
              </w:rPr>
              <w:t xml:space="preserve">ir </w:t>
            </w:r>
            <w:r>
              <w:rPr>
                <w:rFonts w:ascii="Arial" w:hAnsi="Arial" w:cs="Arial"/>
                <w:sz w:val="20"/>
                <w:szCs w:val="20"/>
              </w:rPr>
              <w:t>asmeninių tikslų</w:t>
            </w:r>
            <w:r w:rsidRPr="009337B6">
              <w:rPr>
                <w:rFonts w:ascii="Arial" w:hAnsi="Arial" w:cs="Arial"/>
                <w:sz w:val="20"/>
                <w:szCs w:val="20"/>
              </w:rPr>
              <w:t>.</w:t>
            </w:r>
            <w:r w:rsidRPr="009337B6">
              <w:rPr>
                <w:rFonts w:ascii="Arial" w:hAnsi="Arial" w:cs="Arial"/>
                <w:color w:val="000000" w:themeColor="text1"/>
                <w:sz w:val="20"/>
                <w:szCs w:val="20"/>
              </w:rPr>
              <w:t xml:space="preserve"> </w:t>
            </w:r>
            <w:r>
              <w:rPr>
                <w:rFonts w:ascii="Arial" w:hAnsi="Arial" w:cs="Arial"/>
                <w:color w:val="000000" w:themeColor="text1"/>
                <w:sz w:val="20"/>
                <w:szCs w:val="20"/>
              </w:rPr>
              <w:t>Asmeninius tikslus</w:t>
            </w:r>
            <w:r w:rsidR="00AD6A85">
              <w:rPr>
                <w:rFonts w:ascii="Arial" w:hAnsi="Arial" w:cs="Arial"/>
                <w:color w:val="000000" w:themeColor="text1"/>
                <w:sz w:val="20"/>
                <w:szCs w:val="20"/>
              </w:rPr>
              <w:t xml:space="preserve">, taip pat </w:t>
            </w:r>
            <w:r>
              <w:rPr>
                <w:rFonts w:ascii="Arial" w:hAnsi="Arial" w:cs="Arial"/>
                <w:sz w:val="20"/>
                <w:szCs w:val="20"/>
              </w:rPr>
              <w:t>jų svor</w:t>
            </w:r>
            <w:r w:rsidR="00AD6A85">
              <w:rPr>
                <w:rFonts w:ascii="Arial" w:hAnsi="Arial" w:cs="Arial"/>
                <w:sz w:val="20"/>
                <w:szCs w:val="20"/>
              </w:rPr>
              <w:t>į</w:t>
            </w:r>
            <w:r>
              <w:rPr>
                <w:rFonts w:ascii="Arial" w:hAnsi="Arial" w:cs="Arial"/>
                <w:sz w:val="20"/>
                <w:szCs w:val="20"/>
              </w:rPr>
              <w:t xml:space="preserve"> vertinime kiekvienais metais </w:t>
            </w:r>
            <w:r w:rsidR="00AD6A85">
              <w:rPr>
                <w:rFonts w:ascii="Arial" w:hAnsi="Arial" w:cs="Arial"/>
                <w:sz w:val="20"/>
                <w:szCs w:val="20"/>
              </w:rPr>
              <w:t xml:space="preserve">nustato </w:t>
            </w:r>
            <w:r>
              <w:rPr>
                <w:rFonts w:ascii="Arial" w:hAnsi="Arial" w:cs="Arial"/>
                <w:sz w:val="20"/>
                <w:szCs w:val="20"/>
              </w:rPr>
              <w:t>Stebėtojų taryba</w:t>
            </w:r>
            <w:r w:rsidRPr="009337B6">
              <w:rPr>
                <w:rFonts w:ascii="Arial" w:hAnsi="Arial" w:cs="Arial"/>
                <w:sz w:val="20"/>
                <w:szCs w:val="20"/>
              </w:rPr>
              <w:t xml:space="preserve">. </w:t>
            </w:r>
            <w:r>
              <w:rPr>
                <w:rFonts w:ascii="Arial" w:hAnsi="Arial" w:cs="Arial"/>
                <w:sz w:val="20"/>
                <w:szCs w:val="20"/>
              </w:rPr>
              <w:t>Bendrovės Stebėtojų taryba</w:t>
            </w:r>
            <w:r w:rsidRPr="009337B6">
              <w:rPr>
                <w:rFonts w:ascii="Arial" w:hAnsi="Arial" w:cs="Arial"/>
                <w:sz w:val="20"/>
                <w:szCs w:val="20"/>
              </w:rPr>
              <w:t xml:space="preserve"> </w:t>
            </w:r>
            <w:r>
              <w:rPr>
                <w:rFonts w:ascii="Arial" w:hAnsi="Arial" w:cs="Arial"/>
                <w:sz w:val="20"/>
                <w:szCs w:val="20"/>
              </w:rPr>
              <w:lastRenderedPageBreak/>
              <w:t>sprendimą, kokią sumą sumokėti</w:t>
            </w:r>
            <w:r w:rsidR="00AD6A85">
              <w:rPr>
                <w:rFonts w:ascii="Arial" w:hAnsi="Arial" w:cs="Arial"/>
                <w:sz w:val="20"/>
                <w:szCs w:val="20"/>
              </w:rPr>
              <w:t>, priima</w:t>
            </w:r>
            <w:r>
              <w:rPr>
                <w:rFonts w:ascii="Arial" w:hAnsi="Arial" w:cs="Arial"/>
                <w:sz w:val="20"/>
                <w:szCs w:val="20"/>
              </w:rPr>
              <w:t xml:space="preserve"> po metinio </w:t>
            </w:r>
            <w:r w:rsidR="00096C33">
              <w:rPr>
                <w:rFonts w:ascii="Arial" w:hAnsi="Arial" w:cs="Arial"/>
                <w:sz w:val="20"/>
                <w:szCs w:val="20"/>
              </w:rPr>
              <w:t>susitikimo</w:t>
            </w:r>
            <w:r>
              <w:rPr>
                <w:rFonts w:ascii="Arial" w:hAnsi="Arial" w:cs="Arial"/>
                <w:sz w:val="20"/>
                <w:szCs w:val="20"/>
              </w:rPr>
              <w:t xml:space="preserve"> ir kiekvieno vadovo, kuriam buvo </w:t>
            </w:r>
            <w:r w:rsidR="00AD6A85">
              <w:rPr>
                <w:rFonts w:ascii="Arial" w:hAnsi="Arial" w:cs="Arial"/>
                <w:sz w:val="20"/>
                <w:szCs w:val="20"/>
              </w:rPr>
              <w:t xml:space="preserve">iškelti </w:t>
            </w:r>
            <w:r>
              <w:rPr>
                <w:rFonts w:ascii="Arial" w:hAnsi="Arial" w:cs="Arial"/>
                <w:sz w:val="20"/>
                <w:szCs w:val="20"/>
              </w:rPr>
              <w:t>asmeniniai tikslai, įvertinimo</w:t>
            </w:r>
            <w:r w:rsidRPr="009337B6">
              <w:rPr>
                <w:rFonts w:ascii="Arial" w:hAnsi="Arial" w:cs="Arial"/>
                <w:sz w:val="20"/>
                <w:szCs w:val="20"/>
              </w:rPr>
              <w:t>.</w:t>
            </w:r>
          </w:p>
          <w:p w14:paraId="5A62037A" w14:textId="77777777" w:rsidR="00096C33" w:rsidRPr="009337B6" w:rsidRDefault="00096C33" w:rsidP="00EA3F6C">
            <w:pPr>
              <w:tabs>
                <w:tab w:val="left" w:pos="8647"/>
              </w:tabs>
              <w:jc w:val="both"/>
              <w:rPr>
                <w:rFonts w:ascii="Arial" w:hAnsi="Arial" w:cs="Arial"/>
                <w:sz w:val="20"/>
                <w:szCs w:val="20"/>
              </w:rPr>
            </w:pPr>
          </w:p>
          <w:p w14:paraId="1918BC5C" w14:textId="77777777" w:rsidR="009A0C7F" w:rsidRDefault="009A0C7F" w:rsidP="00EA3F6C">
            <w:pPr>
              <w:tabs>
                <w:tab w:val="left" w:pos="8647"/>
              </w:tabs>
              <w:jc w:val="both"/>
              <w:rPr>
                <w:rFonts w:ascii="Arial" w:hAnsi="Arial" w:cs="Arial"/>
                <w:sz w:val="20"/>
                <w:szCs w:val="20"/>
              </w:rPr>
            </w:pPr>
            <w:r>
              <w:rPr>
                <w:rFonts w:ascii="Arial" w:hAnsi="Arial" w:cs="Arial"/>
                <w:sz w:val="20"/>
                <w:szCs w:val="20"/>
              </w:rPr>
              <w:t>Premija sumokama pinigais arba</w:t>
            </w:r>
            <w:r w:rsidR="00A27403">
              <w:rPr>
                <w:rFonts w:ascii="Arial" w:hAnsi="Arial" w:cs="Arial"/>
                <w:sz w:val="20"/>
                <w:szCs w:val="20"/>
              </w:rPr>
              <w:t xml:space="preserve">, </w:t>
            </w:r>
            <w:r w:rsidR="00096C33">
              <w:rPr>
                <w:rFonts w:ascii="Arial" w:hAnsi="Arial" w:cs="Arial"/>
                <w:sz w:val="20"/>
                <w:szCs w:val="20"/>
              </w:rPr>
              <w:t>kai ir jei taikoma</w:t>
            </w:r>
            <w:r w:rsidR="00A27403">
              <w:rPr>
                <w:rFonts w:ascii="Arial" w:hAnsi="Arial" w:cs="Arial"/>
                <w:sz w:val="20"/>
                <w:szCs w:val="20"/>
              </w:rPr>
              <w:t>,</w:t>
            </w:r>
            <w:r>
              <w:rPr>
                <w:rFonts w:ascii="Arial" w:hAnsi="Arial" w:cs="Arial"/>
                <w:sz w:val="20"/>
                <w:szCs w:val="20"/>
              </w:rPr>
              <w:t xml:space="preserve"> kaip įmoka į atitinkamo darbuotojo pasirinktą pensinį fondą</w:t>
            </w:r>
            <w:r w:rsidRPr="009337B6">
              <w:rPr>
                <w:rFonts w:ascii="Arial" w:hAnsi="Arial" w:cs="Arial"/>
                <w:sz w:val="20"/>
                <w:szCs w:val="20"/>
              </w:rPr>
              <w:t xml:space="preserve">. </w:t>
            </w:r>
          </w:p>
          <w:p w14:paraId="0DCAAA16" w14:textId="2DB52352" w:rsidR="00E07C70" w:rsidRPr="004B3959" w:rsidRDefault="00E07C70" w:rsidP="00EA3F6C">
            <w:pPr>
              <w:tabs>
                <w:tab w:val="left" w:pos="8647"/>
              </w:tabs>
              <w:jc w:val="both"/>
              <w:rPr>
                <w:rFonts w:ascii="Arial" w:hAnsi="Arial" w:cs="Arial"/>
                <w:sz w:val="20"/>
                <w:szCs w:val="20"/>
              </w:rPr>
            </w:pPr>
          </w:p>
        </w:tc>
      </w:tr>
      <w:tr w:rsidR="009A0C7F" w14:paraId="32F878A8" w14:textId="77777777" w:rsidTr="009A0C7F">
        <w:tc>
          <w:tcPr>
            <w:tcW w:w="4673" w:type="dxa"/>
          </w:tcPr>
          <w:p w14:paraId="40B8C0D4" w14:textId="112FC307"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lastRenderedPageBreak/>
              <w:t>Indirect financial benefits</w:t>
            </w:r>
          </w:p>
          <w:p w14:paraId="70599092" w14:textId="77777777" w:rsidR="009A0C7F" w:rsidRPr="00E85BF8" w:rsidRDefault="009A0C7F" w:rsidP="00EA3F6C">
            <w:pPr>
              <w:tabs>
                <w:tab w:val="left" w:pos="8647"/>
              </w:tabs>
              <w:jc w:val="both"/>
              <w:rPr>
                <w:rFonts w:ascii="Arial" w:hAnsi="Arial" w:cs="Arial"/>
                <w:b/>
                <w:bCs/>
                <w:sz w:val="20"/>
                <w:szCs w:val="20"/>
                <w:lang w:val="en-US"/>
              </w:rPr>
            </w:pPr>
          </w:p>
          <w:p w14:paraId="0ACA6274"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It is a benefit given to an employee that has financial </w:t>
            </w:r>
            <w:proofErr w:type="gramStart"/>
            <w:r w:rsidRPr="00E85BF8">
              <w:rPr>
                <w:rFonts w:ascii="Arial" w:hAnsi="Arial" w:cs="Arial"/>
                <w:sz w:val="20"/>
                <w:szCs w:val="20"/>
                <w:lang w:val="en-US"/>
              </w:rPr>
              <w:t>value, but</w:t>
            </w:r>
            <w:proofErr w:type="gramEnd"/>
            <w:r w:rsidRPr="00E85BF8">
              <w:rPr>
                <w:rFonts w:ascii="Arial" w:hAnsi="Arial" w:cs="Arial"/>
                <w:sz w:val="20"/>
                <w:szCs w:val="20"/>
                <w:lang w:val="en-US"/>
              </w:rPr>
              <w:t xml:space="preserve"> is not a direct monetary payment. It is referred to as a </w:t>
            </w:r>
            <w:proofErr w:type="gramStart"/>
            <w:r w:rsidRPr="00E85BF8">
              <w:rPr>
                <w:rFonts w:ascii="Arial" w:hAnsi="Arial" w:cs="Arial"/>
                <w:sz w:val="20"/>
                <w:szCs w:val="20"/>
                <w:lang w:val="en-US"/>
              </w:rPr>
              <w:t>non-cash benefits</w:t>
            </w:r>
            <w:proofErr w:type="gramEnd"/>
            <w:r w:rsidRPr="00E85BF8">
              <w:rPr>
                <w:rFonts w:ascii="Arial" w:hAnsi="Arial" w:cs="Arial"/>
                <w:sz w:val="20"/>
                <w:szCs w:val="20"/>
                <w:lang w:val="en-US"/>
              </w:rPr>
              <w:t xml:space="preserve">. The package of indirect financial benefits shall correspond to </w:t>
            </w:r>
            <w:proofErr w:type="gramStart"/>
            <w:r w:rsidRPr="00E85BF8">
              <w:rPr>
                <w:rFonts w:ascii="Arial" w:hAnsi="Arial" w:cs="Arial"/>
                <w:sz w:val="20"/>
                <w:szCs w:val="20"/>
                <w:lang w:val="en-US"/>
              </w:rPr>
              <w:t>Company‘</w:t>
            </w:r>
            <w:proofErr w:type="gramEnd"/>
            <w:r w:rsidRPr="00E85BF8">
              <w:rPr>
                <w:rFonts w:ascii="Arial" w:hAnsi="Arial" w:cs="Arial"/>
                <w:sz w:val="20"/>
                <w:szCs w:val="20"/>
                <w:lang w:val="en-US"/>
              </w:rPr>
              <w:t xml:space="preserve">s financial situation and strategy as well as to the principles of fairness, equality and transparency. </w:t>
            </w:r>
          </w:p>
          <w:p w14:paraId="7B5180C2" w14:textId="77777777" w:rsidR="009A0C7F" w:rsidRPr="00E85BF8" w:rsidRDefault="009A0C7F" w:rsidP="00EA3F6C">
            <w:pPr>
              <w:tabs>
                <w:tab w:val="left" w:pos="8647"/>
              </w:tabs>
              <w:jc w:val="both"/>
              <w:rPr>
                <w:rFonts w:ascii="Arial" w:hAnsi="Arial" w:cs="Arial"/>
                <w:b/>
                <w:bCs/>
                <w:color w:val="2F5496" w:themeColor="accent1" w:themeShade="BF"/>
                <w:sz w:val="24"/>
                <w:szCs w:val="24"/>
                <w:lang w:val="en-US"/>
              </w:rPr>
            </w:pPr>
          </w:p>
        </w:tc>
        <w:tc>
          <w:tcPr>
            <w:tcW w:w="4673" w:type="dxa"/>
          </w:tcPr>
          <w:p w14:paraId="54ADF3E8" w14:textId="2EC3C21B" w:rsidR="009A0C7F" w:rsidRPr="00DD4A8C"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Netiesiogin</w:t>
            </w:r>
            <w:r w:rsidR="00096C33">
              <w:rPr>
                <w:rFonts w:ascii="Arial" w:hAnsi="Arial" w:cs="Arial"/>
                <w:b/>
                <w:bCs/>
                <w:color w:val="2F5496" w:themeColor="accent1" w:themeShade="BF"/>
                <w:sz w:val="20"/>
                <w:szCs w:val="20"/>
              </w:rPr>
              <w:t>ės</w:t>
            </w:r>
            <w:r>
              <w:rPr>
                <w:rFonts w:ascii="Arial" w:hAnsi="Arial" w:cs="Arial"/>
                <w:b/>
                <w:bCs/>
                <w:color w:val="2F5496" w:themeColor="accent1" w:themeShade="BF"/>
                <w:sz w:val="20"/>
                <w:szCs w:val="20"/>
              </w:rPr>
              <w:t xml:space="preserve"> finansin</w:t>
            </w:r>
            <w:r w:rsidR="00096C33">
              <w:rPr>
                <w:rFonts w:ascii="Arial" w:hAnsi="Arial" w:cs="Arial"/>
                <w:b/>
                <w:bCs/>
                <w:color w:val="2F5496" w:themeColor="accent1" w:themeShade="BF"/>
                <w:sz w:val="20"/>
                <w:szCs w:val="20"/>
              </w:rPr>
              <w:t>ės</w:t>
            </w:r>
            <w:r>
              <w:rPr>
                <w:rFonts w:ascii="Arial" w:hAnsi="Arial" w:cs="Arial"/>
                <w:b/>
                <w:bCs/>
                <w:color w:val="2F5496" w:themeColor="accent1" w:themeShade="BF"/>
                <w:sz w:val="20"/>
                <w:szCs w:val="20"/>
              </w:rPr>
              <w:t xml:space="preserve"> </w:t>
            </w:r>
            <w:r w:rsidR="00096C33">
              <w:rPr>
                <w:rFonts w:ascii="Arial" w:hAnsi="Arial" w:cs="Arial"/>
                <w:b/>
                <w:bCs/>
                <w:color w:val="2F5496" w:themeColor="accent1" w:themeShade="BF"/>
                <w:sz w:val="20"/>
                <w:szCs w:val="20"/>
              </w:rPr>
              <w:t>naudos</w:t>
            </w:r>
          </w:p>
          <w:p w14:paraId="3072E8F1" w14:textId="77777777" w:rsidR="009A0C7F" w:rsidRPr="00DD4A8C" w:rsidRDefault="009A0C7F" w:rsidP="00EA3F6C">
            <w:pPr>
              <w:tabs>
                <w:tab w:val="left" w:pos="8647"/>
              </w:tabs>
              <w:jc w:val="both"/>
              <w:rPr>
                <w:rFonts w:ascii="Arial" w:hAnsi="Arial" w:cs="Arial"/>
                <w:b/>
                <w:bCs/>
                <w:sz w:val="20"/>
                <w:szCs w:val="20"/>
              </w:rPr>
            </w:pPr>
          </w:p>
          <w:p w14:paraId="1827F8C1" w14:textId="24E89601" w:rsidR="009A0C7F" w:rsidRPr="004B3959" w:rsidRDefault="009A0C7F" w:rsidP="00EA3F6C">
            <w:pPr>
              <w:tabs>
                <w:tab w:val="left" w:pos="8647"/>
              </w:tabs>
              <w:jc w:val="both"/>
              <w:rPr>
                <w:rFonts w:ascii="Arial" w:hAnsi="Arial" w:cs="Arial"/>
                <w:sz w:val="20"/>
                <w:szCs w:val="20"/>
              </w:rPr>
            </w:pPr>
            <w:r>
              <w:rPr>
                <w:rFonts w:ascii="Arial" w:hAnsi="Arial" w:cs="Arial"/>
                <w:sz w:val="20"/>
                <w:szCs w:val="20"/>
              </w:rPr>
              <w:t xml:space="preserve">Tai darbuotojui suteikiama finansinę vertę turinti </w:t>
            </w:r>
            <w:r w:rsidR="00E06DA1">
              <w:rPr>
                <w:rFonts w:ascii="Arial" w:hAnsi="Arial" w:cs="Arial"/>
                <w:sz w:val="20"/>
                <w:szCs w:val="20"/>
              </w:rPr>
              <w:t>nauda</w:t>
            </w:r>
            <w:r>
              <w:rPr>
                <w:rFonts w:ascii="Arial" w:hAnsi="Arial" w:cs="Arial"/>
                <w:sz w:val="20"/>
                <w:szCs w:val="20"/>
              </w:rPr>
              <w:t xml:space="preserve">, tačiau </w:t>
            </w:r>
            <w:r w:rsidR="004B3959">
              <w:rPr>
                <w:rFonts w:ascii="Arial" w:hAnsi="Arial" w:cs="Arial"/>
                <w:sz w:val="20"/>
                <w:szCs w:val="20"/>
              </w:rPr>
              <w:t>nesusij</w:t>
            </w:r>
            <w:r w:rsidR="00E06DA1">
              <w:rPr>
                <w:rFonts w:ascii="Arial" w:hAnsi="Arial" w:cs="Arial"/>
                <w:sz w:val="20"/>
                <w:szCs w:val="20"/>
              </w:rPr>
              <w:t>usi</w:t>
            </w:r>
            <w:r w:rsidR="004B3959">
              <w:rPr>
                <w:rFonts w:ascii="Arial" w:hAnsi="Arial" w:cs="Arial"/>
                <w:sz w:val="20"/>
                <w:szCs w:val="20"/>
              </w:rPr>
              <w:t xml:space="preserve"> su pinig</w:t>
            </w:r>
            <w:r w:rsidR="00E06DA1">
              <w:rPr>
                <w:rFonts w:ascii="Arial" w:hAnsi="Arial" w:cs="Arial"/>
                <w:sz w:val="20"/>
                <w:szCs w:val="20"/>
              </w:rPr>
              <w:t xml:space="preserve">iniais priedais, </w:t>
            </w:r>
            <w:proofErr w:type="spellStart"/>
            <w:r w:rsidR="00E06DA1">
              <w:rPr>
                <w:rFonts w:ascii="Arial" w:hAnsi="Arial" w:cs="Arial"/>
                <w:sz w:val="20"/>
                <w:szCs w:val="20"/>
              </w:rPr>
              <w:t>t.y</w:t>
            </w:r>
            <w:proofErr w:type="spellEnd"/>
            <w:r w:rsidR="00E06DA1">
              <w:rPr>
                <w:rFonts w:ascii="Arial" w:hAnsi="Arial" w:cs="Arial"/>
                <w:sz w:val="20"/>
                <w:szCs w:val="20"/>
              </w:rPr>
              <w:t xml:space="preserve">. </w:t>
            </w:r>
            <w:r>
              <w:rPr>
                <w:rFonts w:ascii="Arial" w:hAnsi="Arial" w:cs="Arial"/>
                <w:sz w:val="20"/>
                <w:szCs w:val="20"/>
              </w:rPr>
              <w:t>nepinigin</w:t>
            </w:r>
            <w:r w:rsidR="00E06DA1">
              <w:rPr>
                <w:rFonts w:ascii="Arial" w:hAnsi="Arial" w:cs="Arial"/>
                <w:sz w:val="20"/>
                <w:szCs w:val="20"/>
              </w:rPr>
              <w:t>ės</w:t>
            </w:r>
            <w:r w:rsidR="004B3959">
              <w:rPr>
                <w:rFonts w:ascii="Arial" w:hAnsi="Arial" w:cs="Arial"/>
                <w:sz w:val="20"/>
                <w:szCs w:val="20"/>
              </w:rPr>
              <w:t xml:space="preserve"> </w:t>
            </w:r>
            <w:r w:rsidR="00E06DA1">
              <w:rPr>
                <w:rFonts w:ascii="Arial" w:hAnsi="Arial" w:cs="Arial"/>
                <w:sz w:val="20"/>
                <w:szCs w:val="20"/>
              </w:rPr>
              <w:t>naudos</w:t>
            </w:r>
            <w:r w:rsidRPr="00DD4A8C">
              <w:rPr>
                <w:rFonts w:ascii="Arial" w:hAnsi="Arial" w:cs="Arial"/>
                <w:sz w:val="20"/>
                <w:szCs w:val="20"/>
              </w:rPr>
              <w:t xml:space="preserve">. </w:t>
            </w:r>
            <w:r>
              <w:rPr>
                <w:rFonts w:ascii="Arial" w:hAnsi="Arial" w:cs="Arial"/>
                <w:sz w:val="20"/>
                <w:szCs w:val="20"/>
              </w:rPr>
              <w:t xml:space="preserve">Netiesioginių finansinių </w:t>
            </w:r>
            <w:r w:rsidR="00E06DA1">
              <w:rPr>
                <w:rFonts w:ascii="Arial" w:hAnsi="Arial" w:cs="Arial"/>
                <w:sz w:val="20"/>
                <w:szCs w:val="20"/>
              </w:rPr>
              <w:t>naudų</w:t>
            </w:r>
            <w:r w:rsidR="004B3959">
              <w:rPr>
                <w:rFonts w:ascii="Arial" w:hAnsi="Arial" w:cs="Arial"/>
                <w:sz w:val="20"/>
                <w:szCs w:val="20"/>
              </w:rPr>
              <w:t xml:space="preserve"> </w:t>
            </w:r>
            <w:r>
              <w:rPr>
                <w:rFonts w:ascii="Arial" w:hAnsi="Arial" w:cs="Arial"/>
                <w:sz w:val="20"/>
                <w:szCs w:val="20"/>
              </w:rPr>
              <w:t xml:space="preserve">paketas </w:t>
            </w:r>
            <w:r w:rsidR="004B3959">
              <w:rPr>
                <w:rFonts w:ascii="Arial" w:hAnsi="Arial" w:cs="Arial"/>
                <w:sz w:val="20"/>
                <w:szCs w:val="20"/>
              </w:rPr>
              <w:t xml:space="preserve">parenkamas atsižvelgus į </w:t>
            </w:r>
            <w:r>
              <w:rPr>
                <w:rFonts w:ascii="Arial" w:hAnsi="Arial" w:cs="Arial"/>
                <w:sz w:val="20"/>
                <w:szCs w:val="20"/>
              </w:rPr>
              <w:t xml:space="preserve">Bendrovės finansinę </w:t>
            </w:r>
            <w:r w:rsidR="004B3959">
              <w:rPr>
                <w:rFonts w:ascii="Arial" w:hAnsi="Arial" w:cs="Arial"/>
                <w:sz w:val="20"/>
                <w:szCs w:val="20"/>
              </w:rPr>
              <w:t xml:space="preserve">padėtį </w:t>
            </w:r>
            <w:r>
              <w:rPr>
                <w:rFonts w:ascii="Arial" w:hAnsi="Arial" w:cs="Arial"/>
                <w:sz w:val="20"/>
                <w:szCs w:val="20"/>
              </w:rPr>
              <w:t>ir strategiją, taip pat teisingumo, lygybės ir skaidrumo principus</w:t>
            </w:r>
            <w:r w:rsidRPr="00DD4A8C">
              <w:rPr>
                <w:rFonts w:ascii="Arial" w:hAnsi="Arial" w:cs="Arial"/>
                <w:sz w:val="20"/>
                <w:szCs w:val="20"/>
              </w:rPr>
              <w:t>.</w:t>
            </w:r>
          </w:p>
        </w:tc>
      </w:tr>
      <w:tr w:rsidR="009A0C7F" w14:paraId="433FF6AE" w14:textId="77777777" w:rsidTr="009A0C7F">
        <w:tc>
          <w:tcPr>
            <w:tcW w:w="4673" w:type="dxa"/>
          </w:tcPr>
          <w:p w14:paraId="06B55B72" w14:textId="3FB0D3E1"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Severance payments</w:t>
            </w:r>
          </w:p>
          <w:p w14:paraId="7DBD3FEB"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7681CAED" w14:textId="7818F2BF"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In accordance with the national legal acts of the </w:t>
            </w:r>
            <w:r w:rsidR="00E27A9E">
              <w:rPr>
                <w:rFonts w:ascii="Arial" w:hAnsi="Arial" w:cs="Arial"/>
                <w:sz w:val="20"/>
                <w:szCs w:val="20"/>
                <w:lang w:val="en-US"/>
              </w:rPr>
              <w:t xml:space="preserve">respective </w:t>
            </w:r>
            <w:r w:rsidRPr="00E85BF8">
              <w:rPr>
                <w:rFonts w:ascii="Arial" w:hAnsi="Arial" w:cs="Arial"/>
                <w:sz w:val="20"/>
                <w:szCs w:val="20"/>
                <w:lang w:val="en-US"/>
              </w:rPr>
              <w:t xml:space="preserve">Company, employees might be entitled to severance payments upon termination of their employment (except for certain termination grounds, such as on </w:t>
            </w:r>
            <w:proofErr w:type="spellStart"/>
            <w:proofErr w:type="gramStart"/>
            <w:r w:rsidRPr="00E85BF8">
              <w:rPr>
                <w:rFonts w:ascii="Arial" w:hAnsi="Arial" w:cs="Arial"/>
                <w:sz w:val="20"/>
                <w:szCs w:val="20"/>
                <w:lang w:val="en-US"/>
              </w:rPr>
              <w:t>ones</w:t>
            </w:r>
            <w:proofErr w:type="spellEnd"/>
            <w:proofErr w:type="gramEnd"/>
            <w:r w:rsidRPr="00E85BF8">
              <w:rPr>
                <w:rFonts w:ascii="Arial" w:hAnsi="Arial" w:cs="Arial"/>
                <w:sz w:val="20"/>
                <w:szCs w:val="20"/>
                <w:lang w:val="en-US"/>
              </w:rPr>
              <w:t xml:space="preserve"> own will, due to the reasons attributable to the employees fault, etc.).</w:t>
            </w:r>
          </w:p>
          <w:p w14:paraId="138BC65D" w14:textId="77777777" w:rsidR="009A0C7F" w:rsidRPr="00E85BF8" w:rsidRDefault="009A0C7F" w:rsidP="00EA3F6C">
            <w:pPr>
              <w:tabs>
                <w:tab w:val="left" w:pos="8647"/>
              </w:tabs>
              <w:jc w:val="both"/>
              <w:rPr>
                <w:rFonts w:ascii="Arial" w:hAnsi="Arial" w:cs="Arial"/>
                <w:sz w:val="20"/>
                <w:szCs w:val="20"/>
                <w:lang w:val="en-US"/>
              </w:rPr>
            </w:pPr>
          </w:p>
          <w:p w14:paraId="6C52CDDF"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The remuneration paid to Board members, Supervisory Council and Committees members shall not be considered as wages, bonuses or other similar payments that could be linked to the official subordination of respective management body or would depend on the profit (loss) of the Company or Company‘s Group. The remuneration shall be paid only for the activity within the respective management body and no termination benefits are paid upon resignation or removal of the respective member of management body. </w:t>
            </w:r>
          </w:p>
          <w:p w14:paraId="1F652543" w14:textId="77777777" w:rsidR="009A0C7F" w:rsidRPr="00E85BF8" w:rsidRDefault="009A0C7F" w:rsidP="00EA3F6C">
            <w:pPr>
              <w:tabs>
                <w:tab w:val="left" w:pos="8647"/>
              </w:tabs>
              <w:jc w:val="both"/>
              <w:rPr>
                <w:rFonts w:ascii="Arial" w:hAnsi="Arial" w:cs="Arial"/>
                <w:b/>
                <w:bCs/>
                <w:sz w:val="20"/>
                <w:szCs w:val="20"/>
                <w:lang w:val="en-US"/>
              </w:rPr>
            </w:pPr>
          </w:p>
        </w:tc>
        <w:tc>
          <w:tcPr>
            <w:tcW w:w="4673" w:type="dxa"/>
          </w:tcPr>
          <w:p w14:paraId="385A6DA3" w14:textId="6461B210" w:rsidR="009A0C7F" w:rsidRPr="00DD4A8C"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Išeitinė</w:t>
            </w:r>
            <w:r w:rsidR="00E07C70">
              <w:rPr>
                <w:rFonts w:ascii="Arial" w:hAnsi="Arial" w:cs="Arial"/>
                <w:b/>
                <w:bCs/>
                <w:color w:val="2F5496" w:themeColor="accent1" w:themeShade="BF"/>
                <w:sz w:val="20"/>
                <w:szCs w:val="20"/>
              </w:rPr>
              <w:t>s</w:t>
            </w:r>
            <w:r>
              <w:rPr>
                <w:rFonts w:ascii="Arial" w:hAnsi="Arial" w:cs="Arial"/>
                <w:b/>
                <w:bCs/>
                <w:color w:val="2F5496" w:themeColor="accent1" w:themeShade="BF"/>
                <w:sz w:val="20"/>
                <w:szCs w:val="20"/>
              </w:rPr>
              <w:t xml:space="preserve"> išmok</w:t>
            </w:r>
            <w:r w:rsidR="00E07C70">
              <w:rPr>
                <w:rFonts w:ascii="Arial" w:hAnsi="Arial" w:cs="Arial"/>
                <w:b/>
                <w:bCs/>
                <w:color w:val="2F5496" w:themeColor="accent1" w:themeShade="BF"/>
                <w:sz w:val="20"/>
                <w:szCs w:val="20"/>
              </w:rPr>
              <w:t>os</w:t>
            </w:r>
          </w:p>
          <w:p w14:paraId="002CE78D" w14:textId="77777777" w:rsidR="009A0C7F" w:rsidRPr="00DD4A8C" w:rsidRDefault="009A0C7F" w:rsidP="00EA3F6C">
            <w:pPr>
              <w:tabs>
                <w:tab w:val="left" w:pos="8647"/>
              </w:tabs>
              <w:jc w:val="both"/>
              <w:rPr>
                <w:rFonts w:ascii="Arial" w:hAnsi="Arial" w:cs="Arial"/>
                <w:b/>
                <w:bCs/>
                <w:color w:val="2F5496" w:themeColor="accent1" w:themeShade="BF"/>
                <w:sz w:val="20"/>
                <w:szCs w:val="20"/>
              </w:rPr>
            </w:pPr>
          </w:p>
          <w:p w14:paraId="1E6E2AF0" w14:textId="02FC9BDE" w:rsidR="009A0C7F" w:rsidRPr="00DD4A8C" w:rsidRDefault="009A0C7F" w:rsidP="00EA3F6C">
            <w:pPr>
              <w:tabs>
                <w:tab w:val="left" w:pos="8647"/>
              </w:tabs>
              <w:jc w:val="both"/>
              <w:rPr>
                <w:rFonts w:ascii="Arial" w:hAnsi="Arial" w:cs="Arial"/>
                <w:sz w:val="20"/>
                <w:szCs w:val="20"/>
              </w:rPr>
            </w:pPr>
            <w:r>
              <w:rPr>
                <w:rFonts w:ascii="Arial" w:hAnsi="Arial" w:cs="Arial"/>
                <w:sz w:val="20"/>
                <w:szCs w:val="20"/>
              </w:rPr>
              <w:t xml:space="preserve">Pagal </w:t>
            </w:r>
            <w:r w:rsidR="00E27A9E">
              <w:rPr>
                <w:rFonts w:ascii="Arial" w:hAnsi="Arial" w:cs="Arial"/>
                <w:sz w:val="20"/>
                <w:szCs w:val="20"/>
              </w:rPr>
              <w:t xml:space="preserve">atitinkamos Bendrovės nacionalinius </w:t>
            </w:r>
            <w:r>
              <w:rPr>
                <w:rFonts w:ascii="Arial" w:hAnsi="Arial" w:cs="Arial"/>
                <w:sz w:val="20"/>
                <w:szCs w:val="20"/>
              </w:rPr>
              <w:t>teisės aktus</w:t>
            </w:r>
            <w:r w:rsidRPr="00DD4A8C">
              <w:rPr>
                <w:rFonts w:ascii="Arial" w:hAnsi="Arial" w:cs="Arial"/>
                <w:sz w:val="20"/>
                <w:szCs w:val="20"/>
              </w:rPr>
              <w:t xml:space="preserve">, </w:t>
            </w:r>
            <w:r>
              <w:rPr>
                <w:rFonts w:ascii="Arial" w:hAnsi="Arial" w:cs="Arial"/>
                <w:sz w:val="20"/>
                <w:szCs w:val="20"/>
              </w:rPr>
              <w:t xml:space="preserve">išeidami iš darbo darbuotojai gali turėti teisę </w:t>
            </w:r>
            <w:r w:rsidR="00E27A9E">
              <w:rPr>
                <w:rFonts w:ascii="Arial" w:hAnsi="Arial" w:cs="Arial"/>
                <w:sz w:val="20"/>
                <w:szCs w:val="20"/>
              </w:rPr>
              <w:t xml:space="preserve">į </w:t>
            </w:r>
            <w:r>
              <w:rPr>
                <w:rFonts w:ascii="Arial" w:hAnsi="Arial" w:cs="Arial"/>
                <w:sz w:val="20"/>
                <w:szCs w:val="20"/>
              </w:rPr>
              <w:t xml:space="preserve">išeitinę išmoką </w:t>
            </w:r>
            <w:r w:rsidRPr="00DD4A8C">
              <w:rPr>
                <w:rFonts w:ascii="Arial" w:hAnsi="Arial" w:cs="Arial"/>
                <w:sz w:val="20"/>
                <w:szCs w:val="20"/>
              </w:rPr>
              <w:t>(</w:t>
            </w:r>
            <w:r>
              <w:rPr>
                <w:rFonts w:ascii="Arial" w:hAnsi="Arial" w:cs="Arial"/>
                <w:sz w:val="20"/>
                <w:szCs w:val="20"/>
              </w:rPr>
              <w:t xml:space="preserve">išskyrus tuos atvejus, kai darbo sutartis nutraukiama </w:t>
            </w:r>
            <w:r w:rsidR="00E06DA1">
              <w:rPr>
                <w:rFonts w:ascii="Arial" w:hAnsi="Arial" w:cs="Arial"/>
                <w:sz w:val="20"/>
                <w:szCs w:val="20"/>
              </w:rPr>
              <w:t>esant tam tikriems pagrindams</w:t>
            </w:r>
            <w:r w:rsidRPr="00DD4A8C">
              <w:rPr>
                <w:rFonts w:ascii="Arial" w:hAnsi="Arial" w:cs="Arial"/>
                <w:sz w:val="20"/>
                <w:szCs w:val="20"/>
              </w:rPr>
              <w:t xml:space="preserve">, </w:t>
            </w:r>
            <w:r>
              <w:rPr>
                <w:rFonts w:ascii="Arial" w:hAnsi="Arial" w:cs="Arial"/>
                <w:sz w:val="20"/>
                <w:szCs w:val="20"/>
              </w:rPr>
              <w:t>pavyzdžiui, kai išeinama savo noru</w:t>
            </w:r>
            <w:r w:rsidRPr="00DD4A8C">
              <w:rPr>
                <w:rFonts w:ascii="Arial" w:hAnsi="Arial" w:cs="Arial"/>
                <w:sz w:val="20"/>
                <w:szCs w:val="20"/>
              </w:rPr>
              <w:t xml:space="preserve">, </w:t>
            </w:r>
            <w:r>
              <w:rPr>
                <w:rFonts w:ascii="Arial" w:hAnsi="Arial" w:cs="Arial"/>
                <w:sz w:val="20"/>
                <w:szCs w:val="20"/>
              </w:rPr>
              <w:t xml:space="preserve">darbuotojas atleidžiamas dėl </w:t>
            </w:r>
            <w:r w:rsidR="00E27A9E">
              <w:rPr>
                <w:rFonts w:ascii="Arial" w:hAnsi="Arial" w:cs="Arial"/>
                <w:sz w:val="20"/>
                <w:szCs w:val="20"/>
              </w:rPr>
              <w:t xml:space="preserve">su jo </w:t>
            </w:r>
            <w:r>
              <w:rPr>
                <w:rFonts w:ascii="Arial" w:hAnsi="Arial" w:cs="Arial"/>
                <w:sz w:val="20"/>
                <w:szCs w:val="20"/>
              </w:rPr>
              <w:t>kalt</w:t>
            </w:r>
            <w:r w:rsidR="00E27A9E">
              <w:rPr>
                <w:rFonts w:ascii="Arial" w:hAnsi="Arial" w:cs="Arial"/>
                <w:sz w:val="20"/>
                <w:szCs w:val="20"/>
              </w:rPr>
              <w:t>e susijusių priežasčių</w:t>
            </w:r>
            <w:r>
              <w:rPr>
                <w:rFonts w:ascii="Arial" w:hAnsi="Arial" w:cs="Arial"/>
                <w:sz w:val="20"/>
                <w:szCs w:val="20"/>
              </w:rPr>
              <w:t xml:space="preserve"> ir pan</w:t>
            </w:r>
            <w:r w:rsidRPr="00DD4A8C">
              <w:rPr>
                <w:rFonts w:ascii="Arial" w:hAnsi="Arial" w:cs="Arial"/>
                <w:sz w:val="20"/>
                <w:szCs w:val="20"/>
              </w:rPr>
              <w:t>.).</w:t>
            </w:r>
          </w:p>
          <w:p w14:paraId="2872AC3C" w14:textId="0568166F" w:rsidR="009A0C7F" w:rsidRPr="000D0309" w:rsidRDefault="009A0C7F" w:rsidP="00EA3F6C">
            <w:pPr>
              <w:tabs>
                <w:tab w:val="left" w:pos="8647"/>
              </w:tabs>
              <w:jc w:val="both"/>
              <w:rPr>
                <w:rFonts w:ascii="Arial" w:hAnsi="Arial" w:cs="Arial"/>
                <w:sz w:val="20"/>
                <w:szCs w:val="20"/>
              </w:rPr>
            </w:pPr>
            <w:r>
              <w:rPr>
                <w:rFonts w:ascii="Arial" w:hAnsi="Arial" w:cs="Arial"/>
                <w:sz w:val="20"/>
                <w:szCs w:val="20"/>
              </w:rPr>
              <w:t>Valdybos, Stebėtojų tarybos ir Komitetų nariams mokamas atlygis nelaikomas darbo užmokesčiu</w:t>
            </w:r>
            <w:r w:rsidRPr="00DD4A8C">
              <w:rPr>
                <w:rFonts w:ascii="Arial" w:hAnsi="Arial" w:cs="Arial"/>
                <w:sz w:val="20"/>
                <w:szCs w:val="20"/>
              </w:rPr>
              <w:t xml:space="preserve">, </w:t>
            </w:r>
            <w:r>
              <w:rPr>
                <w:rFonts w:ascii="Arial" w:hAnsi="Arial" w:cs="Arial"/>
                <w:sz w:val="20"/>
                <w:szCs w:val="20"/>
              </w:rPr>
              <w:t>premijomis ar kitais panašiais mokėjimais, kuriuos galima susieti su oficialiu atitinkamo valdymo organo pavaldumu arba kurie priklausytų nuo Bendrovės arba Bendrovės grupės pelno ar nuostolių</w:t>
            </w:r>
            <w:r w:rsidRPr="00DD4A8C">
              <w:rPr>
                <w:rFonts w:ascii="Arial" w:hAnsi="Arial" w:cs="Arial"/>
                <w:sz w:val="20"/>
                <w:szCs w:val="20"/>
              </w:rPr>
              <w:t xml:space="preserve">. </w:t>
            </w:r>
            <w:r>
              <w:rPr>
                <w:rFonts w:ascii="Arial" w:hAnsi="Arial" w:cs="Arial"/>
                <w:sz w:val="20"/>
                <w:szCs w:val="20"/>
              </w:rPr>
              <w:t xml:space="preserve">Atlygis mokamas tik už veiklą atitinkamame valdymo organe ir atitinkamam valdymo organo nariui atsistatydinus arba jį pašalinus išeitinės išmokos </w:t>
            </w:r>
            <w:r w:rsidR="00E06DA1">
              <w:rPr>
                <w:rFonts w:ascii="Arial" w:hAnsi="Arial" w:cs="Arial"/>
                <w:sz w:val="20"/>
                <w:szCs w:val="20"/>
              </w:rPr>
              <w:t xml:space="preserve">nėra </w:t>
            </w:r>
            <w:r>
              <w:rPr>
                <w:rFonts w:ascii="Arial" w:hAnsi="Arial" w:cs="Arial"/>
                <w:sz w:val="20"/>
                <w:szCs w:val="20"/>
              </w:rPr>
              <w:t>mokamos</w:t>
            </w:r>
            <w:r w:rsidRPr="00DD4A8C">
              <w:rPr>
                <w:rFonts w:ascii="Arial" w:hAnsi="Arial" w:cs="Arial"/>
                <w:sz w:val="20"/>
                <w:szCs w:val="20"/>
              </w:rPr>
              <w:t xml:space="preserve">. </w:t>
            </w:r>
          </w:p>
        </w:tc>
      </w:tr>
      <w:tr w:rsidR="009A0C7F" w14:paraId="373219E7" w14:textId="77777777" w:rsidTr="009A0C7F">
        <w:tc>
          <w:tcPr>
            <w:tcW w:w="4673" w:type="dxa"/>
          </w:tcPr>
          <w:p w14:paraId="07B22C90"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Long-term financial incentives </w:t>
            </w:r>
          </w:p>
          <w:p w14:paraId="130E6DE4" w14:textId="77777777" w:rsidR="009A0C7F" w:rsidRPr="00E85BF8" w:rsidRDefault="009A0C7F" w:rsidP="00EA3F6C">
            <w:pPr>
              <w:tabs>
                <w:tab w:val="left" w:pos="8647"/>
              </w:tabs>
              <w:jc w:val="both"/>
              <w:rPr>
                <w:rFonts w:ascii="Arial" w:hAnsi="Arial" w:cs="Arial"/>
                <w:b/>
                <w:bCs/>
                <w:sz w:val="20"/>
                <w:szCs w:val="20"/>
                <w:lang w:val="en-US"/>
              </w:rPr>
            </w:pPr>
          </w:p>
          <w:p w14:paraId="49141A6D" w14:textId="2B9A7EE0"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Share options</w:t>
            </w:r>
          </w:p>
          <w:p w14:paraId="61020FF2" w14:textId="77777777" w:rsidR="009A0C7F" w:rsidRPr="00E85BF8" w:rsidRDefault="009A0C7F" w:rsidP="00EA3F6C">
            <w:pPr>
              <w:tabs>
                <w:tab w:val="left" w:pos="8647"/>
              </w:tabs>
              <w:jc w:val="both"/>
              <w:rPr>
                <w:rFonts w:ascii="Arial" w:hAnsi="Arial" w:cs="Arial"/>
                <w:b/>
                <w:bCs/>
                <w:sz w:val="20"/>
                <w:szCs w:val="20"/>
                <w:lang w:val="en-US"/>
              </w:rPr>
            </w:pPr>
          </w:p>
          <w:p w14:paraId="23469D78"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Granting of shares to the management and employees of the Company</w:t>
            </w:r>
            <w:r w:rsidRPr="00E85BF8">
              <w:rPr>
                <w:rFonts w:ascii="Arial" w:eastAsia="Times New Roman" w:hAnsi="Arial" w:cs="Arial"/>
                <w:sz w:val="20"/>
                <w:szCs w:val="20"/>
                <w:lang w:val="en-US"/>
              </w:rPr>
              <w:t xml:space="preserve"> </w:t>
            </w:r>
            <w:r w:rsidRPr="00E85BF8">
              <w:rPr>
                <w:rFonts w:ascii="Arial" w:hAnsi="Arial" w:cs="Arial"/>
                <w:sz w:val="20"/>
                <w:szCs w:val="20"/>
                <w:lang w:val="en-US"/>
              </w:rPr>
              <w:t xml:space="preserve">is intended to advance the interests of the Company by providing certain employees of the Company with additional incentive to promote the success of the Company, to increase their proprietary interest in the Company, and to encourage them to remain in the Company's employ. </w:t>
            </w:r>
          </w:p>
          <w:p w14:paraId="6713BE36"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number of share options to be granted will be based on a fair value approach. The management and employees shall be entitled to granted shares provided the EBITDA targets are met.</w:t>
            </w:r>
          </w:p>
          <w:p w14:paraId="7B75119A"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 xml:space="preserve">All options granted shall be non-transferable and may be exercised only by the person to whom the option is granted. No option granted or any of the rights and privileges conferred shall be transferred, assigned, pledged, or hypothecated in any way (whether by operation of law or otherwise). </w:t>
            </w:r>
          </w:p>
          <w:p w14:paraId="5531480A" w14:textId="1066EB0B"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lastRenderedPageBreak/>
              <w:t>The Supervisory Council, taking into account the prevailing economic conditions, competitive situation, input of each employee into Company’s financial results, their period of employment in the Company and other circumstances (as the case may be), shall have the power to decide upon granting and distribution of the granted shares</w:t>
            </w:r>
            <w:r w:rsidR="00D63AC0">
              <w:rPr>
                <w:rFonts w:ascii="Arial" w:hAnsi="Arial" w:cs="Arial"/>
                <w:sz w:val="20"/>
                <w:szCs w:val="20"/>
                <w:lang w:val="en-US"/>
              </w:rPr>
              <w:t xml:space="preserve"> following the Regulation of Granting Shares</w:t>
            </w:r>
            <w:r w:rsidRPr="00E85BF8">
              <w:rPr>
                <w:rFonts w:ascii="Arial" w:hAnsi="Arial" w:cs="Arial"/>
                <w:sz w:val="20"/>
                <w:szCs w:val="20"/>
                <w:lang w:val="en-US"/>
              </w:rPr>
              <w:t>.</w:t>
            </w:r>
          </w:p>
          <w:p w14:paraId="5EA594A7"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Supervisory Council shall provide status report about granting of shares to annual Shareholders Meetings.</w:t>
            </w:r>
          </w:p>
          <w:p w14:paraId="7AD3A2EC"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tc>
        <w:tc>
          <w:tcPr>
            <w:tcW w:w="4673" w:type="dxa"/>
          </w:tcPr>
          <w:p w14:paraId="44D8E432" w14:textId="5453C0F6" w:rsidR="009A0C7F" w:rsidRPr="00DD4A8C"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lastRenderedPageBreak/>
              <w:t>Ilgalaikės finansinės skatin</w:t>
            </w:r>
            <w:r w:rsidR="00E06DA1">
              <w:rPr>
                <w:rFonts w:ascii="Arial" w:hAnsi="Arial" w:cs="Arial"/>
                <w:b/>
                <w:bCs/>
                <w:color w:val="2F5496" w:themeColor="accent1" w:themeShade="BF"/>
                <w:sz w:val="20"/>
                <w:szCs w:val="20"/>
              </w:rPr>
              <w:t>imo</w:t>
            </w:r>
            <w:r>
              <w:rPr>
                <w:rFonts w:ascii="Arial" w:hAnsi="Arial" w:cs="Arial"/>
                <w:b/>
                <w:bCs/>
                <w:color w:val="2F5496" w:themeColor="accent1" w:themeShade="BF"/>
                <w:sz w:val="20"/>
                <w:szCs w:val="20"/>
              </w:rPr>
              <w:t xml:space="preserve"> priemonės </w:t>
            </w:r>
          </w:p>
          <w:p w14:paraId="42DD7FFD" w14:textId="5CB450B0" w:rsidR="009A0C7F" w:rsidRDefault="009A0C7F" w:rsidP="00EA3F6C">
            <w:pPr>
              <w:tabs>
                <w:tab w:val="left" w:pos="8647"/>
              </w:tabs>
              <w:jc w:val="both"/>
              <w:rPr>
                <w:rFonts w:ascii="Arial" w:hAnsi="Arial" w:cs="Arial"/>
                <w:b/>
                <w:bCs/>
                <w:color w:val="2F5496" w:themeColor="accent1" w:themeShade="BF"/>
                <w:sz w:val="20"/>
                <w:szCs w:val="20"/>
              </w:rPr>
            </w:pPr>
          </w:p>
          <w:p w14:paraId="0C8866C7" w14:textId="1901EF5D" w:rsidR="003B792A" w:rsidRPr="00DD4A8C" w:rsidRDefault="003B792A"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Akcijų opcionai</w:t>
            </w:r>
          </w:p>
          <w:p w14:paraId="4683F3B6" w14:textId="77777777" w:rsidR="009A0C7F" w:rsidRPr="00DD4A8C" w:rsidRDefault="009A0C7F" w:rsidP="00EA3F6C">
            <w:pPr>
              <w:tabs>
                <w:tab w:val="left" w:pos="8647"/>
              </w:tabs>
              <w:jc w:val="both"/>
              <w:rPr>
                <w:rFonts w:ascii="Arial" w:hAnsi="Arial" w:cs="Arial"/>
                <w:b/>
                <w:bCs/>
                <w:sz w:val="20"/>
                <w:szCs w:val="20"/>
              </w:rPr>
            </w:pPr>
          </w:p>
          <w:p w14:paraId="4F296F0C" w14:textId="1B372C2A" w:rsidR="009A0C7F" w:rsidRDefault="00364F22" w:rsidP="00EA3F6C">
            <w:pPr>
              <w:tabs>
                <w:tab w:val="left" w:pos="8647"/>
              </w:tabs>
              <w:jc w:val="both"/>
              <w:rPr>
                <w:rFonts w:ascii="Arial" w:hAnsi="Arial" w:cs="Arial"/>
                <w:sz w:val="20"/>
                <w:szCs w:val="20"/>
              </w:rPr>
            </w:pPr>
            <w:r>
              <w:rPr>
                <w:rFonts w:ascii="Arial" w:hAnsi="Arial" w:cs="Arial"/>
                <w:sz w:val="20"/>
                <w:szCs w:val="20"/>
              </w:rPr>
              <w:t>S</w:t>
            </w:r>
            <w:r w:rsidR="00A52896">
              <w:rPr>
                <w:rFonts w:ascii="Arial" w:hAnsi="Arial" w:cs="Arial"/>
                <w:sz w:val="20"/>
                <w:szCs w:val="20"/>
              </w:rPr>
              <w:t xml:space="preserve">uteikiant </w:t>
            </w:r>
            <w:r w:rsidR="009A0C7F">
              <w:rPr>
                <w:rFonts w:ascii="Arial" w:hAnsi="Arial" w:cs="Arial"/>
                <w:sz w:val="20"/>
                <w:szCs w:val="20"/>
              </w:rPr>
              <w:t xml:space="preserve">akcijų </w:t>
            </w:r>
            <w:r>
              <w:rPr>
                <w:rFonts w:ascii="Arial" w:hAnsi="Arial" w:cs="Arial"/>
                <w:sz w:val="20"/>
                <w:szCs w:val="20"/>
              </w:rPr>
              <w:t xml:space="preserve">Bendrovės vadovams ir darbuotojams </w:t>
            </w:r>
            <w:r w:rsidR="009A0C7F">
              <w:rPr>
                <w:rFonts w:ascii="Arial" w:hAnsi="Arial" w:cs="Arial"/>
                <w:sz w:val="20"/>
                <w:szCs w:val="20"/>
              </w:rPr>
              <w:t xml:space="preserve">siekiama </w:t>
            </w:r>
            <w:r w:rsidR="0084135F" w:rsidRPr="0084135F">
              <w:rPr>
                <w:rFonts w:ascii="Arial" w:hAnsi="Arial" w:cs="Arial"/>
                <w:sz w:val="20"/>
                <w:szCs w:val="20"/>
              </w:rPr>
              <w:t>užtikrinti Bendrovės interesus, papildomomis priemonėmis skatinant tam tikrus Bendrovės darbuotojus prisidėti prie Bendrovės sėkmės, didinant darbuotojų finansinį, turtinį interesą bei skatinant ilgalaikį darbą Bendrovėje.</w:t>
            </w:r>
          </w:p>
          <w:p w14:paraId="2BD1DBF3" w14:textId="77777777" w:rsidR="00C70E61" w:rsidRPr="00DD4A8C" w:rsidRDefault="00C70E61" w:rsidP="00EA3F6C">
            <w:pPr>
              <w:tabs>
                <w:tab w:val="left" w:pos="8647"/>
              </w:tabs>
              <w:jc w:val="both"/>
              <w:rPr>
                <w:rFonts w:ascii="Arial" w:hAnsi="Arial" w:cs="Arial"/>
                <w:sz w:val="20"/>
                <w:szCs w:val="20"/>
              </w:rPr>
            </w:pPr>
          </w:p>
          <w:p w14:paraId="039608B6" w14:textId="0A4CDA61" w:rsidR="009A0C7F" w:rsidRDefault="009A0C7F" w:rsidP="00EA3F6C">
            <w:pPr>
              <w:tabs>
                <w:tab w:val="left" w:pos="8647"/>
              </w:tabs>
              <w:jc w:val="both"/>
              <w:rPr>
                <w:rFonts w:ascii="Arial" w:hAnsi="Arial" w:cs="Arial"/>
                <w:sz w:val="20"/>
                <w:szCs w:val="20"/>
              </w:rPr>
            </w:pPr>
            <w:r>
              <w:rPr>
                <w:rFonts w:ascii="Arial" w:hAnsi="Arial" w:cs="Arial"/>
                <w:sz w:val="20"/>
                <w:szCs w:val="20"/>
              </w:rPr>
              <w:t xml:space="preserve">Suteikiamų akcijų </w:t>
            </w:r>
            <w:r w:rsidR="00C41B4C">
              <w:rPr>
                <w:rFonts w:ascii="Arial" w:hAnsi="Arial" w:cs="Arial"/>
                <w:sz w:val="20"/>
                <w:szCs w:val="20"/>
              </w:rPr>
              <w:t>opcionų</w:t>
            </w:r>
            <w:r w:rsidR="00A96764">
              <w:rPr>
                <w:rFonts w:ascii="Arial" w:hAnsi="Arial" w:cs="Arial"/>
                <w:sz w:val="20"/>
                <w:szCs w:val="20"/>
              </w:rPr>
              <w:t xml:space="preserve"> kiekis grindžiamas </w:t>
            </w:r>
            <w:r>
              <w:rPr>
                <w:rFonts w:ascii="Arial" w:hAnsi="Arial" w:cs="Arial"/>
                <w:sz w:val="20"/>
                <w:szCs w:val="20"/>
              </w:rPr>
              <w:t>t</w:t>
            </w:r>
            <w:r w:rsidR="00A96764">
              <w:rPr>
                <w:rFonts w:ascii="Arial" w:hAnsi="Arial" w:cs="Arial"/>
                <w:sz w:val="20"/>
                <w:szCs w:val="20"/>
              </w:rPr>
              <w:t>ikrosios</w:t>
            </w:r>
            <w:r>
              <w:rPr>
                <w:rFonts w:ascii="Arial" w:hAnsi="Arial" w:cs="Arial"/>
                <w:sz w:val="20"/>
                <w:szCs w:val="20"/>
              </w:rPr>
              <w:t xml:space="preserve"> vertės </w:t>
            </w:r>
            <w:r w:rsidR="00F610F4">
              <w:rPr>
                <w:rFonts w:ascii="Arial" w:hAnsi="Arial" w:cs="Arial"/>
                <w:sz w:val="20"/>
                <w:szCs w:val="20"/>
              </w:rPr>
              <w:t>principu</w:t>
            </w:r>
            <w:r w:rsidRPr="00DD4A8C">
              <w:rPr>
                <w:rFonts w:ascii="Arial" w:hAnsi="Arial" w:cs="Arial"/>
                <w:sz w:val="20"/>
                <w:szCs w:val="20"/>
              </w:rPr>
              <w:t xml:space="preserve">. </w:t>
            </w:r>
            <w:r>
              <w:rPr>
                <w:rFonts w:ascii="Arial" w:hAnsi="Arial" w:cs="Arial"/>
                <w:sz w:val="20"/>
                <w:szCs w:val="20"/>
              </w:rPr>
              <w:t xml:space="preserve">Vadovai ir darbuotojai turi teisę gauti akcijų, jei pasiekiami </w:t>
            </w:r>
            <w:r w:rsidRPr="00DD4A8C">
              <w:rPr>
                <w:rFonts w:ascii="Arial" w:hAnsi="Arial" w:cs="Arial"/>
                <w:sz w:val="20"/>
                <w:szCs w:val="20"/>
              </w:rPr>
              <w:t xml:space="preserve">EBITDA </w:t>
            </w:r>
            <w:r>
              <w:rPr>
                <w:rFonts w:ascii="Arial" w:hAnsi="Arial" w:cs="Arial"/>
                <w:sz w:val="20"/>
                <w:szCs w:val="20"/>
              </w:rPr>
              <w:t>tikslai</w:t>
            </w:r>
            <w:r w:rsidRPr="00DD4A8C">
              <w:rPr>
                <w:rFonts w:ascii="Arial" w:hAnsi="Arial" w:cs="Arial"/>
                <w:sz w:val="20"/>
                <w:szCs w:val="20"/>
              </w:rPr>
              <w:t>.</w:t>
            </w:r>
          </w:p>
          <w:p w14:paraId="41627B27" w14:textId="77777777" w:rsidR="00C41B4C" w:rsidRPr="00DD4A8C" w:rsidRDefault="00C41B4C" w:rsidP="00EA3F6C">
            <w:pPr>
              <w:tabs>
                <w:tab w:val="left" w:pos="8647"/>
              </w:tabs>
              <w:jc w:val="both"/>
              <w:rPr>
                <w:rFonts w:ascii="Arial" w:hAnsi="Arial" w:cs="Arial"/>
                <w:sz w:val="20"/>
                <w:szCs w:val="20"/>
              </w:rPr>
            </w:pPr>
          </w:p>
          <w:p w14:paraId="2DD8F06E" w14:textId="7CF29E2B" w:rsidR="009A0C7F" w:rsidRDefault="00F85991" w:rsidP="00EA3F6C">
            <w:pPr>
              <w:tabs>
                <w:tab w:val="left" w:pos="8647"/>
              </w:tabs>
              <w:jc w:val="both"/>
              <w:rPr>
                <w:rFonts w:ascii="Arial" w:hAnsi="Arial" w:cs="Arial"/>
                <w:sz w:val="20"/>
                <w:szCs w:val="20"/>
              </w:rPr>
            </w:pPr>
            <w:r>
              <w:rPr>
                <w:rFonts w:ascii="Arial" w:hAnsi="Arial" w:cs="Arial"/>
                <w:sz w:val="20"/>
                <w:szCs w:val="20"/>
              </w:rPr>
              <w:t>Vis</w:t>
            </w:r>
            <w:r w:rsidR="00C41B4C">
              <w:rPr>
                <w:rFonts w:ascii="Arial" w:hAnsi="Arial" w:cs="Arial"/>
                <w:sz w:val="20"/>
                <w:szCs w:val="20"/>
              </w:rPr>
              <w:t xml:space="preserve">i opcionai </w:t>
            </w:r>
            <w:r>
              <w:rPr>
                <w:rFonts w:ascii="Arial" w:hAnsi="Arial" w:cs="Arial"/>
                <w:sz w:val="20"/>
                <w:szCs w:val="20"/>
              </w:rPr>
              <w:t>yra neper</w:t>
            </w:r>
            <w:r w:rsidR="00DE08FF">
              <w:rPr>
                <w:rFonts w:ascii="Arial" w:hAnsi="Arial" w:cs="Arial"/>
                <w:sz w:val="20"/>
                <w:szCs w:val="20"/>
              </w:rPr>
              <w:softHyphen/>
            </w:r>
            <w:r>
              <w:rPr>
                <w:rFonts w:ascii="Arial" w:hAnsi="Arial" w:cs="Arial"/>
                <w:sz w:val="20"/>
                <w:szCs w:val="20"/>
              </w:rPr>
              <w:t>lei</w:t>
            </w:r>
            <w:r w:rsidR="00DE08FF">
              <w:rPr>
                <w:rFonts w:ascii="Arial" w:hAnsi="Arial" w:cs="Arial"/>
                <w:sz w:val="20"/>
                <w:szCs w:val="20"/>
              </w:rPr>
              <w:softHyphen/>
            </w:r>
            <w:r>
              <w:rPr>
                <w:rFonts w:ascii="Arial" w:hAnsi="Arial" w:cs="Arial"/>
                <w:sz w:val="20"/>
                <w:szCs w:val="20"/>
              </w:rPr>
              <w:t>džia</w:t>
            </w:r>
            <w:r w:rsidR="00DE08FF">
              <w:rPr>
                <w:rFonts w:ascii="Arial" w:hAnsi="Arial" w:cs="Arial"/>
                <w:sz w:val="20"/>
                <w:szCs w:val="20"/>
              </w:rPr>
              <w:softHyphen/>
            </w:r>
            <w:r>
              <w:rPr>
                <w:rFonts w:ascii="Arial" w:hAnsi="Arial" w:cs="Arial"/>
                <w:sz w:val="20"/>
                <w:szCs w:val="20"/>
              </w:rPr>
              <w:t>m</w:t>
            </w:r>
            <w:r w:rsidR="00C41B4C">
              <w:rPr>
                <w:rFonts w:ascii="Arial" w:hAnsi="Arial" w:cs="Arial"/>
                <w:sz w:val="20"/>
                <w:szCs w:val="20"/>
              </w:rPr>
              <w:t>i</w:t>
            </w:r>
            <w:r>
              <w:rPr>
                <w:rFonts w:ascii="Arial" w:hAnsi="Arial" w:cs="Arial"/>
                <w:sz w:val="20"/>
                <w:szCs w:val="20"/>
              </w:rPr>
              <w:t>,</w:t>
            </w:r>
            <w:r w:rsidR="009A0C7F">
              <w:rPr>
                <w:rFonts w:ascii="Arial" w:hAnsi="Arial" w:cs="Arial"/>
                <w:sz w:val="20"/>
                <w:szCs w:val="20"/>
              </w:rPr>
              <w:t xml:space="preserve"> </w:t>
            </w:r>
            <w:r>
              <w:rPr>
                <w:rFonts w:ascii="Arial" w:hAnsi="Arial" w:cs="Arial"/>
                <w:sz w:val="20"/>
                <w:szCs w:val="20"/>
              </w:rPr>
              <w:t>j</w:t>
            </w:r>
            <w:r w:rsidR="00C41B4C">
              <w:rPr>
                <w:rFonts w:ascii="Arial" w:hAnsi="Arial" w:cs="Arial"/>
                <w:sz w:val="20"/>
                <w:szCs w:val="20"/>
              </w:rPr>
              <w:t>ais</w:t>
            </w:r>
            <w:r>
              <w:rPr>
                <w:rFonts w:ascii="Arial" w:hAnsi="Arial" w:cs="Arial"/>
                <w:sz w:val="20"/>
                <w:szCs w:val="20"/>
              </w:rPr>
              <w:t xml:space="preserve"> </w:t>
            </w:r>
            <w:r w:rsidR="009A0C7F">
              <w:rPr>
                <w:rFonts w:ascii="Arial" w:hAnsi="Arial" w:cs="Arial"/>
                <w:sz w:val="20"/>
                <w:szCs w:val="20"/>
              </w:rPr>
              <w:t>gali naudoti</w:t>
            </w:r>
            <w:r w:rsidR="00832CE4">
              <w:rPr>
                <w:rFonts w:ascii="Arial" w:hAnsi="Arial" w:cs="Arial"/>
                <w:sz w:val="20"/>
                <w:szCs w:val="20"/>
              </w:rPr>
              <w:t>s</w:t>
            </w:r>
            <w:r w:rsidR="009A0C7F">
              <w:rPr>
                <w:rFonts w:ascii="Arial" w:hAnsi="Arial" w:cs="Arial"/>
                <w:sz w:val="20"/>
                <w:szCs w:val="20"/>
              </w:rPr>
              <w:t xml:space="preserve"> tik tas asmuo, kuriam suteikta</w:t>
            </w:r>
            <w:r w:rsidR="00C41B4C">
              <w:rPr>
                <w:rFonts w:ascii="Arial" w:hAnsi="Arial" w:cs="Arial"/>
                <w:sz w:val="20"/>
                <w:szCs w:val="20"/>
              </w:rPr>
              <w:t>s</w:t>
            </w:r>
            <w:r w:rsidR="009A0C7F">
              <w:rPr>
                <w:rFonts w:ascii="Arial" w:hAnsi="Arial" w:cs="Arial"/>
                <w:sz w:val="20"/>
                <w:szCs w:val="20"/>
              </w:rPr>
              <w:t xml:space="preserve"> </w:t>
            </w:r>
            <w:r w:rsidR="00C41B4C">
              <w:rPr>
                <w:rFonts w:ascii="Arial" w:hAnsi="Arial" w:cs="Arial"/>
                <w:sz w:val="20"/>
                <w:szCs w:val="20"/>
              </w:rPr>
              <w:t>opcionas</w:t>
            </w:r>
            <w:r w:rsidR="009A0C7F" w:rsidRPr="00DD4A8C">
              <w:rPr>
                <w:rFonts w:ascii="Arial" w:hAnsi="Arial" w:cs="Arial"/>
                <w:sz w:val="20"/>
                <w:szCs w:val="20"/>
              </w:rPr>
              <w:t xml:space="preserve">. </w:t>
            </w:r>
            <w:r w:rsidR="00A96764">
              <w:rPr>
                <w:rFonts w:ascii="Arial" w:hAnsi="Arial" w:cs="Arial"/>
                <w:sz w:val="20"/>
                <w:szCs w:val="20"/>
              </w:rPr>
              <w:t xml:space="preserve">Jokiais atvejais </w:t>
            </w:r>
            <w:r w:rsidR="00C41B4C">
              <w:rPr>
                <w:rFonts w:ascii="Arial" w:hAnsi="Arial" w:cs="Arial"/>
                <w:sz w:val="20"/>
                <w:szCs w:val="20"/>
              </w:rPr>
              <w:t>opcionai</w:t>
            </w:r>
            <w:r w:rsidR="00DE08FF">
              <w:rPr>
                <w:rFonts w:ascii="Arial" w:hAnsi="Arial" w:cs="Arial"/>
                <w:sz w:val="20"/>
                <w:szCs w:val="20"/>
              </w:rPr>
              <w:t xml:space="preserve"> </w:t>
            </w:r>
            <w:r w:rsidR="0053274E">
              <w:rPr>
                <w:rFonts w:ascii="Arial" w:hAnsi="Arial" w:cs="Arial"/>
                <w:sz w:val="20"/>
                <w:szCs w:val="20"/>
              </w:rPr>
              <w:t xml:space="preserve">ar </w:t>
            </w:r>
            <w:r w:rsidR="00A96764">
              <w:rPr>
                <w:rFonts w:ascii="Arial" w:hAnsi="Arial" w:cs="Arial"/>
                <w:sz w:val="20"/>
                <w:szCs w:val="20"/>
              </w:rPr>
              <w:t>su</w:t>
            </w:r>
            <w:r w:rsidR="00C41B4C">
              <w:rPr>
                <w:rFonts w:ascii="Arial" w:hAnsi="Arial" w:cs="Arial"/>
                <w:sz w:val="20"/>
                <w:szCs w:val="20"/>
              </w:rPr>
              <w:t xml:space="preserve"> jais</w:t>
            </w:r>
            <w:r w:rsidR="00A96764">
              <w:rPr>
                <w:rFonts w:ascii="Arial" w:hAnsi="Arial" w:cs="Arial"/>
                <w:sz w:val="20"/>
                <w:szCs w:val="20"/>
              </w:rPr>
              <w:t xml:space="preserve"> </w:t>
            </w:r>
            <w:r w:rsidR="00832CE4">
              <w:rPr>
                <w:rFonts w:ascii="Arial" w:hAnsi="Arial" w:cs="Arial"/>
                <w:sz w:val="20"/>
                <w:szCs w:val="20"/>
              </w:rPr>
              <w:t>susijusi</w:t>
            </w:r>
            <w:r w:rsidR="00C41B4C">
              <w:rPr>
                <w:rFonts w:ascii="Arial" w:hAnsi="Arial" w:cs="Arial"/>
                <w:sz w:val="20"/>
                <w:szCs w:val="20"/>
              </w:rPr>
              <w:t>os</w:t>
            </w:r>
            <w:r w:rsidR="00FB21A4">
              <w:rPr>
                <w:rFonts w:ascii="Arial" w:hAnsi="Arial" w:cs="Arial"/>
                <w:sz w:val="20"/>
                <w:szCs w:val="20"/>
              </w:rPr>
              <w:t xml:space="preserve"> teisės ar</w:t>
            </w:r>
            <w:r w:rsidR="0053274E">
              <w:rPr>
                <w:rFonts w:ascii="Arial" w:hAnsi="Arial" w:cs="Arial"/>
                <w:sz w:val="20"/>
                <w:szCs w:val="20"/>
              </w:rPr>
              <w:t xml:space="preserve"> </w:t>
            </w:r>
            <w:r w:rsidR="00DE08FF">
              <w:rPr>
                <w:rFonts w:ascii="Arial" w:hAnsi="Arial" w:cs="Arial"/>
                <w:sz w:val="20"/>
                <w:szCs w:val="20"/>
              </w:rPr>
              <w:t>privilegij</w:t>
            </w:r>
            <w:r w:rsidR="00C41B4C">
              <w:rPr>
                <w:rFonts w:ascii="Arial" w:hAnsi="Arial" w:cs="Arial"/>
                <w:sz w:val="20"/>
                <w:szCs w:val="20"/>
              </w:rPr>
              <w:t>os</w:t>
            </w:r>
            <w:r w:rsidR="00DE08FF">
              <w:rPr>
                <w:rFonts w:ascii="Arial" w:hAnsi="Arial" w:cs="Arial"/>
                <w:sz w:val="20"/>
                <w:szCs w:val="20"/>
              </w:rPr>
              <w:t xml:space="preserve"> n</w:t>
            </w:r>
            <w:r w:rsidR="009A0C7F">
              <w:rPr>
                <w:rFonts w:ascii="Arial" w:hAnsi="Arial" w:cs="Arial"/>
                <w:sz w:val="20"/>
                <w:szCs w:val="20"/>
              </w:rPr>
              <w:t xml:space="preserve">egali </w:t>
            </w:r>
            <w:r w:rsidR="00832CE4">
              <w:rPr>
                <w:rFonts w:ascii="Arial" w:hAnsi="Arial" w:cs="Arial"/>
                <w:sz w:val="20"/>
                <w:szCs w:val="20"/>
              </w:rPr>
              <w:t xml:space="preserve">būti </w:t>
            </w:r>
            <w:r w:rsidR="009A0C7F">
              <w:rPr>
                <w:rFonts w:ascii="Arial" w:hAnsi="Arial" w:cs="Arial"/>
                <w:sz w:val="20"/>
                <w:szCs w:val="20"/>
              </w:rPr>
              <w:t>perleist</w:t>
            </w:r>
            <w:r w:rsidR="00C41B4C">
              <w:rPr>
                <w:rFonts w:ascii="Arial" w:hAnsi="Arial" w:cs="Arial"/>
                <w:sz w:val="20"/>
                <w:szCs w:val="20"/>
              </w:rPr>
              <w:t>i</w:t>
            </w:r>
            <w:r w:rsidR="009A0C7F">
              <w:rPr>
                <w:rFonts w:ascii="Arial" w:hAnsi="Arial" w:cs="Arial"/>
                <w:sz w:val="20"/>
                <w:szCs w:val="20"/>
              </w:rPr>
              <w:t>, p</w:t>
            </w:r>
            <w:r w:rsidR="00A96764">
              <w:rPr>
                <w:rFonts w:ascii="Arial" w:hAnsi="Arial" w:cs="Arial"/>
                <w:sz w:val="20"/>
                <w:szCs w:val="20"/>
              </w:rPr>
              <w:t>riskirt</w:t>
            </w:r>
            <w:r w:rsidR="00C41B4C">
              <w:rPr>
                <w:rFonts w:ascii="Arial" w:hAnsi="Arial" w:cs="Arial"/>
                <w:sz w:val="20"/>
                <w:szCs w:val="20"/>
              </w:rPr>
              <w:t>i</w:t>
            </w:r>
            <w:r w:rsidR="00832CE4">
              <w:rPr>
                <w:rFonts w:ascii="Arial" w:hAnsi="Arial" w:cs="Arial"/>
                <w:sz w:val="20"/>
                <w:szCs w:val="20"/>
              </w:rPr>
              <w:t xml:space="preserve"> ar</w:t>
            </w:r>
            <w:r w:rsidR="009A0C7F">
              <w:rPr>
                <w:rFonts w:ascii="Arial" w:hAnsi="Arial" w:cs="Arial"/>
                <w:sz w:val="20"/>
                <w:szCs w:val="20"/>
              </w:rPr>
              <w:t xml:space="preserve"> įkeist</w:t>
            </w:r>
            <w:r w:rsidR="00C41B4C">
              <w:rPr>
                <w:rFonts w:ascii="Arial" w:hAnsi="Arial" w:cs="Arial"/>
                <w:sz w:val="20"/>
                <w:szCs w:val="20"/>
              </w:rPr>
              <w:t>i</w:t>
            </w:r>
            <w:r w:rsidR="009A0C7F">
              <w:rPr>
                <w:rFonts w:ascii="Arial" w:hAnsi="Arial" w:cs="Arial"/>
                <w:sz w:val="20"/>
                <w:szCs w:val="20"/>
              </w:rPr>
              <w:t xml:space="preserve"> </w:t>
            </w:r>
            <w:r w:rsidR="00D63AC0">
              <w:rPr>
                <w:rFonts w:ascii="Arial" w:hAnsi="Arial" w:cs="Arial"/>
                <w:sz w:val="20"/>
                <w:szCs w:val="20"/>
              </w:rPr>
              <w:t xml:space="preserve">įkeitimu ar hipoteka </w:t>
            </w:r>
            <w:r w:rsidR="009A0C7F" w:rsidRPr="00DD4A8C">
              <w:rPr>
                <w:rFonts w:ascii="Arial" w:hAnsi="Arial" w:cs="Arial"/>
                <w:sz w:val="20"/>
                <w:szCs w:val="20"/>
              </w:rPr>
              <w:t>(</w:t>
            </w:r>
            <w:r>
              <w:rPr>
                <w:rFonts w:ascii="Arial" w:hAnsi="Arial" w:cs="Arial"/>
                <w:sz w:val="20"/>
                <w:szCs w:val="20"/>
              </w:rPr>
              <w:t xml:space="preserve">pagal </w:t>
            </w:r>
            <w:r w:rsidR="009A0C7F">
              <w:rPr>
                <w:rFonts w:ascii="Arial" w:hAnsi="Arial" w:cs="Arial"/>
                <w:sz w:val="20"/>
                <w:szCs w:val="20"/>
              </w:rPr>
              <w:t>įstatymus</w:t>
            </w:r>
            <w:r>
              <w:rPr>
                <w:rFonts w:ascii="Arial" w:hAnsi="Arial" w:cs="Arial"/>
                <w:sz w:val="20"/>
                <w:szCs w:val="20"/>
              </w:rPr>
              <w:t xml:space="preserve"> ar kitu pagrindu</w:t>
            </w:r>
            <w:r w:rsidR="009A0C7F" w:rsidRPr="00DD4A8C">
              <w:rPr>
                <w:rFonts w:ascii="Arial" w:hAnsi="Arial" w:cs="Arial"/>
                <w:sz w:val="20"/>
                <w:szCs w:val="20"/>
              </w:rPr>
              <w:t xml:space="preserve">). </w:t>
            </w:r>
          </w:p>
          <w:p w14:paraId="39CDE849" w14:textId="77777777" w:rsidR="00C41B4C" w:rsidRPr="00DD4A8C" w:rsidRDefault="00C41B4C" w:rsidP="00EA3F6C">
            <w:pPr>
              <w:tabs>
                <w:tab w:val="left" w:pos="8647"/>
              </w:tabs>
              <w:jc w:val="both"/>
              <w:rPr>
                <w:rFonts w:ascii="Arial" w:hAnsi="Arial" w:cs="Arial"/>
                <w:sz w:val="20"/>
                <w:szCs w:val="20"/>
              </w:rPr>
            </w:pPr>
          </w:p>
          <w:p w14:paraId="77DD4638" w14:textId="2B550B18" w:rsidR="005B1CF9" w:rsidRDefault="008F69B4" w:rsidP="00EA3F6C">
            <w:pPr>
              <w:tabs>
                <w:tab w:val="left" w:pos="8647"/>
              </w:tabs>
              <w:jc w:val="both"/>
              <w:rPr>
                <w:rFonts w:ascii="Arial" w:hAnsi="Arial" w:cs="Arial"/>
                <w:sz w:val="20"/>
                <w:szCs w:val="20"/>
              </w:rPr>
            </w:pPr>
            <w:r w:rsidRPr="008F69B4">
              <w:rPr>
                <w:rFonts w:ascii="Arial" w:hAnsi="Arial" w:cs="Arial"/>
                <w:sz w:val="20"/>
                <w:szCs w:val="20"/>
              </w:rPr>
              <w:lastRenderedPageBreak/>
              <w:t>Stebėtojų taryba</w:t>
            </w:r>
            <w:r w:rsidR="00D63AC0">
              <w:rPr>
                <w:rFonts w:ascii="Arial" w:hAnsi="Arial" w:cs="Arial"/>
                <w:sz w:val="20"/>
                <w:szCs w:val="20"/>
              </w:rPr>
              <w:t xml:space="preserve">, vadovaudamasi akcijų suteikimo taisyklėmis, </w:t>
            </w:r>
            <w:r w:rsidR="00832CE4">
              <w:rPr>
                <w:rFonts w:ascii="Arial" w:hAnsi="Arial" w:cs="Arial"/>
                <w:sz w:val="20"/>
                <w:szCs w:val="20"/>
              </w:rPr>
              <w:t>sprendžia</w:t>
            </w:r>
            <w:r w:rsidR="009A0C7F">
              <w:rPr>
                <w:rFonts w:ascii="Arial" w:hAnsi="Arial" w:cs="Arial"/>
                <w:sz w:val="20"/>
                <w:szCs w:val="20"/>
              </w:rPr>
              <w:t xml:space="preserve">, kam suteikti ir kaip paskirstyti </w:t>
            </w:r>
            <w:r>
              <w:rPr>
                <w:rFonts w:ascii="Arial" w:hAnsi="Arial" w:cs="Arial"/>
                <w:sz w:val="20"/>
                <w:szCs w:val="20"/>
              </w:rPr>
              <w:t xml:space="preserve">suteiktas </w:t>
            </w:r>
            <w:r w:rsidR="009A0C7F">
              <w:rPr>
                <w:rFonts w:ascii="Arial" w:hAnsi="Arial" w:cs="Arial"/>
                <w:sz w:val="20"/>
                <w:szCs w:val="20"/>
              </w:rPr>
              <w:t>akcijas</w:t>
            </w:r>
            <w:r>
              <w:rPr>
                <w:rFonts w:ascii="Arial" w:hAnsi="Arial" w:cs="Arial"/>
                <w:sz w:val="20"/>
                <w:szCs w:val="20"/>
              </w:rPr>
              <w:t>, a</w:t>
            </w:r>
            <w:r w:rsidRPr="008F69B4">
              <w:rPr>
                <w:rFonts w:ascii="Arial" w:hAnsi="Arial" w:cs="Arial"/>
                <w:sz w:val="20"/>
                <w:szCs w:val="20"/>
              </w:rPr>
              <w:t xml:space="preserve">tsižvelgdama į vyraujančias ekonomines sąlygas, konkurencinę padėtį, kiekvieno </w:t>
            </w:r>
            <w:r>
              <w:rPr>
                <w:rFonts w:ascii="Arial" w:hAnsi="Arial" w:cs="Arial"/>
                <w:sz w:val="20"/>
                <w:szCs w:val="20"/>
              </w:rPr>
              <w:t>d</w:t>
            </w:r>
            <w:r w:rsidRPr="008F69B4">
              <w:rPr>
                <w:rFonts w:ascii="Arial" w:hAnsi="Arial" w:cs="Arial"/>
                <w:sz w:val="20"/>
                <w:szCs w:val="20"/>
              </w:rPr>
              <w:t>arbuotojo indėlį į Bendrovės finansinius rezultatus, Bendrovėje išdirbtus metus ir kitas aplinkybes (priklausomai nuo atvejo)</w:t>
            </w:r>
            <w:r w:rsidR="009A0C7F" w:rsidRPr="00DD4A8C">
              <w:rPr>
                <w:rFonts w:ascii="Arial" w:hAnsi="Arial" w:cs="Arial"/>
                <w:sz w:val="20"/>
                <w:szCs w:val="20"/>
              </w:rPr>
              <w:t>.</w:t>
            </w:r>
          </w:p>
          <w:p w14:paraId="789751A3" w14:textId="77777777" w:rsidR="00C41B4C" w:rsidRPr="00DD4A8C" w:rsidRDefault="00C41B4C" w:rsidP="00EA3F6C">
            <w:pPr>
              <w:tabs>
                <w:tab w:val="left" w:pos="8647"/>
              </w:tabs>
              <w:jc w:val="both"/>
              <w:rPr>
                <w:rFonts w:ascii="Arial" w:hAnsi="Arial" w:cs="Arial"/>
                <w:sz w:val="20"/>
                <w:szCs w:val="20"/>
              </w:rPr>
            </w:pPr>
          </w:p>
          <w:p w14:paraId="649D9ECC" w14:textId="0C519B2A" w:rsidR="009A0C7F" w:rsidRPr="008F69B4" w:rsidRDefault="009A0C7F" w:rsidP="00EA3F6C">
            <w:pPr>
              <w:tabs>
                <w:tab w:val="left" w:pos="8647"/>
              </w:tabs>
              <w:jc w:val="both"/>
              <w:rPr>
                <w:rFonts w:ascii="Arial" w:hAnsi="Arial" w:cs="Arial"/>
                <w:sz w:val="20"/>
                <w:szCs w:val="20"/>
              </w:rPr>
            </w:pPr>
            <w:r>
              <w:rPr>
                <w:rFonts w:ascii="Arial" w:hAnsi="Arial" w:cs="Arial"/>
                <w:sz w:val="20"/>
                <w:szCs w:val="20"/>
              </w:rPr>
              <w:t>Metiniam</w:t>
            </w:r>
            <w:r w:rsidR="008F69B4">
              <w:rPr>
                <w:rFonts w:ascii="Arial" w:hAnsi="Arial" w:cs="Arial"/>
                <w:sz w:val="20"/>
                <w:szCs w:val="20"/>
              </w:rPr>
              <w:t>s</w:t>
            </w:r>
            <w:r>
              <w:rPr>
                <w:rFonts w:ascii="Arial" w:hAnsi="Arial" w:cs="Arial"/>
                <w:sz w:val="20"/>
                <w:szCs w:val="20"/>
              </w:rPr>
              <w:t xml:space="preserve"> akcininkų susirinkimams Stebėtojų taryba </w:t>
            </w:r>
            <w:r w:rsidR="008F69B4">
              <w:rPr>
                <w:rFonts w:ascii="Arial" w:hAnsi="Arial" w:cs="Arial"/>
                <w:sz w:val="20"/>
                <w:szCs w:val="20"/>
              </w:rPr>
              <w:t xml:space="preserve">pateikia ataskaitą </w:t>
            </w:r>
            <w:r>
              <w:rPr>
                <w:rFonts w:ascii="Arial" w:hAnsi="Arial" w:cs="Arial"/>
                <w:sz w:val="20"/>
                <w:szCs w:val="20"/>
              </w:rPr>
              <w:t>apie akcij</w:t>
            </w:r>
            <w:r w:rsidR="008F69B4">
              <w:rPr>
                <w:rFonts w:ascii="Arial" w:hAnsi="Arial" w:cs="Arial"/>
                <w:sz w:val="20"/>
                <w:szCs w:val="20"/>
              </w:rPr>
              <w:t>ų suteikimą</w:t>
            </w:r>
            <w:r w:rsidRPr="00DD4A8C">
              <w:rPr>
                <w:rFonts w:ascii="Arial" w:hAnsi="Arial" w:cs="Arial"/>
                <w:sz w:val="20"/>
                <w:szCs w:val="20"/>
              </w:rPr>
              <w:t>.</w:t>
            </w:r>
          </w:p>
          <w:p w14:paraId="6E84EB93" w14:textId="77777777" w:rsidR="009A0C7F" w:rsidRPr="00DD4A8C" w:rsidRDefault="009A0C7F" w:rsidP="00EA3F6C">
            <w:pPr>
              <w:tabs>
                <w:tab w:val="left" w:pos="8647"/>
              </w:tabs>
              <w:jc w:val="center"/>
              <w:rPr>
                <w:rFonts w:ascii="Arial" w:hAnsi="Arial" w:cs="Arial"/>
                <w:b/>
                <w:bCs/>
                <w:color w:val="2F5496" w:themeColor="accent1" w:themeShade="BF"/>
                <w:sz w:val="24"/>
                <w:szCs w:val="24"/>
              </w:rPr>
            </w:pPr>
          </w:p>
        </w:tc>
      </w:tr>
      <w:tr w:rsidR="009A0C7F" w14:paraId="218DDE77" w14:textId="77777777" w:rsidTr="009A0C7F">
        <w:tc>
          <w:tcPr>
            <w:tcW w:w="4673" w:type="dxa"/>
          </w:tcPr>
          <w:p w14:paraId="3524AA1D" w14:textId="5041C5B2" w:rsidR="009A0C7F" w:rsidRPr="00E85BF8" w:rsidRDefault="009A0C7F" w:rsidP="001247C1">
            <w:pPr>
              <w:pStyle w:val="ListParagraph"/>
              <w:numPr>
                <w:ilvl w:val="0"/>
                <w:numId w:val="20"/>
              </w:numPr>
              <w:tabs>
                <w:tab w:val="left" w:pos="8647"/>
              </w:tabs>
              <w:jc w:val="both"/>
              <w:rPr>
                <w:rFonts w:ascii="Arial" w:hAnsi="Arial" w:cs="Arial"/>
                <w:b/>
                <w:bCs/>
                <w:color w:val="2F5496" w:themeColor="accent1" w:themeShade="BF"/>
                <w:sz w:val="24"/>
                <w:szCs w:val="24"/>
                <w:lang w:val="en-US"/>
              </w:rPr>
            </w:pPr>
            <w:r w:rsidRPr="00E85BF8">
              <w:rPr>
                <w:rFonts w:ascii="Arial" w:hAnsi="Arial" w:cs="Arial"/>
                <w:b/>
                <w:bCs/>
                <w:color w:val="2F5496" w:themeColor="accent1" w:themeShade="BF"/>
                <w:sz w:val="24"/>
                <w:szCs w:val="24"/>
                <w:lang w:val="en-US"/>
              </w:rPr>
              <w:lastRenderedPageBreak/>
              <w:t>Language</w:t>
            </w:r>
          </w:p>
          <w:p w14:paraId="5A9EE1DE" w14:textId="77777777" w:rsidR="009A0C7F" w:rsidRPr="00E85BF8" w:rsidRDefault="009A0C7F" w:rsidP="00EA3F6C">
            <w:pPr>
              <w:pStyle w:val="ListParagraph"/>
              <w:tabs>
                <w:tab w:val="left" w:pos="8647"/>
              </w:tabs>
              <w:ind w:left="284"/>
              <w:jc w:val="both"/>
              <w:rPr>
                <w:rFonts w:ascii="Arial" w:hAnsi="Arial" w:cs="Arial"/>
                <w:b/>
                <w:bCs/>
                <w:color w:val="2F5496" w:themeColor="accent1" w:themeShade="BF"/>
                <w:sz w:val="24"/>
                <w:szCs w:val="24"/>
                <w:lang w:val="en-US"/>
              </w:rPr>
            </w:pPr>
          </w:p>
          <w:p w14:paraId="1C4BD87E" w14:textId="77777777" w:rsidR="009A0C7F" w:rsidRPr="00E85BF8" w:rsidRDefault="009A0C7F" w:rsidP="00EA3F6C">
            <w:pPr>
              <w:tabs>
                <w:tab w:val="num" w:pos="709"/>
                <w:tab w:val="left" w:pos="855"/>
              </w:tabs>
              <w:jc w:val="both"/>
              <w:rPr>
                <w:rFonts w:ascii="Arial" w:hAnsi="Arial" w:cs="Arial"/>
                <w:sz w:val="20"/>
                <w:szCs w:val="20"/>
                <w:lang w:val="en-US"/>
              </w:rPr>
            </w:pPr>
            <w:bookmarkStart w:id="6" w:name="_Hlk19631062"/>
            <w:r w:rsidRPr="00E85BF8">
              <w:rPr>
                <w:rFonts w:ascii="Arial" w:hAnsi="Arial" w:cs="Arial"/>
                <w:sz w:val="20"/>
                <w:szCs w:val="20"/>
                <w:lang w:val="en-US"/>
              </w:rPr>
              <w:t>The original text of this policy is in English and it prevails against Lithuanian or any other translations.</w:t>
            </w:r>
            <w:bookmarkEnd w:id="6"/>
          </w:p>
          <w:p w14:paraId="5DA50FA5"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tc>
        <w:tc>
          <w:tcPr>
            <w:tcW w:w="4673" w:type="dxa"/>
          </w:tcPr>
          <w:p w14:paraId="48F66BCB" w14:textId="0A3F7044" w:rsidR="009A0C7F" w:rsidRPr="001247C1" w:rsidRDefault="009A0C7F" w:rsidP="001247C1">
            <w:pPr>
              <w:pStyle w:val="ListParagraph"/>
              <w:numPr>
                <w:ilvl w:val="0"/>
                <w:numId w:val="21"/>
              </w:numPr>
              <w:tabs>
                <w:tab w:val="left" w:pos="8647"/>
              </w:tabs>
              <w:jc w:val="both"/>
              <w:rPr>
                <w:rFonts w:ascii="Arial" w:hAnsi="Arial" w:cs="Arial"/>
                <w:b/>
                <w:bCs/>
                <w:color w:val="2F5496" w:themeColor="accent1" w:themeShade="BF"/>
                <w:sz w:val="24"/>
                <w:szCs w:val="24"/>
              </w:rPr>
            </w:pPr>
            <w:r w:rsidRPr="001247C1">
              <w:rPr>
                <w:rFonts w:ascii="Arial" w:hAnsi="Arial" w:cs="Arial"/>
                <w:b/>
                <w:bCs/>
                <w:color w:val="2F5496" w:themeColor="accent1" w:themeShade="BF"/>
                <w:sz w:val="24"/>
                <w:szCs w:val="24"/>
              </w:rPr>
              <w:t xml:space="preserve">Kalba </w:t>
            </w:r>
          </w:p>
          <w:p w14:paraId="309216BA" w14:textId="77777777" w:rsidR="009A0C7F" w:rsidRPr="00672056" w:rsidRDefault="009A0C7F" w:rsidP="00EA3F6C">
            <w:pPr>
              <w:pStyle w:val="ListParagraph"/>
              <w:tabs>
                <w:tab w:val="left" w:pos="8647"/>
              </w:tabs>
              <w:ind w:left="284"/>
              <w:jc w:val="both"/>
              <w:rPr>
                <w:rFonts w:ascii="Arial" w:hAnsi="Arial" w:cs="Arial"/>
                <w:b/>
                <w:bCs/>
                <w:color w:val="2F5496" w:themeColor="accent1" w:themeShade="BF"/>
                <w:sz w:val="24"/>
                <w:szCs w:val="24"/>
              </w:rPr>
            </w:pPr>
          </w:p>
          <w:p w14:paraId="651F6CEF" w14:textId="33918A35" w:rsidR="009A0C7F" w:rsidRPr="008F69B4" w:rsidRDefault="008F69B4" w:rsidP="00EA3F6C">
            <w:pPr>
              <w:tabs>
                <w:tab w:val="num" w:pos="709"/>
                <w:tab w:val="left" w:pos="855"/>
              </w:tabs>
              <w:jc w:val="both"/>
              <w:rPr>
                <w:rFonts w:ascii="Arial" w:hAnsi="Arial" w:cs="Arial"/>
                <w:sz w:val="20"/>
                <w:szCs w:val="20"/>
              </w:rPr>
            </w:pPr>
            <w:r>
              <w:rPr>
                <w:rFonts w:ascii="Arial" w:hAnsi="Arial" w:cs="Arial"/>
                <w:sz w:val="20"/>
                <w:szCs w:val="20"/>
              </w:rPr>
              <w:t>Originalus š</w:t>
            </w:r>
            <w:r w:rsidR="009A0C7F">
              <w:rPr>
                <w:rFonts w:ascii="Arial" w:hAnsi="Arial" w:cs="Arial"/>
                <w:sz w:val="20"/>
                <w:szCs w:val="20"/>
              </w:rPr>
              <w:t xml:space="preserve">ios politikos tekstas yra anglų kalba ir </w:t>
            </w:r>
            <w:r>
              <w:rPr>
                <w:rFonts w:ascii="Arial" w:hAnsi="Arial" w:cs="Arial"/>
                <w:sz w:val="20"/>
                <w:szCs w:val="20"/>
              </w:rPr>
              <w:t xml:space="preserve">jam teikiama pirmenybė </w:t>
            </w:r>
            <w:r w:rsidR="009A0C7F">
              <w:rPr>
                <w:rFonts w:ascii="Arial" w:hAnsi="Arial" w:cs="Arial"/>
                <w:sz w:val="20"/>
                <w:szCs w:val="20"/>
              </w:rPr>
              <w:t>prieš vertimus į lietuvių ar kitas kalbas</w:t>
            </w:r>
            <w:r w:rsidR="009A0C7F" w:rsidRPr="00672056">
              <w:rPr>
                <w:rFonts w:ascii="Arial" w:hAnsi="Arial" w:cs="Arial"/>
                <w:sz w:val="20"/>
                <w:szCs w:val="20"/>
              </w:rPr>
              <w:t>.</w:t>
            </w:r>
          </w:p>
        </w:tc>
      </w:tr>
      <w:tr w:rsidR="009A0C7F" w14:paraId="579BA569" w14:textId="77777777" w:rsidTr="009A0C7F">
        <w:tc>
          <w:tcPr>
            <w:tcW w:w="4673" w:type="dxa"/>
          </w:tcPr>
          <w:p w14:paraId="177157CA" w14:textId="7C7B1437" w:rsidR="009A0C7F" w:rsidRPr="00E85BF8" w:rsidRDefault="009A0C7F" w:rsidP="001247C1">
            <w:pPr>
              <w:pStyle w:val="ListParagraph"/>
              <w:numPr>
                <w:ilvl w:val="0"/>
                <w:numId w:val="21"/>
              </w:numPr>
              <w:tabs>
                <w:tab w:val="left" w:pos="8647"/>
              </w:tabs>
              <w:jc w:val="both"/>
              <w:rPr>
                <w:rFonts w:ascii="Arial" w:hAnsi="Arial" w:cs="Arial"/>
                <w:b/>
                <w:bCs/>
                <w:color w:val="2F5496" w:themeColor="accent1" w:themeShade="BF"/>
                <w:sz w:val="24"/>
                <w:szCs w:val="24"/>
                <w:lang w:val="en-US"/>
              </w:rPr>
            </w:pPr>
            <w:r w:rsidRPr="00E85BF8">
              <w:rPr>
                <w:rFonts w:ascii="Arial" w:hAnsi="Arial" w:cs="Arial"/>
                <w:b/>
                <w:bCs/>
                <w:color w:val="2F5496" w:themeColor="accent1" w:themeShade="BF"/>
                <w:sz w:val="24"/>
                <w:szCs w:val="24"/>
                <w:lang w:val="en-US"/>
              </w:rPr>
              <w:t>Disclosure</w:t>
            </w:r>
          </w:p>
          <w:p w14:paraId="724196B4" w14:textId="77777777" w:rsidR="009A0C7F" w:rsidRPr="00E85BF8" w:rsidRDefault="009A0C7F" w:rsidP="00EA3F6C">
            <w:pPr>
              <w:pStyle w:val="ListParagraph"/>
              <w:tabs>
                <w:tab w:val="left" w:pos="8647"/>
              </w:tabs>
              <w:ind w:left="284"/>
              <w:jc w:val="both"/>
              <w:rPr>
                <w:rFonts w:ascii="Arial" w:hAnsi="Arial" w:cs="Arial"/>
                <w:b/>
                <w:bCs/>
                <w:color w:val="2F5496" w:themeColor="accent1" w:themeShade="BF"/>
                <w:sz w:val="24"/>
                <w:szCs w:val="24"/>
                <w:lang w:val="en-US"/>
              </w:rPr>
            </w:pPr>
          </w:p>
          <w:p w14:paraId="593F6BAE" w14:textId="26A35B3C"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External Disclosure </w:t>
            </w:r>
          </w:p>
          <w:p w14:paraId="63EFCD3C"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7112C873" w14:textId="77777777" w:rsidR="009A0C7F" w:rsidRPr="00E85BF8"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This policy is available on the website of the company https://www.novaturasgroup.com/, and a paper version will be made available upon the request to the Company. Extended information is available in the financial statements of the Company.</w:t>
            </w:r>
          </w:p>
          <w:p w14:paraId="78A0E699"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4FBB817A" w14:textId="01A158BB" w:rsidR="009A0C7F" w:rsidRPr="00E85BF8" w:rsidRDefault="009A0C7F" w:rsidP="00EA3F6C">
            <w:pPr>
              <w:tabs>
                <w:tab w:val="left" w:pos="8647"/>
              </w:tabs>
              <w:jc w:val="both"/>
              <w:rPr>
                <w:rFonts w:ascii="Arial" w:hAnsi="Arial" w:cs="Arial"/>
                <w:b/>
                <w:bCs/>
                <w:color w:val="2F5496" w:themeColor="accent1" w:themeShade="BF"/>
                <w:sz w:val="20"/>
                <w:szCs w:val="20"/>
                <w:lang w:val="en-US"/>
              </w:rPr>
            </w:pPr>
            <w:r w:rsidRPr="00E85BF8">
              <w:rPr>
                <w:rFonts w:ascii="Arial" w:hAnsi="Arial" w:cs="Arial"/>
                <w:b/>
                <w:bCs/>
                <w:color w:val="2F5496" w:themeColor="accent1" w:themeShade="BF"/>
                <w:sz w:val="20"/>
                <w:szCs w:val="20"/>
                <w:lang w:val="en-US"/>
              </w:rPr>
              <w:t xml:space="preserve">Internal Disclosure </w:t>
            </w:r>
          </w:p>
          <w:p w14:paraId="25D5C0EC" w14:textId="77777777" w:rsidR="009A0C7F" w:rsidRPr="00E85BF8" w:rsidRDefault="009A0C7F" w:rsidP="00EA3F6C">
            <w:pPr>
              <w:tabs>
                <w:tab w:val="left" w:pos="8647"/>
              </w:tabs>
              <w:jc w:val="both"/>
              <w:rPr>
                <w:rFonts w:ascii="Arial" w:hAnsi="Arial" w:cs="Arial"/>
                <w:b/>
                <w:bCs/>
                <w:color w:val="2F5496" w:themeColor="accent1" w:themeShade="BF"/>
                <w:sz w:val="20"/>
                <w:szCs w:val="20"/>
                <w:lang w:val="en-US"/>
              </w:rPr>
            </w:pPr>
          </w:p>
          <w:p w14:paraId="676315EF" w14:textId="4CE29C31" w:rsidR="009A0C7F" w:rsidRDefault="009A0C7F" w:rsidP="00EA3F6C">
            <w:pPr>
              <w:tabs>
                <w:tab w:val="left" w:pos="8647"/>
              </w:tabs>
              <w:jc w:val="both"/>
              <w:rPr>
                <w:rFonts w:ascii="Arial" w:hAnsi="Arial" w:cs="Arial"/>
                <w:sz w:val="20"/>
                <w:szCs w:val="20"/>
                <w:lang w:val="en-US"/>
              </w:rPr>
            </w:pPr>
            <w:r w:rsidRPr="00E85BF8">
              <w:rPr>
                <w:rFonts w:ascii="Arial" w:hAnsi="Arial" w:cs="Arial"/>
                <w:sz w:val="20"/>
                <w:szCs w:val="20"/>
                <w:lang w:val="en-US"/>
              </w:rPr>
              <w:t>The Remuneration Policy is part of the Company’s policies and procedures and as such the main principles are available to all staff. The employees are regularly informed about their remuneration, criteria used to measure performance and the link between performance and pay.</w:t>
            </w:r>
          </w:p>
          <w:p w14:paraId="2C8EEDFA" w14:textId="024C5210" w:rsidR="001247C1" w:rsidRDefault="001247C1" w:rsidP="00EA3F6C">
            <w:pPr>
              <w:tabs>
                <w:tab w:val="left" w:pos="8647"/>
              </w:tabs>
              <w:jc w:val="both"/>
              <w:rPr>
                <w:rFonts w:ascii="Arial" w:hAnsi="Arial" w:cs="Arial"/>
                <w:sz w:val="20"/>
                <w:szCs w:val="20"/>
                <w:lang w:val="en-US"/>
              </w:rPr>
            </w:pPr>
          </w:p>
          <w:p w14:paraId="44F4D2CE" w14:textId="7F47FC01" w:rsidR="001247C1" w:rsidRDefault="001247C1" w:rsidP="00EA3F6C">
            <w:pPr>
              <w:tabs>
                <w:tab w:val="left" w:pos="8647"/>
              </w:tabs>
              <w:jc w:val="both"/>
              <w:rPr>
                <w:rFonts w:ascii="Arial" w:hAnsi="Arial" w:cs="Arial"/>
                <w:sz w:val="20"/>
                <w:szCs w:val="20"/>
                <w:lang w:val="en-US"/>
              </w:rPr>
            </w:pPr>
          </w:p>
          <w:p w14:paraId="2A79E492" w14:textId="77777777" w:rsidR="001247C1" w:rsidRPr="001247C1" w:rsidRDefault="001247C1" w:rsidP="001247C1">
            <w:pPr>
              <w:tabs>
                <w:tab w:val="left" w:pos="8647"/>
              </w:tabs>
              <w:spacing w:line="256" w:lineRule="auto"/>
              <w:jc w:val="both"/>
              <w:rPr>
                <w:rFonts w:ascii="Arial" w:eastAsia="Calibri" w:hAnsi="Arial" w:cs="Arial"/>
                <w:sz w:val="20"/>
                <w:szCs w:val="20"/>
                <w:lang w:val="en-US"/>
              </w:rPr>
            </w:pPr>
            <w:r w:rsidRPr="001247C1">
              <w:rPr>
                <w:rFonts w:ascii="Arial" w:eastAsia="Calibri" w:hAnsi="Arial" w:cs="Arial"/>
                <w:sz w:val="20"/>
                <w:szCs w:val="20"/>
                <w:lang w:val="en-US"/>
              </w:rPr>
              <w:t>The Remuneration Policy shall be submitted for approval to the General Meeting of Shareholders at least every four years, also if there are significant changes in the Remuneration Policy.</w:t>
            </w:r>
          </w:p>
          <w:p w14:paraId="079BBB09" w14:textId="77777777" w:rsidR="001247C1" w:rsidRPr="00E85BF8" w:rsidRDefault="001247C1" w:rsidP="00EA3F6C">
            <w:pPr>
              <w:tabs>
                <w:tab w:val="left" w:pos="8647"/>
              </w:tabs>
              <w:jc w:val="both"/>
              <w:rPr>
                <w:rFonts w:ascii="Arial" w:hAnsi="Arial" w:cs="Arial"/>
                <w:sz w:val="20"/>
                <w:szCs w:val="20"/>
                <w:lang w:val="en-US"/>
              </w:rPr>
            </w:pPr>
          </w:p>
          <w:p w14:paraId="2ACC6DB9" w14:textId="77777777" w:rsidR="009A0C7F" w:rsidRPr="00E85BF8" w:rsidRDefault="009A0C7F" w:rsidP="00EA3F6C">
            <w:pPr>
              <w:tabs>
                <w:tab w:val="left" w:pos="8647"/>
              </w:tabs>
              <w:jc w:val="both"/>
              <w:rPr>
                <w:rFonts w:ascii="Arial" w:hAnsi="Arial" w:cs="Arial"/>
                <w:b/>
                <w:bCs/>
                <w:color w:val="2F5496" w:themeColor="accent1" w:themeShade="BF"/>
                <w:sz w:val="24"/>
                <w:szCs w:val="24"/>
                <w:lang w:val="en-US"/>
              </w:rPr>
            </w:pPr>
          </w:p>
        </w:tc>
        <w:tc>
          <w:tcPr>
            <w:tcW w:w="4673" w:type="dxa"/>
          </w:tcPr>
          <w:p w14:paraId="669D7EDF" w14:textId="5291DAE0" w:rsidR="009A0C7F" w:rsidRPr="001247C1" w:rsidRDefault="008F69B4" w:rsidP="001247C1">
            <w:pPr>
              <w:pStyle w:val="ListParagraph"/>
              <w:numPr>
                <w:ilvl w:val="0"/>
                <w:numId w:val="20"/>
              </w:numPr>
              <w:tabs>
                <w:tab w:val="left" w:pos="8647"/>
              </w:tabs>
              <w:jc w:val="both"/>
              <w:rPr>
                <w:rFonts w:ascii="Arial" w:hAnsi="Arial" w:cs="Arial"/>
                <w:b/>
                <w:bCs/>
                <w:color w:val="2F5496" w:themeColor="accent1" w:themeShade="BF"/>
                <w:sz w:val="24"/>
                <w:szCs w:val="24"/>
              </w:rPr>
            </w:pPr>
            <w:r w:rsidRPr="001247C1">
              <w:rPr>
                <w:rFonts w:ascii="Arial" w:hAnsi="Arial" w:cs="Arial"/>
                <w:b/>
                <w:bCs/>
                <w:color w:val="2F5496" w:themeColor="accent1" w:themeShade="BF"/>
                <w:sz w:val="24"/>
                <w:szCs w:val="24"/>
              </w:rPr>
              <w:t>Paskelbimas</w:t>
            </w:r>
          </w:p>
          <w:p w14:paraId="43192D05" w14:textId="77777777" w:rsidR="009A0C7F" w:rsidRPr="00672056" w:rsidRDefault="009A0C7F" w:rsidP="00EA3F6C">
            <w:pPr>
              <w:pStyle w:val="ListParagraph"/>
              <w:tabs>
                <w:tab w:val="left" w:pos="8647"/>
              </w:tabs>
              <w:ind w:left="284"/>
              <w:jc w:val="both"/>
              <w:rPr>
                <w:rFonts w:ascii="Arial" w:hAnsi="Arial" w:cs="Arial"/>
                <w:b/>
                <w:bCs/>
                <w:color w:val="2F5496" w:themeColor="accent1" w:themeShade="BF"/>
                <w:sz w:val="24"/>
                <w:szCs w:val="24"/>
              </w:rPr>
            </w:pPr>
          </w:p>
          <w:p w14:paraId="37E0E3E5" w14:textId="530F4F14" w:rsidR="009A0C7F" w:rsidRPr="00672056"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Išorinis </w:t>
            </w:r>
            <w:r w:rsidR="008F69B4">
              <w:rPr>
                <w:rFonts w:ascii="Arial" w:hAnsi="Arial" w:cs="Arial"/>
                <w:b/>
                <w:bCs/>
                <w:color w:val="2F5496" w:themeColor="accent1" w:themeShade="BF"/>
                <w:sz w:val="20"/>
                <w:szCs w:val="20"/>
              </w:rPr>
              <w:t>paskelbimas</w:t>
            </w:r>
          </w:p>
          <w:p w14:paraId="4993A22E" w14:textId="77777777" w:rsidR="009A0C7F" w:rsidRPr="00672056" w:rsidRDefault="009A0C7F" w:rsidP="00EA3F6C">
            <w:pPr>
              <w:tabs>
                <w:tab w:val="left" w:pos="8647"/>
              </w:tabs>
              <w:jc w:val="both"/>
              <w:rPr>
                <w:rFonts w:ascii="Arial" w:hAnsi="Arial" w:cs="Arial"/>
                <w:b/>
                <w:bCs/>
                <w:color w:val="2F5496" w:themeColor="accent1" w:themeShade="BF"/>
                <w:sz w:val="20"/>
                <w:szCs w:val="20"/>
              </w:rPr>
            </w:pPr>
          </w:p>
          <w:p w14:paraId="42975907" w14:textId="2E1AE8DE" w:rsidR="009A0C7F" w:rsidRPr="008F69B4" w:rsidRDefault="009A0C7F" w:rsidP="00EA3F6C">
            <w:pPr>
              <w:tabs>
                <w:tab w:val="left" w:pos="8647"/>
              </w:tabs>
              <w:jc w:val="both"/>
              <w:rPr>
                <w:rFonts w:ascii="Arial" w:hAnsi="Arial" w:cs="Arial"/>
                <w:sz w:val="20"/>
                <w:szCs w:val="20"/>
              </w:rPr>
            </w:pPr>
            <w:r>
              <w:rPr>
                <w:rFonts w:ascii="Arial" w:hAnsi="Arial" w:cs="Arial"/>
                <w:sz w:val="20"/>
                <w:szCs w:val="20"/>
              </w:rPr>
              <w:t xml:space="preserve">Ši politika </w:t>
            </w:r>
            <w:r w:rsidR="0077358C">
              <w:rPr>
                <w:rFonts w:ascii="Arial" w:hAnsi="Arial" w:cs="Arial"/>
                <w:sz w:val="20"/>
                <w:szCs w:val="20"/>
              </w:rPr>
              <w:t>prieinama</w:t>
            </w:r>
            <w:r>
              <w:rPr>
                <w:rFonts w:ascii="Arial" w:hAnsi="Arial" w:cs="Arial"/>
                <w:sz w:val="20"/>
                <w:szCs w:val="20"/>
              </w:rPr>
              <w:t xml:space="preserve"> </w:t>
            </w:r>
            <w:r w:rsidR="008F69B4">
              <w:rPr>
                <w:rFonts w:ascii="Arial" w:hAnsi="Arial" w:cs="Arial"/>
                <w:sz w:val="20"/>
                <w:szCs w:val="20"/>
              </w:rPr>
              <w:t>B</w:t>
            </w:r>
            <w:r>
              <w:rPr>
                <w:rFonts w:ascii="Arial" w:hAnsi="Arial" w:cs="Arial"/>
                <w:sz w:val="20"/>
                <w:szCs w:val="20"/>
              </w:rPr>
              <w:t xml:space="preserve">endrovės svetainėje adresu </w:t>
            </w:r>
            <w:r w:rsidRPr="00672056">
              <w:rPr>
                <w:rFonts w:ascii="Arial" w:hAnsi="Arial" w:cs="Arial"/>
                <w:sz w:val="20"/>
                <w:szCs w:val="20"/>
              </w:rPr>
              <w:t xml:space="preserve">https://www.novaturasgroup.com/, </w:t>
            </w:r>
            <w:r>
              <w:rPr>
                <w:rFonts w:ascii="Arial" w:hAnsi="Arial" w:cs="Arial"/>
                <w:sz w:val="20"/>
                <w:szCs w:val="20"/>
              </w:rPr>
              <w:t xml:space="preserve">o pateikus Bendrovei prašymą galima gauti </w:t>
            </w:r>
            <w:r w:rsidR="0077358C">
              <w:rPr>
                <w:rFonts w:ascii="Arial" w:hAnsi="Arial" w:cs="Arial"/>
                <w:sz w:val="20"/>
                <w:szCs w:val="20"/>
              </w:rPr>
              <w:t>popierinę jos</w:t>
            </w:r>
            <w:r w:rsidR="008F69B4">
              <w:rPr>
                <w:rFonts w:ascii="Arial" w:hAnsi="Arial" w:cs="Arial"/>
                <w:sz w:val="20"/>
                <w:szCs w:val="20"/>
              </w:rPr>
              <w:t xml:space="preserve"> </w:t>
            </w:r>
            <w:r>
              <w:rPr>
                <w:rFonts w:ascii="Arial" w:hAnsi="Arial" w:cs="Arial"/>
                <w:sz w:val="20"/>
                <w:szCs w:val="20"/>
              </w:rPr>
              <w:t>kopiją</w:t>
            </w:r>
            <w:r w:rsidRPr="00672056">
              <w:rPr>
                <w:rFonts w:ascii="Arial" w:hAnsi="Arial" w:cs="Arial"/>
                <w:sz w:val="20"/>
                <w:szCs w:val="20"/>
              </w:rPr>
              <w:t xml:space="preserve">. </w:t>
            </w:r>
            <w:r>
              <w:rPr>
                <w:rFonts w:ascii="Arial" w:hAnsi="Arial" w:cs="Arial"/>
                <w:sz w:val="20"/>
                <w:szCs w:val="20"/>
              </w:rPr>
              <w:t>Išsamesnė informacija pateikiama Bendrovės finansinėse ataskaitose</w:t>
            </w:r>
            <w:r w:rsidRPr="00672056">
              <w:rPr>
                <w:rFonts w:ascii="Arial" w:hAnsi="Arial" w:cs="Arial"/>
                <w:sz w:val="20"/>
                <w:szCs w:val="20"/>
              </w:rPr>
              <w:t>.</w:t>
            </w:r>
          </w:p>
          <w:p w14:paraId="01E380F1" w14:textId="77777777" w:rsidR="009A0C7F" w:rsidRPr="00672056" w:rsidRDefault="009A0C7F" w:rsidP="00EA3F6C">
            <w:pPr>
              <w:tabs>
                <w:tab w:val="left" w:pos="8647"/>
              </w:tabs>
              <w:jc w:val="both"/>
              <w:rPr>
                <w:rFonts w:ascii="Arial" w:hAnsi="Arial" w:cs="Arial"/>
                <w:b/>
                <w:bCs/>
                <w:color w:val="2F5496" w:themeColor="accent1" w:themeShade="BF"/>
                <w:sz w:val="20"/>
                <w:szCs w:val="20"/>
              </w:rPr>
            </w:pPr>
          </w:p>
          <w:p w14:paraId="0FD6462A" w14:textId="692799A7" w:rsidR="009A0C7F" w:rsidRPr="00672056" w:rsidRDefault="009A0C7F" w:rsidP="00EA3F6C">
            <w:pPr>
              <w:tabs>
                <w:tab w:val="left" w:pos="8647"/>
              </w:tabs>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 xml:space="preserve">Vidinis </w:t>
            </w:r>
            <w:r w:rsidR="008F69B4">
              <w:rPr>
                <w:rFonts w:ascii="Arial" w:hAnsi="Arial" w:cs="Arial"/>
                <w:b/>
                <w:bCs/>
                <w:color w:val="2F5496" w:themeColor="accent1" w:themeShade="BF"/>
                <w:sz w:val="20"/>
                <w:szCs w:val="20"/>
              </w:rPr>
              <w:t>paskelbimas</w:t>
            </w:r>
          </w:p>
          <w:p w14:paraId="2A4E7DF9" w14:textId="77777777" w:rsidR="009A0C7F" w:rsidRPr="00672056" w:rsidRDefault="009A0C7F" w:rsidP="00EA3F6C">
            <w:pPr>
              <w:tabs>
                <w:tab w:val="left" w:pos="8647"/>
              </w:tabs>
              <w:jc w:val="both"/>
              <w:rPr>
                <w:rFonts w:ascii="Arial" w:hAnsi="Arial" w:cs="Arial"/>
                <w:b/>
                <w:bCs/>
                <w:color w:val="2F5496" w:themeColor="accent1" w:themeShade="BF"/>
                <w:sz w:val="20"/>
                <w:szCs w:val="20"/>
              </w:rPr>
            </w:pPr>
          </w:p>
          <w:p w14:paraId="6EA52239" w14:textId="77777777" w:rsidR="00364F22" w:rsidRDefault="00364F22" w:rsidP="00EA3F6C">
            <w:pPr>
              <w:tabs>
                <w:tab w:val="left" w:pos="8647"/>
              </w:tabs>
              <w:jc w:val="both"/>
              <w:rPr>
                <w:rFonts w:ascii="Arial" w:hAnsi="Arial" w:cs="Arial"/>
                <w:sz w:val="20"/>
                <w:szCs w:val="20"/>
              </w:rPr>
            </w:pPr>
          </w:p>
          <w:p w14:paraId="7A445DBC" w14:textId="77777777" w:rsidR="009A0C7F" w:rsidRDefault="009A0C7F" w:rsidP="00EA3F6C">
            <w:pPr>
              <w:tabs>
                <w:tab w:val="left" w:pos="8647"/>
              </w:tabs>
              <w:jc w:val="both"/>
              <w:rPr>
                <w:rFonts w:ascii="Arial" w:hAnsi="Arial" w:cs="Arial"/>
                <w:sz w:val="20"/>
                <w:szCs w:val="20"/>
              </w:rPr>
            </w:pPr>
            <w:r>
              <w:rPr>
                <w:rFonts w:ascii="Arial" w:hAnsi="Arial" w:cs="Arial"/>
                <w:sz w:val="20"/>
                <w:szCs w:val="20"/>
              </w:rPr>
              <w:t>Atlygio politika yra Bendrovės politik</w:t>
            </w:r>
            <w:r w:rsidR="0077358C">
              <w:rPr>
                <w:rFonts w:ascii="Arial" w:hAnsi="Arial" w:cs="Arial"/>
                <w:sz w:val="20"/>
                <w:szCs w:val="20"/>
              </w:rPr>
              <w:t>ų</w:t>
            </w:r>
            <w:r>
              <w:rPr>
                <w:rFonts w:ascii="Arial" w:hAnsi="Arial" w:cs="Arial"/>
                <w:sz w:val="20"/>
                <w:szCs w:val="20"/>
              </w:rPr>
              <w:t xml:space="preserve"> ir </w:t>
            </w:r>
            <w:r w:rsidR="008F69B4">
              <w:rPr>
                <w:rFonts w:ascii="Arial" w:hAnsi="Arial" w:cs="Arial"/>
                <w:sz w:val="20"/>
                <w:szCs w:val="20"/>
              </w:rPr>
              <w:t>tvark</w:t>
            </w:r>
            <w:r w:rsidR="0077358C">
              <w:rPr>
                <w:rFonts w:ascii="Arial" w:hAnsi="Arial" w:cs="Arial"/>
                <w:sz w:val="20"/>
                <w:szCs w:val="20"/>
              </w:rPr>
              <w:t>ų</w:t>
            </w:r>
            <w:r w:rsidR="008F69B4">
              <w:rPr>
                <w:rFonts w:ascii="Arial" w:hAnsi="Arial" w:cs="Arial"/>
                <w:sz w:val="20"/>
                <w:szCs w:val="20"/>
              </w:rPr>
              <w:t xml:space="preserve"> dalis</w:t>
            </w:r>
            <w:r>
              <w:rPr>
                <w:rFonts w:ascii="Arial" w:hAnsi="Arial" w:cs="Arial"/>
                <w:sz w:val="20"/>
                <w:szCs w:val="20"/>
              </w:rPr>
              <w:t xml:space="preserve">, todėl </w:t>
            </w:r>
            <w:r w:rsidR="008F69B4">
              <w:rPr>
                <w:rFonts w:ascii="Arial" w:hAnsi="Arial" w:cs="Arial"/>
                <w:sz w:val="20"/>
                <w:szCs w:val="20"/>
              </w:rPr>
              <w:t xml:space="preserve">su </w:t>
            </w:r>
            <w:r>
              <w:rPr>
                <w:rFonts w:ascii="Arial" w:hAnsi="Arial" w:cs="Arial"/>
                <w:sz w:val="20"/>
                <w:szCs w:val="20"/>
              </w:rPr>
              <w:t>pagrindini</w:t>
            </w:r>
            <w:r w:rsidR="008F69B4">
              <w:rPr>
                <w:rFonts w:ascii="Arial" w:hAnsi="Arial" w:cs="Arial"/>
                <w:sz w:val="20"/>
                <w:szCs w:val="20"/>
              </w:rPr>
              <w:t>ais</w:t>
            </w:r>
            <w:r>
              <w:rPr>
                <w:rFonts w:ascii="Arial" w:hAnsi="Arial" w:cs="Arial"/>
                <w:sz w:val="20"/>
                <w:szCs w:val="20"/>
              </w:rPr>
              <w:t xml:space="preserve"> princip</w:t>
            </w:r>
            <w:r w:rsidR="008F69B4">
              <w:rPr>
                <w:rFonts w:ascii="Arial" w:hAnsi="Arial" w:cs="Arial"/>
                <w:sz w:val="20"/>
                <w:szCs w:val="20"/>
              </w:rPr>
              <w:t xml:space="preserve">ais gali susipažinti visi </w:t>
            </w:r>
            <w:r>
              <w:rPr>
                <w:rFonts w:ascii="Arial" w:hAnsi="Arial" w:cs="Arial"/>
                <w:sz w:val="20"/>
                <w:szCs w:val="20"/>
              </w:rPr>
              <w:t>darbuotoja</w:t>
            </w:r>
            <w:r w:rsidR="008F69B4">
              <w:rPr>
                <w:rFonts w:ascii="Arial" w:hAnsi="Arial" w:cs="Arial"/>
                <w:sz w:val="20"/>
                <w:szCs w:val="20"/>
              </w:rPr>
              <w:t>i</w:t>
            </w:r>
            <w:r w:rsidRPr="00672056">
              <w:rPr>
                <w:rFonts w:ascii="Arial" w:hAnsi="Arial" w:cs="Arial"/>
                <w:sz w:val="20"/>
                <w:szCs w:val="20"/>
              </w:rPr>
              <w:t xml:space="preserve">. </w:t>
            </w:r>
            <w:r>
              <w:rPr>
                <w:rFonts w:ascii="Arial" w:hAnsi="Arial" w:cs="Arial"/>
                <w:sz w:val="20"/>
                <w:szCs w:val="20"/>
              </w:rPr>
              <w:t>Darbuotojai reguliariai informuojami apie jų atlyginimą</w:t>
            </w:r>
            <w:r w:rsidRPr="00672056">
              <w:rPr>
                <w:rFonts w:ascii="Arial" w:hAnsi="Arial" w:cs="Arial"/>
                <w:sz w:val="20"/>
                <w:szCs w:val="20"/>
              </w:rPr>
              <w:t xml:space="preserve">, </w:t>
            </w:r>
            <w:r>
              <w:rPr>
                <w:rFonts w:ascii="Arial" w:hAnsi="Arial" w:cs="Arial"/>
                <w:sz w:val="20"/>
                <w:szCs w:val="20"/>
              </w:rPr>
              <w:t xml:space="preserve">pagal kokius kriterijus vertinami rezultatai ir kaip rezultatai yra susiję su </w:t>
            </w:r>
            <w:r w:rsidR="0077358C">
              <w:rPr>
                <w:rFonts w:ascii="Arial" w:hAnsi="Arial" w:cs="Arial"/>
                <w:sz w:val="20"/>
                <w:szCs w:val="20"/>
              </w:rPr>
              <w:t xml:space="preserve">darbo </w:t>
            </w:r>
            <w:r>
              <w:rPr>
                <w:rFonts w:ascii="Arial" w:hAnsi="Arial" w:cs="Arial"/>
                <w:sz w:val="20"/>
                <w:szCs w:val="20"/>
              </w:rPr>
              <w:t>užmokesčiu</w:t>
            </w:r>
            <w:r w:rsidRPr="00672056">
              <w:rPr>
                <w:rFonts w:ascii="Arial" w:hAnsi="Arial" w:cs="Arial"/>
                <w:sz w:val="20"/>
                <w:szCs w:val="20"/>
              </w:rPr>
              <w:t>.</w:t>
            </w:r>
          </w:p>
          <w:p w14:paraId="71579CCB" w14:textId="77777777" w:rsidR="001247C1" w:rsidRDefault="001247C1" w:rsidP="00EA3F6C">
            <w:pPr>
              <w:tabs>
                <w:tab w:val="left" w:pos="8647"/>
              </w:tabs>
              <w:jc w:val="both"/>
              <w:rPr>
                <w:rFonts w:ascii="Arial" w:hAnsi="Arial" w:cs="Arial"/>
                <w:sz w:val="20"/>
                <w:szCs w:val="20"/>
              </w:rPr>
            </w:pPr>
          </w:p>
          <w:p w14:paraId="7975D220" w14:textId="77777777" w:rsidR="001247C1" w:rsidRDefault="001247C1" w:rsidP="00EA3F6C">
            <w:pPr>
              <w:tabs>
                <w:tab w:val="left" w:pos="8647"/>
              </w:tabs>
              <w:jc w:val="both"/>
              <w:rPr>
                <w:rFonts w:ascii="Arial" w:hAnsi="Arial" w:cs="Arial"/>
                <w:sz w:val="20"/>
                <w:szCs w:val="20"/>
              </w:rPr>
            </w:pPr>
          </w:p>
          <w:p w14:paraId="6662E0C8" w14:textId="6FD0894A" w:rsidR="001247C1" w:rsidRPr="00E81D06" w:rsidRDefault="001247C1" w:rsidP="00EA3F6C">
            <w:pPr>
              <w:tabs>
                <w:tab w:val="left" w:pos="8647"/>
              </w:tabs>
              <w:jc w:val="both"/>
              <w:rPr>
                <w:rFonts w:ascii="Arial" w:hAnsi="Arial" w:cs="Arial"/>
                <w:sz w:val="20"/>
                <w:szCs w:val="20"/>
              </w:rPr>
            </w:pPr>
            <w:r w:rsidRPr="001247C1">
              <w:rPr>
                <w:rFonts w:ascii="Arial" w:hAnsi="Arial" w:cs="Arial"/>
                <w:sz w:val="20"/>
                <w:szCs w:val="20"/>
              </w:rPr>
              <w:t>Atlygi</w:t>
            </w:r>
            <w:r>
              <w:rPr>
                <w:rFonts w:ascii="Arial" w:hAnsi="Arial" w:cs="Arial"/>
                <w:sz w:val="20"/>
                <w:szCs w:val="20"/>
              </w:rPr>
              <w:t>o</w:t>
            </w:r>
            <w:r w:rsidRPr="001247C1">
              <w:rPr>
                <w:rFonts w:ascii="Arial" w:hAnsi="Arial" w:cs="Arial"/>
                <w:sz w:val="20"/>
                <w:szCs w:val="20"/>
              </w:rPr>
              <w:t xml:space="preserve"> politika turi būti teikiama tvirtinti visuotiniam akcininkų susirinkimui ne rečiau kaip kas ketverius metus, taip pat, jei atlyginimų nustatymo politikoje yra reikšmingų pokyčių.</w:t>
            </w:r>
          </w:p>
        </w:tc>
      </w:tr>
      <w:bookmarkEnd w:id="4"/>
    </w:tbl>
    <w:p w14:paraId="2CBF36EE" w14:textId="10023BB1" w:rsidR="00576A7B" w:rsidRPr="00576A7B" w:rsidRDefault="00576A7B" w:rsidP="00EA3F6C">
      <w:pPr>
        <w:tabs>
          <w:tab w:val="left" w:pos="8647"/>
        </w:tabs>
        <w:spacing w:after="0" w:line="240" w:lineRule="auto"/>
        <w:jc w:val="both"/>
        <w:rPr>
          <w:rFonts w:ascii="Arial" w:hAnsi="Arial" w:cs="Arial"/>
          <w:sz w:val="20"/>
          <w:szCs w:val="20"/>
        </w:rPr>
      </w:pPr>
    </w:p>
    <w:p w14:paraId="420E8D44" w14:textId="77777777" w:rsidR="00122C12" w:rsidRPr="00784CF3" w:rsidRDefault="00122C12" w:rsidP="00EA3F6C">
      <w:pPr>
        <w:tabs>
          <w:tab w:val="left" w:pos="8647"/>
        </w:tabs>
        <w:spacing w:after="0" w:line="240" w:lineRule="auto"/>
        <w:jc w:val="both"/>
        <w:rPr>
          <w:rFonts w:ascii="Arial" w:hAnsi="Arial" w:cs="Arial"/>
          <w:sz w:val="20"/>
          <w:szCs w:val="20"/>
        </w:rPr>
      </w:pPr>
    </w:p>
    <w:p w14:paraId="2A7F7452" w14:textId="5C70F5C7" w:rsidR="00122C12" w:rsidRPr="00DE5CF2" w:rsidRDefault="00122C12" w:rsidP="00EA3F6C">
      <w:pPr>
        <w:tabs>
          <w:tab w:val="left" w:pos="8647"/>
        </w:tabs>
        <w:spacing w:after="0" w:line="240" w:lineRule="auto"/>
        <w:jc w:val="both"/>
        <w:rPr>
          <w:rFonts w:ascii="Arial" w:hAnsi="Arial" w:cs="Arial"/>
          <w:sz w:val="20"/>
          <w:szCs w:val="20"/>
        </w:rPr>
      </w:pPr>
    </w:p>
    <w:p w14:paraId="0117A904" w14:textId="04A6F683" w:rsidR="00A937BA" w:rsidRPr="00A937BA" w:rsidRDefault="001247C1" w:rsidP="001247C1">
      <w:pPr>
        <w:pStyle w:val="ListParagraph"/>
        <w:tabs>
          <w:tab w:val="left" w:pos="8647"/>
        </w:tabs>
        <w:spacing w:after="0" w:line="240" w:lineRule="auto"/>
        <w:ind w:left="284"/>
        <w:jc w:val="cente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________________________________</w:t>
      </w:r>
    </w:p>
    <w:p w14:paraId="1E090B45" w14:textId="77777777" w:rsidR="00CB604C" w:rsidRPr="00DE5CF2" w:rsidRDefault="00CB604C" w:rsidP="00EA3F6C">
      <w:pPr>
        <w:tabs>
          <w:tab w:val="left" w:pos="8647"/>
        </w:tabs>
        <w:spacing w:after="0" w:line="240" w:lineRule="auto"/>
        <w:jc w:val="both"/>
        <w:rPr>
          <w:rFonts w:ascii="Arial" w:hAnsi="Arial" w:cs="Arial"/>
          <w:sz w:val="20"/>
          <w:szCs w:val="20"/>
        </w:rPr>
      </w:pPr>
    </w:p>
    <w:sectPr w:rsidR="00CB604C" w:rsidRPr="00DE5CF2" w:rsidSect="001247C1">
      <w:headerReference w:type="default" r:id="rId8"/>
      <w:footerReference w:type="default" r:id="rId9"/>
      <w:pgSz w:w="11906" w:h="16838"/>
      <w:pgMar w:top="1418" w:right="1274" w:bottom="851"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BF749" w14:textId="77777777" w:rsidR="00F43F65" w:rsidRDefault="00F43F65" w:rsidP="00B57460">
      <w:pPr>
        <w:spacing w:after="0" w:line="240" w:lineRule="auto"/>
      </w:pPr>
      <w:r>
        <w:separator/>
      </w:r>
    </w:p>
  </w:endnote>
  <w:endnote w:type="continuationSeparator" w:id="0">
    <w:p w14:paraId="32ADFDA0" w14:textId="77777777" w:rsidR="00F43F65" w:rsidRDefault="00F43F65" w:rsidP="00B5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30521"/>
      <w:docPartObj>
        <w:docPartGallery w:val="Page Numbers (Bottom of Page)"/>
        <w:docPartUnique/>
      </w:docPartObj>
    </w:sdtPr>
    <w:sdtEndPr>
      <w:rPr>
        <w:rFonts w:ascii="Arial" w:hAnsi="Arial" w:cs="Arial"/>
        <w:sz w:val="20"/>
        <w:szCs w:val="20"/>
      </w:rPr>
    </w:sdtEndPr>
    <w:sdtContent>
      <w:p w14:paraId="14B7439F" w14:textId="6FF664E2" w:rsidR="00F43F65" w:rsidRPr="00F034AA" w:rsidRDefault="00F43F65">
        <w:pPr>
          <w:pStyle w:val="Footer"/>
          <w:jc w:val="right"/>
          <w:rPr>
            <w:rFonts w:ascii="Arial" w:hAnsi="Arial" w:cs="Arial"/>
            <w:sz w:val="20"/>
            <w:szCs w:val="20"/>
          </w:rPr>
        </w:pPr>
        <w:r w:rsidRPr="00F034AA">
          <w:rPr>
            <w:rFonts w:ascii="Arial" w:hAnsi="Arial" w:cs="Arial"/>
            <w:sz w:val="20"/>
            <w:szCs w:val="20"/>
          </w:rPr>
          <w:fldChar w:fldCharType="begin"/>
        </w:r>
        <w:r w:rsidRPr="00F034AA">
          <w:rPr>
            <w:rFonts w:ascii="Arial" w:hAnsi="Arial" w:cs="Arial"/>
            <w:sz w:val="20"/>
            <w:szCs w:val="20"/>
          </w:rPr>
          <w:instrText>PAGE   \* MERGEFORMAT</w:instrText>
        </w:r>
        <w:r w:rsidRPr="00F034AA">
          <w:rPr>
            <w:rFonts w:ascii="Arial" w:hAnsi="Arial" w:cs="Arial"/>
            <w:sz w:val="20"/>
            <w:szCs w:val="20"/>
          </w:rPr>
          <w:fldChar w:fldCharType="separate"/>
        </w:r>
        <w:r w:rsidRPr="00F034AA">
          <w:rPr>
            <w:rFonts w:ascii="Arial" w:hAnsi="Arial" w:cs="Arial"/>
            <w:sz w:val="20"/>
            <w:szCs w:val="20"/>
          </w:rPr>
          <w:t>2</w:t>
        </w:r>
        <w:r w:rsidRPr="00F034AA">
          <w:rPr>
            <w:rFonts w:ascii="Arial" w:hAnsi="Arial" w:cs="Arial"/>
            <w:sz w:val="20"/>
            <w:szCs w:val="20"/>
          </w:rPr>
          <w:fldChar w:fldCharType="end"/>
        </w:r>
      </w:p>
    </w:sdtContent>
  </w:sdt>
  <w:p w14:paraId="4EF09676" w14:textId="77777777" w:rsidR="00F43F65" w:rsidRDefault="00F43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C724F" w14:textId="77777777" w:rsidR="00F43F65" w:rsidRDefault="00F43F65" w:rsidP="00B57460">
      <w:pPr>
        <w:spacing w:after="0" w:line="240" w:lineRule="auto"/>
      </w:pPr>
      <w:r>
        <w:separator/>
      </w:r>
    </w:p>
  </w:footnote>
  <w:footnote w:type="continuationSeparator" w:id="0">
    <w:p w14:paraId="2BCA1A53" w14:textId="77777777" w:rsidR="00F43F65" w:rsidRDefault="00F43F65" w:rsidP="00B5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7F7F7F" w:themeColor="text1" w:themeTint="80"/>
        <w:sz w:val="20"/>
        <w:szCs w:val="20"/>
      </w:rPr>
      <w:alias w:val="Title"/>
      <w:tag w:val=""/>
      <w:id w:val="1798945240"/>
      <w:placeholder>
        <w:docPart w:val="CC6A522CE4CD43C690555AF3D3DDD1D3"/>
      </w:placeholder>
      <w:dataBinding w:prefixMappings="xmlns:ns0='http://purl.org/dc/elements/1.1/' xmlns:ns1='http://schemas.openxmlformats.org/package/2006/metadata/core-properties' " w:xpath="/ns1:coreProperties[1]/ns0:title[1]" w:storeItemID="{6C3C8BC8-F283-45AE-878A-BAB7291924A1}"/>
      <w:text/>
    </w:sdtPr>
    <w:sdtEndPr/>
    <w:sdtContent>
      <w:p w14:paraId="7C9D4C6F" w14:textId="7CE2F480" w:rsidR="00F43F65" w:rsidRDefault="00F43F65" w:rsidP="00EC1BBF">
        <w:pPr>
          <w:pStyle w:val="Header"/>
          <w:jc w:val="right"/>
          <w:rPr>
            <w:rFonts w:ascii="Arial" w:hAnsi="Arial" w:cs="Arial"/>
            <w:color w:val="7F7F7F" w:themeColor="text1" w:themeTint="80"/>
            <w:sz w:val="20"/>
            <w:szCs w:val="20"/>
          </w:rPr>
        </w:pPr>
        <w:r>
          <w:rPr>
            <w:rFonts w:ascii="Arial" w:hAnsi="Arial" w:cs="Arial"/>
            <w:color w:val="7F7F7F" w:themeColor="text1" w:themeTint="80"/>
            <w:sz w:val="20"/>
            <w:szCs w:val="20"/>
          </w:rPr>
          <w:t xml:space="preserve">Novaturas AB </w:t>
        </w:r>
        <w:proofErr w:type="spellStart"/>
        <w:r>
          <w:rPr>
            <w:rFonts w:ascii="Arial" w:hAnsi="Arial" w:cs="Arial"/>
            <w:color w:val="7F7F7F" w:themeColor="text1" w:themeTint="80"/>
            <w:sz w:val="20"/>
            <w:szCs w:val="20"/>
          </w:rPr>
          <w:t>Remuneration</w:t>
        </w:r>
        <w:proofErr w:type="spellEnd"/>
        <w:r>
          <w:rPr>
            <w:rFonts w:ascii="Arial" w:hAnsi="Arial" w:cs="Arial"/>
            <w:color w:val="7F7F7F" w:themeColor="text1" w:themeTint="80"/>
            <w:sz w:val="20"/>
            <w:szCs w:val="20"/>
          </w:rPr>
          <w:t xml:space="preserve"> </w:t>
        </w:r>
        <w:proofErr w:type="spellStart"/>
        <w:r>
          <w:rPr>
            <w:rFonts w:ascii="Arial" w:hAnsi="Arial" w:cs="Arial"/>
            <w:color w:val="7F7F7F" w:themeColor="text1" w:themeTint="80"/>
            <w:sz w:val="20"/>
            <w:szCs w:val="20"/>
          </w:rPr>
          <w:t>Policy</w:t>
        </w:r>
        <w:proofErr w:type="spellEnd"/>
        <w:r>
          <w:rPr>
            <w:rFonts w:ascii="Arial" w:hAnsi="Arial" w:cs="Arial"/>
            <w:color w:val="7F7F7F" w:themeColor="text1" w:themeTint="80"/>
            <w:sz w:val="20"/>
            <w:szCs w:val="20"/>
          </w:rPr>
          <w:t xml:space="preserve"> </w:t>
        </w:r>
        <w:proofErr w:type="spellStart"/>
        <w:r>
          <w:rPr>
            <w:rFonts w:ascii="Arial" w:hAnsi="Arial" w:cs="Arial"/>
            <w:color w:val="7F7F7F" w:themeColor="text1" w:themeTint="80"/>
            <w:sz w:val="20"/>
            <w:szCs w:val="20"/>
          </w:rPr>
          <w:t>approved</w:t>
        </w:r>
        <w:proofErr w:type="spellEnd"/>
        <w:r>
          <w:rPr>
            <w:rFonts w:ascii="Arial" w:hAnsi="Arial" w:cs="Arial"/>
            <w:color w:val="7F7F7F" w:themeColor="text1" w:themeTint="80"/>
            <w:sz w:val="20"/>
            <w:szCs w:val="20"/>
          </w:rPr>
          <w:t xml:space="preserve"> </w:t>
        </w:r>
        <w:proofErr w:type="spellStart"/>
        <w:r>
          <w:rPr>
            <w:rFonts w:ascii="Arial" w:hAnsi="Arial" w:cs="Arial"/>
            <w:color w:val="7F7F7F" w:themeColor="text1" w:themeTint="80"/>
            <w:sz w:val="20"/>
            <w:szCs w:val="20"/>
          </w:rPr>
          <w:t>by</w:t>
        </w:r>
        <w:proofErr w:type="spellEnd"/>
        <w:r>
          <w:rPr>
            <w:rFonts w:ascii="Arial" w:hAnsi="Arial" w:cs="Arial"/>
            <w:color w:val="7F7F7F" w:themeColor="text1" w:themeTint="80"/>
            <w:sz w:val="20"/>
            <w:szCs w:val="20"/>
          </w:rPr>
          <w:t xml:space="preserve"> ______________________________ </w:t>
        </w:r>
        <w:proofErr w:type="spellStart"/>
        <w:r>
          <w:rPr>
            <w:rFonts w:ascii="Arial" w:hAnsi="Arial" w:cs="Arial"/>
            <w:color w:val="7F7F7F" w:themeColor="text1" w:themeTint="80"/>
            <w:sz w:val="20"/>
            <w:szCs w:val="20"/>
          </w:rPr>
          <w:t>on</w:t>
        </w:r>
        <w:proofErr w:type="spellEnd"/>
        <w:r>
          <w:rPr>
            <w:rFonts w:ascii="Arial" w:hAnsi="Arial" w:cs="Arial"/>
            <w:color w:val="7F7F7F" w:themeColor="text1" w:themeTint="80"/>
            <w:sz w:val="20"/>
            <w:szCs w:val="20"/>
          </w:rPr>
          <w:t xml:space="preserve"> ___.___2019</w:t>
        </w:r>
      </w:p>
    </w:sdtContent>
  </w:sdt>
  <w:p w14:paraId="29CADC4B" w14:textId="4E2D00F3" w:rsidR="00F43F65" w:rsidRPr="00EC1BBF" w:rsidRDefault="00F43F65" w:rsidP="00EC1BBF">
    <w:pPr>
      <w:pStyle w:val="Header"/>
      <w:jc w:val="right"/>
      <w:rPr>
        <w:rFonts w:ascii="Arial" w:hAnsi="Arial" w:cs="Arial"/>
        <w:color w:val="7F7F7F" w:themeColor="text1" w:themeTint="80"/>
        <w:sz w:val="20"/>
        <w:szCs w:val="20"/>
      </w:rPr>
    </w:pPr>
    <w:r>
      <w:rPr>
        <w:rFonts w:ascii="Arial" w:hAnsi="Arial" w:cs="Arial"/>
        <w:color w:val="7F7F7F" w:themeColor="text1" w:themeTint="80"/>
        <w:sz w:val="20"/>
        <w:szCs w:val="20"/>
      </w:rPr>
      <w:t>AB Novaturas Atlygio politika, patvirtinta ______________________________________, 2019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A22"/>
    <w:multiLevelType w:val="hybridMultilevel"/>
    <w:tmpl w:val="01A6B71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38E6442"/>
    <w:multiLevelType w:val="hybridMultilevel"/>
    <w:tmpl w:val="2A5A1984"/>
    <w:lvl w:ilvl="0" w:tplc="716E1DB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25269D"/>
    <w:multiLevelType w:val="hybridMultilevel"/>
    <w:tmpl w:val="209C4358"/>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F7F5638"/>
    <w:multiLevelType w:val="hybridMultilevel"/>
    <w:tmpl w:val="4CDE7194"/>
    <w:lvl w:ilvl="0" w:tplc="716E1DB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2B1CEC"/>
    <w:multiLevelType w:val="hybridMultilevel"/>
    <w:tmpl w:val="4AB0B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740B13"/>
    <w:multiLevelType w:val="hybridMultilevel"/>
    <w:tmpl w:val="150E00C0"/>
    <w:lvl w:ilvl="0" w:tplc="7C80B5EC">
      <w:numFmt w:val="bullet"/>
      <w:lvlText w:val="-"/>
      <w:lvlJc w:val="left"/>
      <w:pPr>
        <w:ind w:left="1800" w:hanging="360"/>
      </w:pPr>
      <w:rPr>
        <w:rFonts w:ascii="Arial" w:eastAsiaTheme="minorHAnsi" w:hAnsi="Arial" w:cs="Arial" w:hint="default"/>
        <w:b w:val="0"/>
        <w:color w:val="auto"/>
        <w:sz w:val="20"/>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80422F6"/>
    <w:multiLevelType w:val="hybridMultilevel"/>
    <w:tmpl w:val="C5B090B6"/>
    <w:lvl w:ilvl="0" w:tplc="E124D18E">
      <w:start w:val="1"/>
      <w:numFmt w:val="bullet"/>
      <w:lvlText w:val="-"/>
      <w:lvlJc w:val="left"/>
      <w:pPr>
        <w:ind w:left="1282" w:hanging="360"/>
      </w:pPr>
      <w:rPr>
        <w:rFonts w:ascii="Arial" w:eastAsiaTheme="minorHAnsi" w:hAnsi="Arial" w:cs="Arial" w:hint="default"/>
      </w:rPr>
    </w:lvl>
    <w:lvl w:ilvl="1" w:tplc="04270003" w:tentative="1">
      <w:start w:val="1"/>
      <w:numFmt w:val="bullet"/>
      <w:lvlText w:val="o"/>
      <w:lvlJc w:val="left"/>
      <w:pPr>
        <w:ind w:left="2002" w:hanging="360"/>
      </w:pPr>
      <w:rPr>
        <w:rFonts w:ascii="Courier New" w:hAnsi="Courier New" w:cs="Courier New" w:hint="default"/>
      </w:rPr>
    </w:lvl>
    <w:lvl w:ilvl="2" w:tplc="04270005" w:tentative="1">
      <w:start w:val="1"/>
      <w:numFmt w:val="bullet"/>
      <w:lvlText w:val=""/>
      <w:lvlJc w:val="left"/>
      <w:pPr>
        <w:ind w:left="2722" w:hanging="360"/>
      </w:pPr>
      <w:rPr>
        <w:rFonts w:ascii="Wingdings" w:hAnsi="Wingdings" w:hint="default"/>
      </w:rPr>
    </w:lvl>
    <w:lvl w:ilvl="3" w:tplc="04270001" w:tentative="1">
      <w:start w:val="1"/>
      <w:numFmt w:val="bullet"/>
      <w:lvlText w:val=""/>
      <w:lvlJc w:val="left"/>
      <w:pPr>
        <w:ind w:left="3442" w:hanging="360"/>
      </w:pPr>
      <w:rPr>
        <w:rFonts w:ascii="Symbol" w:hAnsi="Symbol" w:hint="default"/>
      </w:rPr>
    </w:lvl>
    <w:lvl w:ilvl="4" w:tplc="04270003" w:tentative="1">
      <w:start w:val="1"/>
      <w:numFmt w:val="bullet"/>
      <w:lvlText w:val="o"/>
      <w:lvlJc w:val="left"/>
      <w:pPr>
        <w:ind w:left="4162" w:hanging="360"/>
      </w:pPr>
      <w:rPr>
        <w:rFonts w:ascii="Courier New" w:hAnsi="Courier New" w:cs="Courier New" w:hint="default"/>
      </w:rPr>
    </w:lvl>
    <w:lvl w:ilvl="5" w:tplc="04270005" w:tentative="1">
      <w:start w:val="1"/>
      <w:numFmt w:val="bullet"/>
      <w:lvlText w:val=""/>
      <w:lvlJc w:val="left"/>
      <w:pPr>
        <w:ind w:left="4882" w:hanging="360"/>
      </w:pPr>
      <w:rPr>
        <w:rFonts w:ascii="Wingdings" w:hAnsi="Wingdings" w:hint="default"/>
      </w:rPr>
    </w:lvl>
    <w:lvl w:ilvl="6" w:tplc="04270001" w:tentative="1">
      <w:start w:val="1"/>
      <w:numFmt w:val="bullet"/>
      <w:lvlText w:val=""/>
      <w:lvlJc w:val="left"/>
      <w:pPr>
        <w:ind w:left="5602" w:hanging="360"/>
      </w:pPr>
      <w:rPr>
        <w:rFonts w:ascii="Symbol" w:hAnsi="Symbol" w:hint="default"/>
      </w:rPr>
    </w:lvl>
    <w:lvl w:ilvl="7" w:tplc="04270003" w:tentative="1">
      <w:start w:val="1"/>
      <w:numFmt w:val="bullet"/>
      <w:lvlText w:val="o"/>
      <w:lvlJc w:val="left"/>
      <w:pPr>
        <w:ind w:left="6322" w:hanging="360"/>
      </w:pPr>
      <w:rPr>
        <w:rFonts w:ascii="Courier New" w:hAnsi="Courier New" w:cs="Courier New" w:hint="default"/>
      </w:rPr>
    </w:lvl>
    <w:lvl w:ilvl="8" w:tplc="04270005" w:tentative="1">
      <w:start w:val="1"/>
      <w:numFmt w:val="bullet"/>
      <w:lvlText w:val=""/>
      <w:lvlJc w:val="left"/>
      <w:pPr>
        <w:ind w:left="7042" w:hanging="360"/>
      </w:pPr>
      <w:rPr>
        <w:rFonts w:ascii="Wingdings" w:hAnsi="Wingdings" w:hint="default"/>
      </w:rPr>
    </w:lvl>
  </w:abstractNum>
  <w:abstractNum w:abstractNumId="7" w15:restartNumberingAfterBreak="0">
    <w:nsid w:val="3D1B7634"/>
    <w:multiLevelType w:val="hybridMultilevel"/>
    <w:tmpl w:val="58DC6ADA"/>
    <w:lvl w:ilvl="0" w:tplc="716E1DBE">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15:restartNumberingAfterBreak="0">
    <w:nsid w:val="4833118F"/>
    <w:multiLevelType w:val="hybridMultilevel"/>
    <w:tmpl w:val="93384B02"/>
    <w:lvl w:ilvl="0" w:tplc="716E1DB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4946788"/>
    <w:multiLevelType w:val="hybridMultilevel"/>
    <w:tmpl w:val="EBA6C6D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1D58DF"/>
    <w:multiLevelType w:val="hybridMultilevel"/>
    <w:tmpl w:val="510CCEC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8480026"/>
    <w:multiLevelType w:val="hybridMultilevel"/>
    <w:tmpl w:val="BF5828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A8905BB"/>
    <w:multiLevelType w:val="hybridMultilevel"/>
    <w:tmpl w:val="10F61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C50302C"/>
    <w:multiLevelType w:val="hybridMultilevel"/>
    <w:tmpl w:val="32EAB5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E510405"/>
    <w:multiLevelType w:val="hybridMultilevel"/>
    <w:tmpl w:val="C14615AA"/>
    <w:lvl w:ilvl="0" w:tplc="716E1DBE">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38370CA"/>
    <w:multiLevelType w:val="hybridMultilevel"/>
    <w:tmpl w:val="7334FFD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62D27CE"/>
    <w:multiLevelType w:val="hybridMultilevel"/>
    <w:tmpl w:val="9EDC0C2C"/>
    <w:lvl w:ilvl="0" w:tplc="7C80B5EC">
      <w:numFmt w:val="bullet"/>
      <w:lvlText w:val="-"/>
      <w:lvlJc w:val="left"/>
      <w:pPr>
        <w:ind w:left="1080" w:hanging="360"/>
      </w:pPr>
      <w:rPr>
        <w:rFonts w:ascii="Arial" w:eastAsiaTheme="minorHAnsi" w:hAnsi="Arial" w:cs="Arial" w:hint="default"/>
        <w:b w:val="0"/>
        <w:color w:val="auto"/>
        <w:sz w:val="2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678659C6"/>
    <w:multiLevelType w:val="hybridMultilevel"/>
    <w:tmpl w:val="4FC0E2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9E3649B"/>
    <w:multiLevelType w:val="multilevel"/>
    <w:tmpl w:val="0F66FC6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A557FDA"/>
    <w:multiLevelType w:val="hybridMultilevel"/>
    <w:tmpl w:val="454E17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01A527C"/>
    <w:multiLevelType w:val="hybridMultilevel"/>
    <w:tmpl w:val="4C5CB7E4"/>
    <w:lvl w:ilvl="0" w:tplc="716E1DBE">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8"/>
  </w:num>
  <w:num w:numId="2">
    <w:abstractNumId w:val="2"/>
  </w:num>
  <w:num w:numId="3">
    <w:abstractNumId w:val="6"/>
  </w:num>
  <w:num w:numId="4">
    <w:abstractNumId w:val="12"/>
  </w:num>
  <w:num w:numId="5">
    <w:abstractNumId w:val="4"/>
  </w:num>
  <w:num w:numId="6">
    <w:abstractNumId w:val="0"/>
  </w:num>
  <w:num w:numId="7">
    <w:abstractNumId w:val="9"/>
  </w:num>
  <w:num w:numId="8">
    <w:abstractNumId w:val="10"/>
  </w:num>
  <w:num w:numId="9">
    <w:abstractNumId w:val="16"/>
  </w:num>
  <w:num w:numId="10">
    <w:abstractNumId w:val="13"/>
  </w:num>
  <w:num w:numId="11">
    <w:abstractNumId w:val="17"/>
  </w:num>
  <w:num w:numId="12">
    <w:abstractNumId w:val="5"/>
  </w:num>
  <w:num w:numId="13">
    <w:abstractNumId w:val="15"/>
  </w:num>
  <w:num w:numId="14">
    <w:abstractNumId w:val="3"/>
  </w:num>
  <w:num w:numId="15">
    <w:abstractNumId w:val="14"/>
  </w:num>
  <w:num w:numId="16">
    <w:abstractNumId w:val="8"/>
  </w:num>
  <w:num w:numId="17">
    <w:abstractNumId w:val="20"/>
  </w:num>
  <w:num w:numId="18">
    <w:abstractNumId w:val="7"/>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60"/>
    <w:rsid w:val="000003BF"/>
    <w:rsid w:val="00001923"/>
    <w:rsid w:val="0004493C"/>
    <w:rsid w:val="00064311"/>
    <w:rsid w:val="00077840"/>
    <w:rsid w:val="00096C33"/>
    <w:rsid w:val="000B0679"/>
    <w:rsid w:val="000B7A10"/>
    <w:rsid w:val="000C4558"/>
    <w:rsid w:val="000D0309"/>
    <w:rsid w:val="000D7003"/>
    <w:rsid w:val="000E083C"/>
    <w:rsid w:val="000E350C"/>
    <w:rsid w:val="000E771E"/>
    <w:rsid w:val="000F5F6F"/>
    <w:rsid w:val="000F608A"/>
    <w:rsid w:val="00115FCD"/>
    <w:rsid w:val="00122C12"/>
    <w:rsid w:val="001247C1"/>
    <w:rsid w:val="001355C8"/>
    <w:rsid w:val="0015090B"/>
    <w:rsid w:val="001515DB"/>
    <w:rsid w:val="001718DC"/>
    <w:rsid w:val="00182A02"/>
    <w:rsid w:val="001856A2"/>
    <w:rsid w:val="00197858"/>
    <w:rsid w:val="001E1268"/>
    <w:rsid w:val="001E6898"/>
    <w:rsid w:val="0020180E"/>
    <w:rsid w:val="0022327D"/>
    <w:rsid w:val="00236F71"/>
    <w:rsid w:val="002417AC"/>
    <w:rsid w:val="00246A4E"/>
    <w:rsid w:val="00272AAD"/>
    <w:rsid w:val="00282C60"/>
    <w:rsid w:val="002A1EF2"/>
    <w:rsid w:val="002A4F0D"/>
    <w:rsid w:val="002A5106"/>
    <w:rsid w:val="002B2BBD"/>
    <w:rsid w:val="002C1943"/>
    <w:rsid w:val="002D1790"/>
    <w:rsid w:val="00314D09"/>
    <w:rsid w:val="003219F0"/>
    <w:rsid w:val="00325AAA"/>
    <w:rsid w:val="003347C6"/>
    <w:rsid w:val="00345FC2"/>
    <w:rsid w:val="0034688B"/>
    <w:rsid w:val="00364F22"/>
    <w:rsid w:val="00366848"/>
    <w:rsid w:val="003A2DCB"/>
    <w:rsid w:val="003B792A"/>
    <w:rsid w:val="003D590F"/>
    <w:rsid w:val="003F3290"/>
    <w:rsid w:val="00401CD1"/>
    <w:rsid w:val="0041569F"/>
    <w:rsid w:val="00424877"/>
    <w:rsid w:val="00430FDD"/>
    <w:rsid w:val="00436F65"/>
    <w:rsid w:val="00457770"/>
    <w:rsid w:val="00463524"/>
    <w:rsid w:val="00463A34"/>
    <w:rsid w:val="0047334C"/>
    <w:rsid w:val="00475A39"/>
    <w:rsid w:val="004801D5"/>
    <w:rsid w:val="00496B9B"/>
    <w:rsid w:val="004B3959"/>
    <w:rsid w:val="004D25BD"/>
    <w:rsid w:val="004F08A0"/>
    <w:rsid w:val="004F3A03"/>
    <w:rsid w:val="00507938"/>
    <w:rsid w:val="00524D70"/>
    <w:rsid w:val="0053274E"/>
    <w:rsid w:val="00544D4E"/>
    <w:rsid w:val="00560E2B"/>
    <w:rsid w:val="00565CE6"/>
    <w:rsid w:val="00576A7B"/>
    <w:rsid w:val="005827F8"/>
    <w:rsid w:val="00597CD1"/>
    <w:rsid w:val="005A183A"/>
    <w:rsid w:val="005B1CF9"/>
    <w:rsid w:val="005C0E45"/>
    <w:rsid w:val="005D22CE"/>
    <w:rsid w:val="005E6EFC"/>
    <w:rsid w:val="00615DA0"/>
    <w:rsid w:val="00623FC7"/>
    <w:rsid w:val="006531F2"/>
    <w:rsid w:val="00672056"/>
    <w:rsid w:val="0067253A"/>
    <w:rsid w:val="006D3D34"/>
    <w:rsid w:val="006E0AE0"/>
    <w:rsid w:val="007378AF"/>
    <w:rsid w:val="007449D1"/>
    <w:rsid w:val="00746CD7"/>
    <w:rsid w:val="007613BF"/>
    <w:rsid w:val="00762E52"/>
    <w:rsid w:val="0077358C"/>
    <w:rsid w:val="00773AEC"/>
    <w:rsid w:val="00776736"/>
    <w:rsid w:val="0077793A"/>
    <w:rsid w:val="00784CF3"/>
    <w:rsid w:val="00791FF2"/>
    <w:rsid w:val="007A2453"/>
    <w:rsid w:val="007A454C"/>
    <w:rsid w:val="007C1068"/>
    <w:rsid w:val="007E3B0F"/>
    <w:rsid w:val="007F5E75"/>
    <w:rsid w:val="00813FCA"/>
    <w:rsid w:val="008154E1"/>
    <w:rsid w:val="00821B88"/>
    <w:rsid w:val="008302E2"/>
    <w:rsid w:val="00832CE4"/>
    <w:rsid w:val="00834755"/>
    <w:rsid w:val="008352B9"/>
    <w:rsid w:val="0084135F"/>
    <w:rsid w:val="00846D0B"/>
    <w:rsid w:val="008470D9"/>
    <w:rsid w:val="008537CE"/>
    <w:rsid w:val="008540AD"/>
    <w:rsid w:val="00866B1C"/>
    <w:rsid w:val="00867B20"/>
    <w:rsid w:val="0088309C"/>
    <w:rsid w:val="008A122F"/>
    <w:rsid w:val="008B0881"/>
    <w:rsid w:val="008E3392"/>
    <w:rsid w:val="008E63AA"/>
    <w:rsid w:val="008F296F"/>
    <w:rsid w:val="008F4516"/>
    <w:rsid w:val="008F69B4"/>
    <w:rsid w:val="00915809"/>
    <w:rsid w:val="00925B76"/>
    <w:rsid w:val="009337B6"/>
    <w:rsid w:val="00935D2E"/>
    <w:rsid w:val="00942E8F"/>
    <w:rsid w:val="00945D20"/>
    <w:rsid w:val="0095396C"/>
    <w:rsid w:val="009823DC"/>
    <w:rsid w:val="009A0C7F"/>
    <w:rsid w:val="009A61FD"/>
    <w:rsid w:val="009B5A21"/>
    <w:rsid w:val="009B6525"/>
    <w:rsid w:val="009D74D5"/>
    <w:rsid w:val="009E10F8"/>
    <w:rsid w:val="009E1DF0"/>
    <w:rsid w:val="009F40A0"/>
    <w:rsid w:val="00A075C7"/>
    <w:rsid w:val="00A07622"/>
    <w:rsid w:val="00A16311"/>
    <w:rsid w:val="00A27403"/>
    <w:rsid w:val="00A329A3"/>
    <w:rsid w:val="00A52896"/>
    <w:rsid w:val="00A60E28"/>
    <w:rsid w:val="00A66B2D"/>
    <w:rsid w:val="00A73E01"/>
    <w:rsid w:val="00A8258A"/>
    <w:rsid w:val="00A937BA"/>
    <w:rsid w:val="00A96764"/>
    <w:rsid w:val="00AD284D"/>
    <w:rsid w:val="00AD2D90"/>
    <w:rsid w:val="00AD6A85"/>
    <w:rsid w:val="00B0345E"/>
    <w:rsid w:val="00B10DAE"/>
    <w:rsid w:val="00B45912"/>
    <w:rsid w:val="00B51534"/>
    <w:rsid w:val="00B57460"/>
    <w:rsid w:val="00B74579"/>
    <w:rsid w:val="00B75DE8"/>
    <w:rsid w:val="00B97B48"/>
    <w:rsid w:val="00BA35AE"/>
    <w:rsid w:val="00BA6AED"/>
    <w:rsid w:val="00BB1086"/>
    <w:rsid w:val="00BB21E8"/>
    <w:rsid w:val="00BB40F8"/>
    <w:rsid w:val="00BE0BEA"/>
    <w:rsid w:val="00BE42AA"/>
    <w:rsid w:val="00BF1393"/>
    <w:rsid w:val="00BF6438"/>
    <w:rsid w:val="00BF70CF"/>
    <w:rsid w:val="00C14C29"/>
    <w:rsid w:val="00C41B4C"/>
    <w:rsid w:val="00C5082B"/>
    <w:rsid w:val="00C50BC2"/>
    <w:rsid w:val="00C527FD"/>
    <w:rsid w:val="00C5411F"/>
    <w:rsid w:val="00C577B0"/>
    <w:rsid w:val="00C62FFF"/>
    <w:rsid w:val="00C70E61"/>
    <w:rsid w:val="00C74DF9"/>
    <w:rsid w:val="00C76E75"/>
    <w:rsid w:val="00CB20EA"/>
    <w:rsid w:val="00CB604C"/>
    <w:rsid w:val="00CB62FE"/>
    <w:rsid w:val="00CC74D5"/>
    <w:rsid w:val="00CE4E09"/>
    <w:rsid w:val="00CE6F32"/>
    <w:rsid w:val="00CF0EA7"/>
    <w:rsid w:val="00CF53C3"/>
    <w:rsid w:val="00D146E8"/>
    <w:rsid w:val="00D46A2C"/>
    <w:rsid w:val="00D63AC0"/>
    <w:rsid w:val="00D7622B"/>
    <w:rsid w:val="00D81E32"/>
    <w:rsid w:val="00DA3192"/>
    <w:rsid w:val="00DB7862"/>
    <w:rsid w:val="00DC4821"/>
    <w:rsid w:val="00DD0EB3"/>
    <w:rsid w:val="00DD4A8C"/>
    <w:rsid w:val="00DD542F"/>
    <w:rsid w:val="00DE08FF"/>
    <w:rsid w:val="00DE5CF2"/>
    <w:rsid w:val="00DF4CF5"/>
    <w:rsid w:val="00DF796A"/>
    <w:rsid w:val="00E04223"/>
    <w:rsid w:val="00E06DA1"/>
    <w:rsid w:val="00E07C70"/>
    <w:rsid w:val="00E10BA8"/>
    <w:rsid w:val="00E10BCB"/>
    <w:rsid w:val="00E21D1F"/>
    <w:rsid w:val="00E27A9E"/>
    <w:rsid w:val="00E41017"/>
    <w:rsid w:val="00E45780"/>
    <w:rsid w:val="00E55EF2"/>
    <w:rsid w:val="00E56FF6"/>
    <w:rsid w:val="00E76861"/>
    <w:rsid w:val="00E81D06"/>
    <w:rsid w:val="00E85BF8"/>
    <w:rsid w:val="00E956E9"/>
    <w:rsid w:val="00EA12CD"/>
    <w:rsid w:val="00EA3F6C"/>
    <w:rsid w:val="00EB200A"/>
    <w:rsid w:val="00EC1BBF"/>
    <w:rsid w:val="00EC288D"/>
    <w:rsid w:val="00EC5563"/>
    <w:rsid w:val="00EC7097"/>
    <w:rsid w:val="00EE0990"/>
    <w:rsid w:val="00F00C46"/>
    <w:rsid w:val="00F0268D"/>
    <w:rsid w:val="00F034AA"/>
    <w:rsid w:val="00F062BA"/>
    <w:rsid w:val="00F068E1"/>
    <w:rsid w:val="00F15888"/>
    <w:rsid w:val="00F23261"/>
    <w:rsid w:val="00F25C27"/>
    <w:rsid w:val="00F30555"/>
    <w:rsid w:val="00F35547"/>
    <w:rsid w:val="00F43ABA"/>
    <w:rsid w:val="00F43F65"/>
    <w:rsid w:val="00F5712F"/>
    <w:rsid w:val="00F610F4"/>
    <w:rsid w:val="00F75EF5"/>
    <w:rsid w:val="00F830D9"/>
    <w:rsid w:val="00F852BD"/>
    <w:rsid w:val="00F85991"/>
    <w:rsid w:val="00F85BC0"/>
    <w:rsid w:val="00F9304A"/>
    <w:rsid w:val="00F93EF3"/>
    <w:rsid w:val="00FA339F"/>
    <w:rsid w:val="00FB21A4"/>
    <w:rsid w:val="00FD3A58"/>
    <w:rsid w:val="00FE02FF"/>
    <w:rsid w:val="00FE2714"/>
    <w:rsid w:val="00FF5E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1A39"/>
  <w15:chartTrackingRefBased/>
  <w15:docId w15:val="{301FBE34-AFD1-4CB2-A656-B2425EA4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460"/>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7460"/>
  </w:style>
  <w:style w:type="paragraph" w:styleId="Footer">
    <w:name w:val="footer"/>
    <w:basedOn w:val="Normal"/>
    <w:link w:val="FooterChar"/>
    <w:uiPriority w:val="99"/>
    <w:unhideWhenUsed/>
    <w:rsid w:val="00B57460"/>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7460"/>
  </w:style>
  <w:style w:type="paragraph" w:styleId="ListParagraph">
    <w:name w:val="List Paragraph"/>
    <w:basedOn w:val="Normal"/>
    <w:uiPriority w:val="34"/>
    <w:qFormat/>
    <w:rsid w:val="00B57460"/>
    <w:pPr>
      <w:ind w:left="720"/>
      <w:contextualSpacing/>
    </w:pPr>
  </w:style>
  <w:style w:type="table" w:styleId="TableGrid">
    <w:name w:val="Table Grid"/>
    <w:basedOn w:val="TableNormal"/>
    <w:uiPriority w:val="39"/>
    <w:rsid w:val="00236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236F7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F1393"/>
    <w:rPr>
      <w:sz w:val="16"/>
      <w:szCs w:val="16"/>
    </w:rPr>
  </w:style>
  <w:style w:type="paragraph" w:styleId="CommentText">
    <w:name w:val="annotation text"/>
    <w:basedOn w:val="Normal"/>
    <w:link w:val="CommentTextChar"/>
    <w:uiPriority w:val="99"/>
    <w:semiHidden/>
    <w:unhideWhenUsed/>
    <w:rsid w:val="00BF1393"/>
    <w:pPr>
      <w:spacing w:line="240" w:lineRule="auto"/>
    </w:pPr>
    <w:rPr>
      <w:sz w:val="20"/>
      <w:szCs w:val="20"/>
    </w:rPr>
  </w:style>
  <w:style w:type="character" w:customStyle="1" w:styleId="CommentTextChar">
    <w:name w:val="Comment Text Char"/>
    <w:basedOn w:val="DefaultParagraphFont"/>
    <w:link w:val="CommentText"/>
    <w:uiPriority w:val="99"/>
    <w:semiHidden/>
    <w:rsid w:val="00BF1393"/>
    <w:rPr>
      <w:sz w:val="20"/>
      <w:szCs w:val="20"/>
    </w:rPr>
  </w:style>
  <w:style w:type="paragraph" w:styleId="CommentSubject">
    <w:name w:val="annotation subject"/>
    <w:basedOn w:val="CommentText"/>
    <w:next w:val="CommentText"/>
    <w:link w:val="CommentSubjectChar"/>
    <w:uiPriority w:val="99"/>
    <w:semiHidden/>
    <w:unhideWhenUsed/>
    <w:rsid w:val="00BF1393"/>
    <w:rPr>
      <w:b/>
      <w:bCs/>
    </w:rPr>
  </w:style>
  <w:style w:type="character" w:customStyle="1" w:styleId="CommentSubjectChar">
    <w:name w:val="Comment Subject Char"/>
    <w:basedOn w:val="CommentTextChar"/>
    <w:link w:val="CommentSubject"/>
    <w:uiPriority w:val="99"/>
    <w:semiHidden/>
    <w:rsid w:val="00BF1393"/>
    <w:rPr>
      <w:b/>
      <w:bCs/>
      <w:sz w:val="20"/>
      <w:szCs w:val="20"/>
    </w:rPr>
  </w:style>
  <w:style w:type="paragraph" w:styleId="BalloonText">
    <w:name w:val="Balloon Text"/>
    <w:basedOn w:val="Normal"/>
    <w:link w:val="BalloonTextChar"/>
    <w:uiPriority w:val="99"/>
    <w:semiHidden/>
    <w:unhideWhenUsed/>
    <w:rsid w:val="00BF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393"/>
    <w:rPr>
      <w:rFonts w:ascii="Segoe UI" w:hAnsi="Segoe UI" w:cs="Segoe UI"/>
      <w:sz w:val="18"/>
      <w:szCs w:val="18"/>
    </w:rPr>
  </w:style>
  <w:style w:type="paragraph" w:styleId="HTMLPreformatted">
    <w:name w:val="HTML Preformatted"/>
    <w:basedOn w:val="Normal"/>
    <w:link w:val="HTMLPreformattedChar"/>
    <w:uiPriority w:val="99"/>
    <w:semiHidden/>
    <w:unhideWhenUsed/>
    <w:rsid w:val="00401C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1CD1"/>
    <w:rPr>
      <w:rFonts w:ascii="Consolas" w:hAnsi="Consolas"/>
      <w:sz w:val="20"/>
      <w:szCs w:val="20"/>
    </w:rPr>
  </w:style>
  <w:style w:type="character" w:styleId="Hyperlink">
    <w:name w:val="Hyperlink"/>
    <w:basedOn w:val="DefaultParagraphFont"/>
    <w:uiPriority w:val="99"/>
    <w:unhideWhenUsed/>
    <w:rsid w:val="00EA3F6C"/>
    <w:rPr>
      <w:color w:val="0563C1" w:themeColor="hyperlink"/>
      <w:u w:val="single"/>
    </w:rPr>
  </w:style>
  <w:style w:type="character" w:styleId="UnresolvedMention">
    <w:name w:val="Unresolved Mention"/>
    <w:basedOn w:val="DefaultParagraphFont"/>
    <w:uiPriority w:val="99"/>
    <w:semiHidden/>
    <w:unhideWhenUsed/>
    <w:rsid w:val="00EA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0785">
      <w:bodyDiv w:val="1"/>
      <w:marLeft w:val="0"/>
      <w:marRight w:val="0"/>
      <w:marTop w:val="0"/>
      <w:marBottom w:val="0"/>
      <w:divBdr>
        <w:top w:val="none" w:sz="0" w:space="0" w:color="auto"/>
        <w:left w:val="none" w:sz="0" w:space="0" w:color="auto"/>
        <w:bottom w:val="none" w:sz="0" w:space="0" w:color="auto"/>
        <w:right w:val="none" w:sz="0" w:space="0" w:color="auto"/>
      </w:divBdr>
    </w:div>
    <w:div w:id="798064247">
      <w:bodyDiv w:val="1"/>
      <w:marLeft w:val="0"/>
      <w:marRight w:val="0"/>
      <w:marTop w:val="0"/>
      <w:marBottom w:val="0"/>
      <w:divBdr>
        <w:top w:val="none" w:sz="0" w:space="0" w:color="auto"/>
        <w:left w:val="none" w:sz="0" w:space="0" w:color="auto"/>
        <w:bottom w:val="none" w:sz="0" w:space="0" w:color="auto"/>
        <w:right w:val="none" w:sz="0" w:space="0" w:color="auto"/>
      </w:divBdr>
      <w:divsChild>
        <w:div w:id="1451317065">
          <w:marLeft w:val="-240"/>
          <w:marRight w:val="-240"/>
          <w:marTop w:val="0"/>
          <w:marBottom w:val="0"/>
          <w:divBdr>
            <w:top w:val="none" w:sz="0" w:space="0" w:color="auto"/>
            <w:left w:val="none" w:sz="0" w:space="0" w:color="auto"/>
            <w:bottom w:val="none" w:sz="0" w:space="0" w:color="auto"/>
            <w:right w:val="none" w:sz="0" w:space="0" w:color="auto"/>
          </w:divBdr>
          <w:divsChild>
            <w:div w:id="2486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5248">
      <w:bodyDiv w:val="1"/>
      <w:marLeft w:val="0"/>
      <w:marRight w:val="0"/>
      <w:marTop w:val="0"/>
      <w:marBottom w:val="0"/>
      <w:divBdr>
        <w:top w:val="none" w:sz="0" w:space="0" w:color="auto"/>
        <w:left w:val="none" w:sz="0" w:space="0" w:color="auto"/>
        <w:bottom w:val="none" w:sz="0" w:space="0" w:color="auto"/>
        <w:right w:val="none" w:sz="0" w:space="0" w:color="auto"/>
      </w:divBdr>
      <w:divsChild>
        <w:div w:id="1658223192">
          <w:marLeft w:val="-240"/>
          <w:marRight w:val="-240"/>
          <w:marTop w:val="0"/>
          <w:marBottom w:val="0"/>
          <w:divBdr>
            <w:top w:val="none" w:sz="0" w:space="0" w:color="auto"/>
            <w:left w:val="none" w:sz="0" w:space="0" w:color="auto"/>
            <w:bottom w:val="none" w:sz="0" w:space="0" w:color="auto"/>
            <w:right w:val="none" w:sz="0" w:space="0" w:color="auto"/>
          </w:divBdr>
          <w:divsChild>
            <w:div w:id="162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7795">
      <w:bodyDiv w:val="1"/>
      <w:marLeft w:val="0"/>
      <w:marRight w:val="0"/>
      <w:marTop w:val="0"/>
      <w:marBottom w:val="0"/>
      <w:divBdr>
        <w:top w:val="none" w:sz="0" w:space="0" w:color="auto"/>
        <w:left w:val="none" w:sz="0" w:space="0" w:color="auto"/>
        <w:bottom w:val="none" w:sz="0" w:space="0" w:color="auto"/>
        <w:right w:val="none" w:sz="0" w:space="0" w:color="auto"/>
      </w:divBdr>
    </w:div>
    <w:div w:id="1277247625">
      <w:bodyDiv w:val="1"/>
      <w:marLeft w:val="0"/>
      <w:marRight w:val="0"/>
      <w:marTop w:val="0"/>
      <w:marBottom w:val="0"/>
      <w:divBdr>
        <w:top w:val="none" w:sz="0" w:space="0" w:color="auto"/>
        <w:left w:val="none" w:sz="0" w:space="0" w:color="auto"/>
        <w:bottom w:val="none" w:sz="0" w:space="0" w:color="auto"/>
        <w:right w:val="none" w:sz="0" w:space="0" w:color="auto"/>
      </w:divBdr>
    </w:div>
    <w:div w:id="14311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vatura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6A522CE4CD43C690555AF3D3DDD1D3"/>
        <w:category>
          <w:name w:val="General"/>
          <w:gallery w:val="placeholder"/>
        </w:category>
        <w:types>
          <w:type w:val="bbPlcHdr"/>
        </w:types>
        <w:behaviors>
          <w:behavior w:val="content"/>
        </w:behaviors>
        <w:guid w:val="{251E764E-151B-4F22-BA26-FA8F651D60F6}"/>
      </w:docPartPr>
      <w:docPartBody>
        <w:p w:rsidR="006A6E61" w:rsidRDefault="006A6E61" w:rsidP="006A6E61">
          <w:pPr>
            <w:pStyle w:val="CC6A522CE4CD43C690555AF3D3DDD1D3"/>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61"/>
    <w:rsid w:val="00081D00"/>
    <w:rsid w:val="00163BCC"/>
    <w:rsid w:val="005C5C01"/>
    <w:rsid w:val="006A6E61"/>
    <w:rsid w:val="00AF4B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A522CE4CD43C690555AF3D3DDD1D3">
    <w:name w:val="CC6A522CE4CD43C690555AF3D3DDD1D3"/>
    <w:rsid w:val="006A6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7</Pages>
  <Words>16622</Words>
  <Characters>9476</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Novaturas AB Remuneration Policy approved by ______________________________ on ___.___2019</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Novaturas AB Remuneration Policy approved by ______________________________ on ___.___2019</dc:title>
  <dc:subject/>
  <dc:creator>NOVATURAS - Rasa Stukiene</dc:creator>
  <cp:keywords/>
  <dc:description/>
  <cp:lastModifiedBy>NOVATURAS - Rasa Stukiene</cp:lastModifiedBy>
  <cp:revision>16</cp:revision>
  <cp:lastPrinted>2019-09-17T10:58:00Z</cp:lastPrinted>
  <dcterms:created xsi:type="dcterms:W3CDTF">2019-10-01T09:11:00Z</dcterms:created>
  <dcterms:modified xsi:type="dcterms:W3CDTF">2019-11-28T14:11:00Z</dcterms:modified>
</cp:coreProperties>
</file>