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AB2E6" w14:textId="77777777" w:rsidR="009450C8" w:rsidRPr="008E13E6" w:rsidRDefault="009450C8" w:rsidP="009B355D">
      <w:pPr>
        <w:tabs>
          <w:tab w:val="left" w:pos="1985"/>
        </w:tabs>
        <w:spacing w:after="120"/>
        <w:ind w:left="567" w:hanging="567"/>
        <w:jc w:val="right"/>
        <w:rPr>
          <w:sz w:val="20"/>
          <w:szCs w:val="22"/>
        </w:rPr>
      </w:pPr>
    </w:p>
    <w:p w14:paraId="783DD541" w14:textId="77777777" w:rsidR="00C67DD8" w:rsidRPr="008E13E6" w:rsidRDefault="00F11842">
      <w:pPr>
        <w:tabs>
          <w:tab w:val="left" w:pos="1985"/>
        </w:tabs>
        <w:spacing w:after="120"/>
        <w:ind w:left="567" w:hanging="567"/>
        <w:rPr>
          <w:sz w:val="20"/>
          <w:szCs w:val="22"/>
        </w:rPr>
      </w:pPr>
      <w:r w:rsidRPr="008E13E6">
        <w:rPr>
          <w:noProof/>
          <w:sz w:val="20"/>
          <w:lang w:val="en-US" w:eastAsia="en-US"/>
        </w:rPr>
        <w:drawing>
          <wp:anchor distT="0" distB="0" distL="114300" distR="114300" simplePos="0" relativeHeight="251658240" behindDoc="0" locked="0" layoutInCell="1" allowOverlap="1" wp14:anchorId="1BA1AD27" wp14:editId="247C75CE">
            <wp:simplePos x="0" y="0"/>
            <wp:positionH relativeFrom="margin">
              <wp:align>right</wp:align>
            </wp:positionH>
            <wp:positionV relativeFrom="paragraph">
              <wp:posOffset>187325</wp:posOffset>
            </wp:positionV>
            <wp:extent cx="2162175" cy="447675"/>
            <wp:effectExtent l="0" t="0" r="9525" b="9525"/>
            <wp:wrapNone/>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8">
                      <a:extLst>
                        <a:ext uri="{28A0092B-C50C-407E-A947-70E740481C1C}">
                          <a14:useLocalDpi xmlns:a14="http://schemas.microsoft.com/office/drawing/2010/main" val="0"/>
                        </a:ext>
                      </a:extLst>
                    </a:blip>
                    <a:stretch>
                      <a:fillRect/>
                    </a:stretch>
                  </pic:blipFill>
                  <pic:spPr>
                    <a:xfrm>
                      <a:off x="0" y="0"/>
                      <a:ext cx="2162175" cy="447675"/>
                    </a:xfrm>
                    <a:prstGeom prst="rect">
                      <a:avLst/>
                    </a:prstGeom>
                  </pic:spPr>
                </pic:pic>
              </a:graphicData>
            </a:graphic>
          </wp:anchor>
        </w:drawing>
      </w:r>
    </w:p>
    <w:p w14:paraId="772B0530" w14:textId="77777777" w:rsidR="00C67DD8" w:rsidRPr="008E13E6" w:rsidRDefault="00C67DD8">
      <w:pPr>
        <w:tabs>
          <w:tab w:val="left" w:pos="1985"/>
        </w:tabs>
        <w:spacing w:after="120"/>
        <w:ind w:left="567" w:hanging="567"/>
        <w:rPr>
          <w:sz w:val="20"/>
          <w:szCs w:val="22"/>
        </w:rPr>
      </w:pPr>
    </w:p>
    <w:p w14:paraId="4872F5E7" w14:textId="77777777" w:rsidR="009450C8" w:rsidRPr="008E13E6" w:rsidRDefault="009450C8">
      <w:pPr>
        <w:tabs>
          <w:tab w:val="left" w:pos="1985"/>
        </w:tabs>
        <w:spacing w:after="120"/>
        <w:ind w:left="567" w:hanging="567"/>
        <w:rPr>
          <w:sz w:val="20"/>
          <w:szCs w:val="22"/>
        </w:rPr>
      </w:pPr>
    </w:p>
    <w:p w14:paraId="7D50754F" w14:textId="77777777" w:rsidR="009450C8" w:rsidRPr="008E13E6" w:rsidRDefault="009450C8">
      <w:pPr>
        <w:tabs>
          <w:tab w:val="left" w:pos="1985"/>
        </w:tabs>
        <w:spacing w:after="120"/>
        <w:ind w:left="567" w:hanging="567"/>
        <w:rPr>
          <w:sz w:val="20"/>
          <w:szCs w:val="22"/>
        </w:rPr>
      </w:pPr>
    </w:p>
    <w:p w14:paraId="12B1421A" w14:textId="77777777" w:rsidR="00630B11" w:rsidRPr="008E13E6" w:rsidRDefault="009B355D" w:rsidP="009B355D">
      <w:pPr>
        <w:tabs>
          <w:tab w:val="left" w:pos="6702"/>
        </w:tabs>
        <w:spacing w:after="120"/>
        <w:ind w:left="567" w:hanging="567"/>
        <w:rPr>
          <w:sz w:val="20"/>
          <w:szCs w:val="22"/>
        </w:rPr>
      </w:pPr>
      <w:r w:rsidRPr="008E13E6">
        <w:rPr>
          <w:sz w:val="20"/>
          <w:szCs w:val="22"/>
        </w:rPr>
        <w:tab/>
      </w:r>
      <w:r w:rsidRPr="008E13E6">
        <w:rPr>
          <w:sz w:val="20"/>
          <w:szCs w:val="22"/>
        </w:rPr>
        <w:tab/>
      </w:r>
    </w:p>
    <w:p w14:paraId="3541903A" w14:textId="77777777" w:rsidR="00D63BD8" w:rsidRPr="008E13E6" w:rsidRDefault="00D63BD8">
      <w:pPr>
        <w:tabs>
          <w:tab w:val="left" w:pos="1985"/>
        </w:tabs>
        <w:spacing w:after="120"/>
        <w:ind w:left="567" w:hanging="567"/>
        <w:rPr>
          <w:sz w:val="20"/>
          <w:szCs w:val="22"/>
        </w:rPr>
      </w:pPr>
    </w:p>
    <w:p w14:paraId="2F46BE10" w14:textId="77777777" w:rsidR="00C67DD8" w:rsidRPr="008E13E6" w:rsidRDefault="00C67DD8">
      <w:pPr>
        <w:tabs>
          <w:tab w:val="left" w:pos="1985"/>
        </w:tabs>
        <w:spacing w:after="120"/>
        <w:ind w:left="567" w:hanging="567"/>
        <w:rPr>
          <w:sz w:val="20"/>
          <w:szCs w:val="22"/>
        </w:rPr>
      </w:pPr>
    </w:p>
    <w:p w14:paraId="47F6401B" w14:textId="77777777" w:rsidR="00C67DD8" w:rsidRPr="008E13E6" w:rsidRDefault="00C67DD8">
      <w:pPr>
        <w:tabs>
          <w:tab w:val="left" w:pos="1985"/>
        </w:tabs>
        <w:spacing w:after="120"/>
        <w:ind w:left="567" w:hanging="567"/>
        <w:rPr>
          <w:sz w:val="20"/>
          <w:szCs w:val="22"/>
        </w:rPr>
      </w:pPr>
    </w:p>
    <w:p w14:paraId="4D0632E9" w14:textId="77777777" w:rsidR="00C67DD8" w:rsidRPr="008E13E6" w:rsidRDefault="00C67DD8">
      <w:pPr>
        <w:tabs>
          <w:tab w:val="left" w:pos="1985"/>
        </w:tabs>
        <w:spacing w:after="120"/>
        <w:ind w:left="567" w:hanging="567"/>
        <w:rPr>
          <w:sz w:val="20"/>
          <w:szCs w:val="22"/>
        </w:rPr>
      </w:pPr>
    </w:p>
    <w:p w14:paraId="01DBEC17" w14:textId="77777777" w:rsidR="00C67DD8" w:rsidRPr="008E13E6" w:rsidRDefault="00C67DD8">
      <w:pPr>
        <w:tabs>
          <w:tab w:val="left" w:pos="1985"/>
        </w:tabs>
        <w:spacing w:after="120"/>
        <w:ind w:left="567" w:hanging="567"/>
        <w:rPr>
          <w:sz w:val="20"/>
          <w:szCs w:val="22"/>
        </w:rPr>
      </w:pPr>
    </w:p>
    <w:p w14:paraId="6CFCE0DB" w14:textId="77777777" w:rsidR="00D63BD8" w:rsidRPr="008E13E6" w:rsidRDefault="00D63BD8">
      <w:pPr>
        <w:tabs>
          <w:tab w:val="left" w:pos="1985"/>
        </w:tabs>
        <w:spacing w:after="120"/>
        <w:ind w:left="567" w:hanging="567"/>
        <w:rPr>
          <w:sz w:val="20"/>
          <w:szCs w:val="22"/>
        </w:rPr>
      </w:pPr>
    </w:p>
    <w:p w14:paraId="3C4B1BBC" w14:textId="77777777" w:rsidR="00D63BD8" w:rsidRPr="008E13E6" w:rsidRDefault="00D63BD8">
      <w:pPr>
        <w:tabs>
          <w:tab w:val="left" w:pos="1985"/>
        </w:tabs>
        <w:spacing w:after="120"/>
        <w:ind w:left="567" w:hanging="567"/>
        <w:rPr>
          <w:sz w:val="20"/>
          <w:szCs w:val="22"/>
        </w:rPr>
      </w:pPr>
    </w:p>
    <w:p w14:paraId="2873D48A" w14:textId="77777777" w:rsidR="00630B11" w:rsidRPr="008E13E6" w:rsidRDefault="00630B11">
      <w:pPr>
        <w:tabs>
          <w:tab w:val="left" w:pos="1985"/>
        </w:tabs>
        <w:spacing w:after="120"/>
        <w:ind w:left="567" w:hanging="567"/>
        <w:rPr>
          <w:sz w:val="20"/>
          <w:szCs w:val="22"/>
        </w:rPr>
      </w:pPr>
    </w:p>
    <w:p w14:paraId="7EAD726B" w14:textId="77777777" w:rsidR="00CA78EB" w:rsidRPr="008E13E6" w:rsidRDefault="00CA78EB" w:rsidP="00CA78EB">
      <w:pPr>
        <w:tabs>
          <w:tab w:val="left" w:pos="1985"/>
        </w:tabs>
        <w:ind w:left="1134"/>
        <w:rPr>
          <w:sz w:val="20"/>
          <w:szCs w:val="22"/>
        </w:rPr>
      </w:pPr>
    </w:p>
    <w:p w14:paraId="5F0B6D3A" w14:textId="77777777" w:rsidR="00CA78EB" w:rsidRPr="008E13E6" w:rsidRDefault="00CA78EB" w:rsidP="009643B8">
      <w:pPr>
        <w:tabs>
          <w:tab w:val="left" w:pos="1985"/>
        </w:tabs>
        <w:spacing w:after="120"/>
        <w:ind w:left="1134"/>
        <w:jc w:val="center"/>
        <w:rPr>
          <w:color w:val="002060"/>
          <w:sz w:val="40"/>
          <w:szCs w:val="44"/>
        </w:rPr>
      </w:pPr>
      <w:r w:rsidRPr="008E13E6">
        <w:rPr>
          <w:color w:val="002060"/>
          <w:sz w:val="40"/>
          <w:szCs w:val="44"/>
        </w:rPr>
        <w:t>Inves</w:t>
      </w:r>
      <w:r w:rsidR="00602FCF" w:rsidRPr="008E13E6">
        <w:rPr>
          <w:color w:val="002060"/>
          <w:sz w:val="40"/>
          <w:szCs w:val="44"/>
        </w:rPr>
        <w:t xml:space="preserve">teringsforeningen </w:t>
      </w:r>
      <w:proofErr w:type="spellStart"/>
      <w:r w:rsidR="00757287" w:rsidRPr="008E13E6">
        <w:rPr>
          <w:color w:val="002060"/>
          <w:sz w:val="40"/>
          <w:szCs w:val="44"/>
        </w:rPr>
        <w:t>PortfolioManager</w:t>
      </w:r>
      <w:proofErr w:type="spellEnd"/>
    </w:p>
    <w:p w14:paraId="546A3BBC" w14:textId="77777777" w:rsidR="009643B8" w:rsidRPr="008E13E6" w:rsidRDefault="009643B8" w:rsidP="009643B8">
      <w:pPr>
        <w:ind w:firstLine="1134"/>
        <w:jc w:val="center"/>
        <w:rPr>
          <w:sz w:val="28"/>
          <w:szCs w:val="32"/>
        </w:rPr>
      </w:pPr>
    </w:p>
    <w:p w14:paraId="0A828A32" w14:textId="77777777" w:rsidR="009643B8" w:rsidRPr="008E13E6" w:rsidRDefault="009643B8" w:rsidP="009643B8">
      <w:pPr>
        <w:ind w:firstLine="1134"/>
        <w:jc w:val="center"/>
        <w:rPr>
          <w:sz w:val="28"/>
          <w:szCs w:val="32"/>
        </w:rPr>
      </w:pPr>
    </w:p>
    <w:p w14:paraId="4CFC4D0C" w14:textId="77777777" w:rsidR="009643B8" w:rsidRPr="008E13E6" w:rsidRDefault="009643B8" w:rsidP="009643B8">
      <w:pPr>
        <w:ind w:firstLine="1134"/>
        <w:jc w:val="center"/>
        <w:rPr>
          <w:sz w:val="32"/>
          <w:szCs w:val="36"/>
        </w:rPr>
      </w:pPr>
    </w:p>
    <w:p w14:paraId="062497A2" w14:textId="464AC956" w:rsidR="009643B8" w:rsidRPr="008E13E6" w:rsidRDefault="00AF6B85" w:rsidP="009643B8">
      <w:pPr>
        <w:ind w:firstLine="1134"/>
        <w:jc w:val="center"/>
        <w:rPr>
          <w:color w:val="002060"/>
          <w:sz w:val="32"/>
          <w:szCs w:val="36"/>
        </w:rPr>
      </w:pPr>
      <w:r>
        <w:rPr>
          <w:color w:val="002060"/>
          <w:sz w:val="32"/>
          <w:szCs w:val="36"/>
        </w:rPr>
        <w:t>P</w:t>
      </w:r>
      <w:r w:rsidR="003C663A" w:rsidRPr="008E13E6">
        <w:rPr>
          <w:color w:val="002060"/>
          <w:sz w:val="32"/>
          <w:szCs w:val="36"/>
        </w:rPr>
        <w:t>rospekt for</w:t>
      </w:r>
      <w:r w:rsidR="009643B8" w:rsidRPr="008E13E6">
        <w:rPr>
          <w:color w:val="002060"/>
          <w:sz w:val="32"/>
          <w:szCs w:val="36"/>
        </w:rPr>
        <w:t xml:space="preserve"> </w:t>
      </w:r>
      <w:r w:rsidR="00104FA1" w:rsidRPr="008E13E6">
        <w:rPr>
          <w:color w:val="002060"/>
          <w:sz w:val="32"/>
          <w:szCs w:val="36"/>
        </w:rPr>
        <w:t xml:space="preserve"> </w:t>
      </w:r>
    </w:p>
    <w:p w14:paraId="44D9E643" w14:textId="77777777" w:rsidR="009643B8" w:rsidRPr="008E13E6" w:rsidRDefault="009643B8" w:rsidP="009643B8">
      <w:pPr>
        <w:ind w:firstLine="1134"/>
        <w:jc w:val="center"/>
        <w:rPr>
          <w:color w:val="002060"/>
          <w:sz w:val="32"/>
          <w:szCs w:val="36"/>
          <w:lang w:eastAsia="en-US"/>
        </w:rPr>
      </w:pPr>
    </w:p>
    <w:p w14:paraId="76636BF5" w14:textId="77777777" w:rsidR="003C663A" w:rsidRPr="008E13E6" w:rsidRDefault="00757287" w:rsidP="009643B8">
      <w:pPr>
        <w:ind w:firstLine="1134"/>
        <w:jc w:val="center"/>
        <w:rPr>
          <w:color w:val="002060"/>
          <w:sz w:val="32"/>
          <w:szCs w:val="36"/>
        </w:rPr>
      </w:pPr>
      <w:r w:rsidRPr="008E13E6">
        <w:rPr>
          <w:color w:val="002060"/>
          <w:sz w:val="32"/>
          <w:szCs w:val="36"/>
          <w:lang w:eastAsia="en-US"/>
        </w:rPr>
        <w:t xml:space="preserve">PP Capital – </w:t>
      </w:r>
      <w:r w:rsidR="009C3621" w:rsidRPr="008E13E6">
        <w:rPr>
          <w:color w:val="002060"/>
          <w:sz w:val="32"/>
          <w:szCs w:val="36"/>
          <w:lang w:eastAsia="en-US"/>
        </w:rPr>
        <w:t>BASIS</w:t>
      </w:r>
      <w:r w:rsidR="00104FA1" w:rsidRPr="008E13E6">
        <w:rPr>
          <w:color w:val="002060"/>
          <w:sz w:val="32"/>
          <w:szCs w:val="36"/>
          <w:lang w:eastAsia="en-US"/>
        </w:rPr>
        <w:t>, kl</w:t>
      </w:r>
      <w:r w:rsidR="009C3621" w:rsidRPr="008E13E6">
        <w:rPr>
          <w:color w:val="002060"/>
          <w:sz w:val="32"/>
          <w:szCs w:val="36"/>
          <w:lang w:eastAsia="en-US"/>
        </w:rPr>
        <w:t xml:space="preserve"> n</w:t>
      </w:r>
      <w:r w:rsidR="003D49F1" w:rsidRPr="008E13E6">
        <w:rPr>
          <w:color w:val="002060"/>
          <w:sz w:val="32"/>
          <w:szCs w:val="36"/>
          <w:lang w:eastAsia="en-US"/>
        </w:rPr>
        <w:t xml:space="preserve"> EUR</w:t>
      </w:r>
    </w:p>
    <w:p w14:paraId="5F318B1E" w14:textId="77777777" w:rsidR="00844BAC" w:rsidRPr="008E13E6" w:rsidRDefault="00844BAC" w:rsidP="009643B8">
      <w:pPr>
        <w:pStyle w:val="Listeafsnit"/>
        <w:tabs>
          <w:tab w:val="left" w:pos="1985"/>
        </w:tabs>
        <w:spacing w:after="120"/>
        <w:ind w:left="2574"/>
        <w:contextualSpacing w:val="0"/>
        <w:rPr>
          <w:sz w:val="32"/>
          <w:szCs w:val="32"/>
        </w:rPr>
      </w:pPr>
    </w:p>
    <w:p w14:paraId="0AB2D425" w14:textId="77777777" w:rsidR="003C663A" w:rsidRPr="008E13E6" w:rsidRDefault="003C663A" w:rsidP="003C663A">
      <w:pPr>
        <w:ind w:firstLine="1134"/>
        <w:rPr>
          <w:sz w:val="18"/>
          <w:szCs w:val="22"/>
        </w:rPr>
      </w:pPr>
    </w:p>
    <w:p w14:paraId="0981458B" w14:textId="77777777" w:rsidR="003C663A" w:rsidRPr="008E13E6" w:rsidRDefault="003C663A" w:rsidP="00C67DD8">
      <w:pPr>
        <w:tabs>
          <w:tab w:val="left" w:pos="1985"/>
        </w:tabs>
        <w:ind w:left="1134"/>
        <w:rPr>
          <w:rFonts w:eastAsiaTheme="minorHAnsi"/>
          <w:szCs w:val="24"/>
        </w:rPr>
      </w:pPr>
    </w:p>
    <w:p w14:paraId="3F559E84" w14:textId="77777777" w:rsidR="009450C8" w:rsidRPr="008E13E6" w:rsidRDefault="009450C8" w:rsidP="00752F0B">
      <w:pPr>
        <w:rPr>
          <w:sz w:val="20"/>
          <w:lang w:val="nb-NO"/>
        </w:rPr>
      </w:pPr>
    </w:p>
    <w:p w14:paraId="52AF108F" w14:textId="77777777" w:rsidR="00493AFE" w:rsidRPr="008E13E6" w:rsidRDefault="00493AFE" w:rsidP="00752F0B">
      <w:pPr>
        <w:rPr>
          <w:sz w:val="20"/>
          <w:lang w:val="nb-NO"/>
        </w:rPr>
      </w:pPr>
    </w:p>
    <w:p w14:paraId="211B194A" w14:textId="77777777" w:rsidR="00B46ABF" w:rsidRPr="008E13E6" w:rsidRDefault="00B46ABF" w:rsidP="00752F0B">
      <w:pPr>
        <w:rPr>
          <w:sz w:val="20"/>
          <w:lang w:val="nb-NO"/>
        </w:rPr>
      </w:pPr>
    </w:p>
    <w:p w14:paraId="27A5EF78" w14:textId="77777777" w:rsidR="00493AFE" w:rsidRPr="008E13E6" w:rsidRDefault="00493AFE" w:rsidP="00752F0B">
      <w:pPr>
        <w:rPr>
          <w:sz w:val="20"/>
          <w:lang w:val="nb-NO"/>
        </w:rPr>
      </w:pPr>
    </w:p>
    <w:p w14:paraId="23E0A24A" w14:textId="77777777" w:rsidR="009450C8" w:rsidRPr="008E13E6" w:rsidRDefault="009450C8">
      <w:pPr>
        <w:tabs>
          <w:tab w:val="left" w:pos="1985"/>
        </w:tabs>
        <w:spacing w:after="120"/>
        <w:ind w:left="567" w:right="283" w:hanging="567"/>
        <w:jc w:val="right"/>
        <w:rPr>
          <w:sz w:val="20"/>
          <w:szCs w:val="22"/>
          <w:lang w:val="nb-NO"/>
        </w:rPr>
      </w:pPr>
    </w:p>
    <w:p w14:paraId="7BBEC699" w14:textId="77777777" w:rsidR="00D63BD8" w:rsidRPr="008E13E6" w:rsidRDefault="00C206B5" w:rsidP="00405660">
      <w:pPr>
        <w:pStyle w:val="Overskrift2"/>
        <w:numPr>
          <w:ilvl w:val="0"/>
          <w:numId w:val="0"/>
        </w:numPr>
        <w:pBdr>
          <w:bottom w:val="single" w:sz="4" w:space="0" w:color="auto"/>
        </w:pBdr>
        <w:spacing w:before="360"/>
        <w:ind w:left="576" w:hanging="576"/>
        <w:jc w:val="center"/>
        <w:rPr>
          <w:rFonts w:ascii="Times New Roman" w:hAnsi="Times New Roman"/>
          <w:i w:val="0"/>
          <w:iCs/>
          <w:sz w:val="28"/>
        </w:rPr>
      </w:pPr>
      <w:r w:rsidRPr="008E13E6">
        <w:rPr>
          <w:rFonts w:ascii="Times New Roman" w:hAnsi="Times New Roman"/>
          <w:iCs/>
          <w:noProof/>
          <w:sz w:val="20"/>
          <w:szCs w:val="22"/>
          <w:lang w:val="nb-NO"/>
        </w:rPr>
        <w:br w:type="page"/>
      </w:r>
      <w:bookmarkStart w:id="0" w:name="_Toc443370859"/>
      <w:bookmarkStart w:id="1" w:name="_Toc9239892"/>
      <w:bookmarkStart w:id="2" w:name="_Toc261361816"/>
      <w:bookmarkStart w:id="3" w:name="_Toc395703400"/>
      <w:bookmarkStart w:id="4" w:name="_Toc408990613"/>
      <w:r w:rsidR="00D63BD8" w:rsidRPr="008E13E6">
        <w:rPr>
          <w:rFonts w:ascii="Times New Roman" w:hAnsi="Times New Roman"/>
          <w:i w:val="0"/>
          <w:sz w:val="24"/>
        </w:rPr>
        <w:lastRenderedPageBreak/>
        <w:t>Indholdsfortegnelse</w:t>
      </w:r>
      <w:bookmarkEnd w:id="0"/>
      <w:bookmarkEnd w:id="1"/>
    </w:p>
    <w:sdt>
      <w:sdtPr>
        <w:rPr>
          <w:rFonts w:ascii="Times New Roman" w:eastAsia="Times New Roman" w:hAnsi="Times New Roman" w:cs="Times New Roman"/>
          <w:color w:val="auto"/>
          <w:sz w:val="20"/>
          <w:szCs w:val="20"/>
          <w:lang w:val="da-DK" w:eastAsia="da-DK"/>
        </w:rPr>
        <w:id w:val="1406876863"/>
        <w:docPartObj>
          <w:docPartGallery w:val="Table of Contents"/>
          <w:docPartUnique/>
        </w:docPartObj>
      </w:sdtPr>
      <w:sdtEndPr>
        <w:rPr>
          <w:b/>
          <w:bCs/>
          <w:noProof/>
          <w:szCs w:val="22"/>
        </w:rPr>
      </w:sdtEndPr>
      <w:sdtContent>
        <w:p w14:paraId="60D5D3FD" w14:textId="77777777" w:rsidR="00D63BD8" w:rsidRPr="009643B8" w:rsidRDefault="00D63BD8" w:rsidP="00C04B8F">
          <w:pPr>
            <w:pStyle w:val="Overskrift"/>
            <w:spacing w:before="0" w:line="120" w:lineRule="auto"/>
            <w:rPr>
              <w:rFonts w:ascii="Times New Roman" w:hAnsi="Times New Roman" w:cs="Times New Roman"/>
              <w:color w:val="auto"/>
              <w:sz w:val="2"/>
              <w:szCs w:val="2"/>
              <w:lang w:val="da-DK"/>
            </w:rPr>
          </w:pPr>
          <w:r w:rsidRPr="009643B8">
            <w:rPr>
              <w:rFonts w:ascii="Times New Roman" w:hAnsi="Times New Roman" w:cs="Times New Roman"/>
              <w:color w:val="auto"/>
              <w:sz w:val="2"/>
              <w:szCs w:val="2"/>
              <w:lang w:val="da-DK"/>
            </w:rPr>
            <w:t>Contents</w:t>
          </w:r>
        </w:p>
        <w:p w14:paraId="4F03AA55" w14:textId="2303D80C" w:rsidR="00C86477" w:rsidRDefault="0080322B">
          <w:pPr>
            <w:pStyle w:val="Indholdsfortegnelse2"/>
            <w:tabs>
              <w:tab w:val="right" w:leader="dot" w:pos="9345"/>
            </w:tabs>
            <w:rPr>
              <w:rFonts w:eastAsiaTheme="minorEastAsia" w:cstheme="minorBidi"/>
              <w:b w:val="0"/>
              <w:bCs w:val="0"/>
              <w:noProof/>
              <w:sz w:val="22"/>
              <w:szCs w:val="22"/>
            </w:rPr>
          </w:pPr>
          <w:r w:rsidRPr="008E13E6">
            <w:rPr>
              <w:rFonts w:ascii="Times New Roman" w:hAnsi="Times New Roman"/>
              <w:b w:val="0"/>
              <w:bCs w:val="0"/>
              <w:szCs w:val="22"/>
            </w:rPr>
            <w:fldChar w:fldCharType="begin"/>
          </w:r>
          <w:r w:rsidR="00C04B8F" w:rsidRPr="008E13E6">
            <w:rPr>
              <w:rFonts w:ascii="Times New Roman" w:hAnsi="Times New Roman"/>
              <w:b w:val="0"/>
              <w:bCs w:val="0"/>
              <w:szCs w:val="22"/>
            </w:rPr>
            <w:instrText xml:space="preserve"> TOC \o "1-4" \h \z \u </w:instrText>
          </w:r>
          <w:r w:rsidRPr="008E13E6">
            <w:rPr>
              <w:rFonts w:ascii="Times New Roman" w:hAnsi="Times New Roman"/>
              <w:b w:val="0"/>
              <w:bCs w:val="0"/>
              <w:szCs w:val="22"/>
            </w:rPr>
            <w:fldChar w:fldCharType="separate"/>
          </w:r>
          <w:hyperlink w:anchor="_Toc9239892" w:history="1">
            <w:r w:rsidR="00C86477" w:rsidRPr="0035619B">
              <w:rPr>
                <w:rStyle w:val="Hyperlink"/>
                <w:rFonts w:ascii="Times New Roman" w:hAnsi="Times New Roman"/>
                <w:noProof/>
              </w:rPr>
              <w:t>Indholdsfortegnelse</w:t>
            </w:r>
            <w:r w:rsidR="00C86477">
              <w:rPr>
                <w:noProof/>
                <w:webHidden/>
              </w:rPr>
              <w:tab/>
            </w:r>
            <w:r w:rsidR="00C86477">
              <w:rPr>
                <w:noProof/>
                <w:webHidden/>
              </w:rPr>
              <w:fldChar w:fldCharType="begin"/>
            </w:r>
            <w:r w:rsidR="00C86477">
              <w:rPr>
                <w:noProof/>
                <w:webHidden/>
              </w:rPr>
              <w:instrText xml:space="preserve"> PAGEREF _Toc9239892 \h </w:instrText>
            </w:r>
            <w:r w:rsidR="00C86477">
              <w:rPr>
                <w:noProof/>
                <w:webHidden/>
              </w:rPr>
            </w:r>
            <w:r w:rsidR="00C86477">
              <w:rPr>
                <w:noProof/>
                <w:webHidden/>
              </w:rPr>
              <w:fldChar w:fldCharType="separate"/>
            </w:r>
            <w:r w:rsidR="00195831">
              <w:rPr>
                <w:noProof/>
                <w:webHidden/>
              </w:rPr>
              <w:t>1</w:t>
            </w:r>
            <w:r w:rsidR="00C86477">
              <w:rPr>
                <w:noProof/>
                <w:webHidden/>
              </w:rPr>
              <w:fldChar w:fldCharType="end"/>
            </w:r>
          </w:hyperlink>
        </w:p>
        <w:p w14:paraId="5AAA70D8" w14:textId="768F8C09" w:rsidR="00C86477" w:rsidRDefault="00A11101">
          <w:pPr>
            <w:pStyle w:val="Indholdsfortegnelse2"/>
            <w:tabs>
              <w:tab w:val="right" w:leader="dot" w:pos="9345"/>
            </w:tabs>
            <w:rPr>
              <w:rFonts w:eastAsiaTheme="minorEastAsia" w:cstheme="minorBidi"/>
              <w:b w:val="0"/>
              <w:bCs w:val="0"/>
              <w:noProof/>
              <w:sz w:val="22"/>
              <w:szCs w:val="22"/>
            </w:rPr>
          </w:pPr>
          <w:hyperlink w:anchor="_Toc9239893" w:history="1">
            <w:r w:rsidR="00C86477" w:rsidRPr="0035619B">
              <w:rPr>
                <w:rStyle w:val="Hyperlink"/>
                <w:rFonts w:ascii="Times New Roman" w:hAnsi="Times New Roman"/>
                <w:noProof/>
              </w:rPr>
              <w:t>Ansvar for prospektet for</w:t>
            </w:r>
            <w:r w:rsidR="00C86477">
              <w:rPr>
                <w:noProof/>
                <w:webHidden/>
              </w:rPr>
              <w:tab/>
            </w:r>
            <w:r w:rsidR="00C86477">
              <w:rPr>
                <w:noProof/>
                <w:webHidden/>
              </w:rPr>
              <w:fldChar w:fldCharType="begin"/>
            </w:r>
            <w:r w:rsidR="00C86477">
              <w:rPr>
                <w:noProof/>
                <w:webHidden/>
              </w:rPr>
              <w:instrText xml:space="preserve"> PAGEREF _Toc9239893 \h </w:instrText>
            </w:r>
            <w:r w:rsidR="00C86477">
              <w:rPr>
                <w:noProof/>
                <w:webHidden/>
              </w:rPr>
            </w:r>
            <w:r w:rsidR="00C86477">
              <w:rPr>
                <w:noProof/>
                <w:webHidden/>
              </w:rPr>
              <w:fldChar w:fldCharType="separate"/>
            </w:r>
            <w:r w:rsidR="00195831">
              <w:rPr>
                <w:noProof/>
                <w:webHidden/>
              </w:rPr>
              <w:t>3</w:t>
            </w:r>
            <w:r w:rsidR="00C86477">
              <w:rPr>
                <w:noProof/>
                <w:webHidden/>
              </w:rPr>
              <w:fldChar w:fldCharType="end"/>
            </w:r>
          </w:hyperlink>
        </w:p>
        <w:p w14:paraId="57B7F2DF" w14:textId="11D93FF5" w:rsidR="00C86477" w:rsidRDefault="00A11101">
          <w:pPr>
            <w:pStyle w:val="Indholdsfortegnelse2"/>
            <w:tabs>
              <w:tab w:val="right" w:leader="dot" w:pos="9345"/>
            </w:tabs>
            <w:rPr>
              <w:rFonts w:eastAsiaTheme="minorEastAsia" w:cstheme="minorBidi"/>
              <w:b w:val="0"/>
              <w:bCs w:val="0"/>
              <w:noProof/>
              <w:sz w:val="22"/>
              <w:szCs w:val="22"/>
            </w:rPr>
          </w:pPr>
          <w:hyperlink w:anchor="_Toc9239894" w:history="1">
            <w:r w:rsidR="00C86477" w:rsidRPr="0035619B">
              <w:rPr>
                <w:rStyle w:val="Hyperlink"/>
                <w:rFonts w:ascii="Times New Roman" w:hAnsi="Times New Roman"/>
                <w:noProof/>
              </w:rPr>
              <w:t>Tegningsbetingelser for</w:t>
            </w:r>
            <w:r w:rsidR="00C86477">
              <w:rPr>
                <w:noProof/>
                <w:webHidden/>
              </w:rPr>
              <w:tab/>
            </w:r>
            <w:r w:rsidR="00C86477">
              <w:rPr>
                <w:noProof/>
                <w:webHidden/>
              </w:rPr>
              <w:fldChar w:fldCharType="begin"/>
            </w:r>
            <w:r w:rsidR="00C86477">
              <w:rPr>
                <w:noProof/>
                <w:webHidden/>
              </w:rPr>
              <w:instrText xml:space="preserve"> PAGEREF _Toc9239894 \h </w:instrText>
            </w:r>
            <w:r w:rsidR="00C86477">
              <w:rPr>
                <w:noProof/>
                <w:webHidden/>
              </w:rPr>
            </w:r>
            <w:r w:rsidR="00C86477">
              <w:rPr>
                <w:noProof/>
                <w:webHidden/>
              </w:rPr>
              <w:fldChar w:fldCharType="separate"/>
            </w:r>
            <w:r w:rsidR="00195831">
              <w:rPr>
                <w:noProof/>
                <w:webHidden/>
              </w:rPr>
              <w:t>4</w:t>
            </w:r>
            <w:r w:rsidR="00C86477">
              <w:rPr>
                <w:noProof/>
                <w:webHidden/>
              </w:rPr>
              <w:fldChar w:fldCharType="end"/>
            </w:r>
          </w:hyperlink>
        </w:p>
        <w:p w14:paraId="46ED3E23" w14:textId="39C1BAE8" w:rsidR="00C86477" w:rsidRDefault="00A11101">
          <w:pPr>
            <w:pStyle w:val="Indholdsfortegnelse2"/>
            <w:tabs>
              <w:tab w:val="right" w:leader="dot" w:pos="9345"/>
            </w:tabs>
            <w:rPr>
              <w:rFonts w:eastAsiaTheme="minorEastAsia" w:cstheme="minorBidi"/>
              <w:b w:val="0"/>
              <w:bCs w:val="0"/>
              <w:noProof/>
              <w:sz w:val="22"/>
              <w:szCs w:val="22"/>
            </w:rPr>
          </w:pPr>
          <w:hyperlink w:anchor="_Toc9239895" w:history="1">
            <w:r w:rsidR="00C86477" w:rsidRPr="0035619B">
              <w:rPr>
                <w:rStyle w:val="Hyperlink"/>
                <w:rFonts w:ascii="Times New Roman" w:hAnsi="Times New Roman"/>
                <w:noProof/>
              </w:rPr>
              <w:t>Foreningen</w:t>
            </w:r>
            <w:r w:rsidR="00C86477">
              <w:rPr>
                <w:noProof/>
                <w:webHidden/>
              </w:rPr>
              <w:tab/>
            </w:r>
            <w:r w:rsidR="00C86477">
              <w:rPr>
                <w:noProof/>
                <w:webHidden/>
              </w:rPr>
              <w:fldChar w:fldCharType="begin"/>
            </w:r>
            <w:r w:rsidR="00C86477">
              <w:rPr>
                <w:noProof/>
                <w:webHidden/>
              </w:rPr>
              <w:instrText xml:space="preserve"> PAGEREF _Toc9239895 \h </w:instrText>
            </w:r>
            <w:r w:rsidR="00C86477">
              <w:rPr>
                <w:noProof/>
                <w:webHidden/>
              </w:rPr>
            </w:r>
            <w:r w:rsidR="00C86477">
              <w:rPr>
                <w:noProof/>
                <w:webHidden/>
              </w:rPr>
              <w:fldChar w:fldCharType="separate"/>
            </w:r>
            <w:r w:rsidR="00195831">
              <w:rPr>
                <w:noProof/>
                <w:webHidden/>
              </w:rPr>
              <w:t>4</w:t>
            </w:r>
            <w:r w:rsidR="00C86477">
              <w:rPr>
                <w:noProof/>
                <w:webHidden/>
              </w:rPr>
              <w:fldChar w:fldCharType="end"/>
            </w:r>
          </w:hyperlink>
        </w:p>
        <w:p w14:paraId="1675987D" w14:textId="33D71492" w:rsidR="00C86477" w:rsidRDefault="00A11101">
          <w:pPr>
            <w:pStyle w:val="Indholdsfortegnelse4"/>
            <w:rPr>
              <w:rFonts w:eastAsiaTheme="minorEastAsia" w:cstheme="minorBidi"/>
              <w:noProof/>
              <w:sz w:val="22"/>
              <w:szCs w:val="22"/>
            </w:rPr>
          </w:pPr>
          <w:hyperlink w:anchor="_Toc9239896" w:history="1">
            <w:r w:rsidR="00C86477" w:rsidRPr="0035619B">
              <w:rPr>
                <w:rStyle w:val="Hyperlink"/>
                <w:i/>
                <w:noProof/>
              </w:rPr>
              <w:t>1.</w:t>
            </w:r>
            <w:r w:rsidR="00C86477">
              <w:rPr>
                <w:rFonts w:eastAsiaTheme="minorEastAsia" w:cstheme="minorBidi"/>
                <w:noProof/>
                <w:sz w:val="22"/>
                <w:szCs w:val="22"/>
              </w:rPr>
              <w:tab/>
            </w:r>
            <w:r w:rsidR="00C86477" w:rsidRPr="0035619B">
              <w:rPr>
                <w:rStyle w:val="Hyperlink"/>
                <w:i/>
                <w:noProof/>
              </w:rPr>
              <w:t>Foreningens navn, adresse m.v.</w:t>
            </w:r>
            <w:r w:rsidR="00C86477">
              <w:rPr>
                <w:noProof/>
                <w:webHidden/>
              </w:rPr>
              <w:tab/>
            </w:r>
            <w:r w:rsidR="00C86477">
              <w:rPr>
                <w:noProof/>
                <w:webHidden/>
              </w:rPr>
              <w:fldChar w:fldCharType="begin"/>
            </w:r>
            <w:r w:rsidR="00C86477">
              <w:rPr>
                <w:noProof/>
                <w:webHidden/>
              </w:rPr>
              <w:instrText xml:space="preserve"> PAGEREF _Toc9239896 \h </w:instrText>
            </w:r>
            <w:r w:rsidR="00C86477">
              <w:rPr>
                <w:noProof/>
                <w:webHidden/>
              </w:rPr>
            </w:r>
            <w:r w:rsidR="00C86477">
              <w:rPr>
                <w:noProof/>
                <w:webHidden/>
              </w:rPr>
              <w:fldChar w:fldCharType="separate"/>
            </w:r>
            <w:r w:rsidR="00195831">
              <w:rPr>
                <w:noProof/>
                <w:webHidden/>
              </w:rPr>
              <w:t>4</w:t>
            </w:r>
            <w:r w:rsidR="00C86477">
              <w:rPr>
                <w:noProof/>
                <w:webHidden/>
              </w:rPr>
              <w:fldChar w:fldCharType="end"/>
            </w:r>
          </w:hyperlink>
        </w:p>
        <w:p w14:paraId="3867A9BC" w14:textId="0683E101" w:rsidR="00C86477" w:rsidRDefault="00A11101">
          <w:pPr>
            <w:pStyle w:val="Indholdsfortegnelse4"/>
            <w:rPr>
              <w:rFonts w:eastAsiaTheme="minorEastAsia" w:cstheme="minorBidi"/>
              <w:noProof/>
              <w:sz w:val="22"/>
              <w:szCs w:val="22"/>
            </w:rPr>
          </w:pPr>
          <w:hyperlink w:anchor="_Toc9239897" w:history="1">
            <w:r w:rsidR="00C86477" w:rsidRPr="0035619B">
              <w:rPr>
                <w:rStyle w:val="Hyperlink"/>
                <w:i/>
                <w:noProof/>
              </w:rPr>
              <w:t>2.</w:t>
            </w:r>
            <w:r w:rsidR="00C86477">
              <w:rPr>
                <w:rFonts w:eastAsiaTheme="minorEastAsia" w:cstheme="minorBidi"/>
                <w:noProof/>
                <w:sz w:val="22"/>
                <w:szCs w:val="22"/>
              </w:rPr>
              <w:tab/>
            </w:r>
            <w:r w:rsidR="00C86477" w:rsidRPr="0035619B">
              <w:rPr>
                <w:rStyle w:val="Hyperlink"/>
                <w:i/>
                <w:noProof/>
              </w:rPr>
              <w:t>Foreningens formål</w:t>
            </w:r>
            <w:r w:rsidR="00C86477">
              <w:rPr>
                <w:noProof/>
                <w:webHidden/>
              </w:rPr>
              <w:tab/>
            </w:r>
            <w:r w:rsidR="00C86477">
              <w:rPr>
                <w:noProof/>
                <w:webHidden/>
              </w:rPr>
              <w:fldChar w:fldCharType="begin"/>
            </w:r>
            <w:r w:rsidR="00C86477">
              <w:rPr>
                <w:noProof/>
                <w:webHidden/>
              </w:rPr>
              <w:instrText xml:space="preserve"> PAGEREF _Toc9239897 \h </w:instrText>
            </w:r>
            <w:r w:rsidR="00C86477">
              <w:rPr>
                <w:noProof/>
                <w:webHidden/>
              </w:rPr>
            </w:r>
            <w:r w:rsidR="00C86477">
              <w:rPr>
                <w:noProof/>
                <w:webHidden/>
              </w:rPr>
              <w:fldChar w:fldCharType="separate"/>
            </w:r>
            <w:r w:rsidR="00195831">
              <w:rPr>
                <w:noProof/>
                <w:webHidden/>
              </w:rPr>
              <w:t>4</w:t>
            </w:r>
            <w:r w:rsidR="00C86477">
              <w:rPr>
                <w:noProof/>
                <w:webHidden/>
              </w:rPr>
              <w:fldChar w:fldCharType="end"/>
            </w:r>
          </w:hyperlink>
        </w:p>
        <w:p w14:paraId="7BE75F38" w14:textId="2E66626B" w:rsidR="00C86477" w:rsidRDefault="00A11101">
          <w:pPr>
            <w:pStyle w:val="Indholdsfortegnelse4"/>
            <w:rPr>
              <w:rFonts w:eastAsiaTheme="minorEastAsia" w:cstheme="minorBidi"/>
              <w:noProof/>
              <w:sz w:val="22"/>
              <w:szCs w:val="22"/>
            </w:rPr>
          </w:pPr>
          <w:hyperlink w:anchor="_Toc9239898" w:history="1">
            <w:r w:rsidR="00C86477" w:rsidRPr="0035619B">
              <w:rPr>
                <w:rStyle w:val="Hyperlink"/>
                <w:i/>
                <w:noProof/>
              </w:rPr>
              <w:t>3.</w:t>
            </w:r>
            <w:r w:rsidR="00C86477">
              <w:rPr>
                <w:rFonts w:eastAsiaTheme="minorEastAsia" w:cstheme="minorBidi"/>
                <w:noProof/>
                <w:sz w:val="22"/>
                <w:szCs w:val="22"/>
              </w:rPr>
              <w:tab/>
            </w:r>
            <w:r w:rsidR="00C86477" w:rsidRPr="0035619B">
              <w:rPr>
                <w:rStyle w:val="Hyperlink"/>
                <w:i/>
                <w:noProof/>
              </w:rPr>
              <w:t>Foreningens bestyrelse</w:t>
            </w:r>
            <w:r w:rsidR="00C86477">
              <w:rPr>
                <w:noProof/>
                <w:webHidden/>
              </w:rPr>
              <w:tab/>
            </w:r>
            <w:r w:rsidR="00C86477">
              <w:rPr>
                <w:noProof/>
                <w:webHidden/>
              </w:rPr>
              <w:fldChar w:fldCharType="begin"/>
            </w:r>
            <w:r w:rsidR="00C86477">
              <w:rPr>
                <w:noProof/>
                <w:webHidden/>
              </w:rPr>
              <w:instrText xml:space="preserve"> PAGEREF _Toc9239898 \h </w:instrText>
            </w:r>
            <w:r w:rsidR="00C86477">
              <w:rPr>
                <w:noProof/>
                <w:webHidden/>
              </w:rPr>
            </w:r>
            <w:r w:rsidR="00C86477">
              <w:rPr>
                <w:noProof/>
                <w:webHidden/>
              </w:rPr>
              <w:fldChar w:fldCharType="separate"/>
            </w:r>
            <w:r w:rsidR="00195831">
              <w:rPr>
                <w:noProof/>
                <w:webHidden/>
              </w:rPr>
              <w:t>4</w:t>
            </w:r>
            <w:r w:rsidR="00C86477">
              <w:rPr>
                <w:noProof/>
                <w:webHidden/>
              </w:rPr>
              <w:fldChar w:fldCharType="end"/>
            </w:r>
          </w:hyperlink>
        </w:p>
        <w:p w14:paraId="763CE3F2" w14:textId="619B9C07" w:rsidR="00C86477" w:rsidRDefault="00A11101">
          <w:pPr>
            <w:pStyle w:val="Indholdsfortegnelse4"/>
            <w:rPr>
              <w:rFonts w:eastAsiaTheme="minorEastAsia" w:cstheme="minorBidi"/>
              <w:noProof/>
              <w:sz w:val="22"/>
              <w:szCs w:val="22"/>
            </w:rPr>
          </w:pPr>
          <w:hyperlink w:anchor="_Toc9239899" w:history="1">
            <w:r w:rsidR="00C86477" w:rsidRPr="0035619B">
              <w:rPr>
                <w:rStyle w:val="Hyperlink"/>
                <w:i/>
                <w:noProof/>
              </w:rPr>
              <w:t>4.</w:t>
            </w:r>
            <w:r w:rsidR="00C86477">
              <w:rPr>
                <w:rFonts w:eastAsiaTheme="minorEastAsia" w:cstheme="minorBidi"/>
                <w:noProof/>
                <w:sz w:val="22"/>
                <w:szCs w:val="22"/>
              </w:rPr>
              <w:tab/>
            </w:r>
            <w:r w:rsidR="00C86477" w:rsidRPr="0035619B">
              <w:rPr>
                <w:rStyle w:val="Hyperlink"/>
                <w:i/>
                <w:noProof/>
              </w:rPr>
              <w:t>Foreningens Investeringsforvaltningsselskab</w:t>
            </w:r>
            <w:r w:rsidR="00C86477">
              <w:rPr>
                <w:noProof/>
                <w:webHidden/>
              </w:rPr>
              <w:tab/>
            </w:r>
            <w:r w:rsidR="00C86477">
              <w:rPr>
                <w:noProof/>
                <w:webHidden/>
              </w:rPr>
              <w:fldChar w:fldCharType="begin"/>
            </w:r>
            <w:r w:rsidR="00C86477">
              <w:rPr>
                <w:noProof/>
                <w:webHidden/>
              </w:rPr>
              <w:instrText xml:space="preserve"> PAGEREF _Toc9239899 \h </w:instrText>
            </w:r>
            <w:r w:rsidR="00C86477">
              <w:rPr>
                <w:noProof/>
                <w:webHidden/>
              </w:rPr>
            </w:r>
            <w:r w:rsidR="00C86477">
              <w:rPr>
                <w:noProof/>
                <w:webHidden/>
              </w:rPr>
              <w:fldChar w:fldCharType="separate"/>
            </w:r>
            <w:r w:rsidR="00195831">
              <w:rPr>
                <w:noProof/>
                <w:webHidden/>
              </w:rPr>
              <w:t>4</w:t>
            </w:r>
            <w:r w:rsidR="00C86477">
              <w:rPr>
                <w:noProof/>
                <w:webHidden/>
              </w:rPr>
              <w:fldChar w:fldCharType="end"/>
            </w:r>
          </w:hyperlink>
        </w:p>
        <w:p w14:paraId="1901BDD1" w14:textId="6BC4A752" w:rsidR="00C86477" w:rsidRDefault="00A11101">
          <w:pPr>
            <w:pStyle w:val="Indholdsfortegnelse4"/>
            <w:rPr>
              <w:rFonts w:eastAsiaTheme="minorEastAsia" w:cstheme="minorBidi"/>
              <w:noProof/>
              <w:sz w:val="22"/>
              <w:szCs w:val="22"/>
            </w:rPr>
          </w:pPr>
          <w:hyperlink w:anchor="_Toc9239900" w:history="1">
            <w:r w:rsidR="00C86477" w:rsidRPr="0035619B">
              <w:rPr>
                <w:rStyle w:val="Hyperlink"/>
                <w:i/>
                <w:noProof/>
              </w:rPr>
              <w:t>5.</w:t>
            </w:r>
            <w:r w:rsidR="00C86477">
              <w:rPr>
                <w:rFonts w:eastAsiaTheme="minorEastAsia" w:cstheme="minorBidi"/>
                <w:noProof/>
                <w:sz w:val="22"/>
                <w:szCs w:val="22"/>
              </w:rPr>
              <w:tab/>
            </w:r>
            <w:r w:rsidR="00C86477" w:rsidRPr="0035619B">
              <w:rPr>
                <w:rStyle w:val="Hyperlink"/>
                <w:i/>
                <w:noProof/>
              </w:rPr>
              <w:t>Foreningens revisor</w:t>
            </w:r>
            <w:r w:rsidR="00C86477">
              <w:rPr>
                <w:noProof/>
                <w:webHidden/>
              </w:rPr>
              <w:tab/>
            </w:r>
            <w:r w:rsidR="00C86477">
              <w:rPr>
                <w:noProof/>
                <w:webHidden/>
              </w:rPr>
              <w:fldChar w:fldCharType="begin"/>
            </w:r>
            <w:r w:rsidR="00C86477">
              <w:rPr>
                <w:noProof/>
                <w:webHidden/>
              </w:rPr>
              <w:instrText xml:space="preserve"> PAGEREF _Toc9239900 \h </w:instrText>
            </w:r>
            <w:r w:rsidR="00C86477">
              <w:rPr>
                <w:noProof/>
                <w:webHidden/>
              </w:rPr>
            </w:r>
            <w:r w:rsidR="00C86477">
              <w:rPr>
                <w:noProof/>
                <w:webHidden/>
              </w:rPr>
              <w:fldChar w:fldCharType="separate"/>
            </w:r>
            <w:r w:rsidR="00195831">
              <w:rPr>
                <w:noProof/>
                <w:webHidden/>
              </w:rPr>
              <w:t>5</w:t>
            </w:r>
            <w:r w:rsidR="00C86477">
              <w:rPr>
                <w:noProof/>
                <w:webHidden/>
              </w:rPr>
              <w:fldChar w:fldCharType="end"/>
            </w:r>
          </w:hyperlink>
        </w:p>
        <w:p w14:paraId="72DBBAFD" w14:textId="14E2BFF6" w:rsidR="00C86477" w:rsidRDefault="00A11101">
          <w:pPr>
            <w:pStyle w:val="Indholdsfortegnelse4"/>
            <w:rPr>
              <w:rFonts w:eastAsiaTheme="minorEastAsia" w:cstheme="minorBidi"/>
              <w:noProof/>
              <w:sz w:val="22"/>
              <w:szCs w:val="22"/>
            </w:rPr>
          </w:pPr>
          <w:hyperlink w:anchor="_Toc9239901" w:history="1">
            <w:r w:rsidR="00C86477" w:rsidRPr="0035619B">
              <w:rPr>
                <w:rStyle w:val="Hyperlink"/>
                <w:i/>
                <w:noProof/>
              </w:rPr>
              <w:t>6.</w:t>
            </w:r>
            <w:r w:rsidR="00C86477">
              <w:rPr>
                <w:rFonts w:eastAsiaTheme="minorEastAsia" w:cstheme="minorBidi"/>
                <w:noProof/>
                <w:sz w:val="22"/>
                <w:szCs w:val="22"/>
              </w:rPr>
              <w:tab/>
            </w:r>
            <w:r w:rsidR="00C86477" w:rsidRPr="0035619B">
              <w:rPr>
                <w:rStyle w:val="Hyperlink"/>
                <w:i/>
                <w:noProof/>
              </w:rPr>
              <w:t>Foreningens tilsynsmyndighed</w:t>
            </w:r>
            <w:r w:rsidR="00C86477">
              <w:rPr>
                <w:noProof/>
                <w:webHidden/>
              </w:rPr>
              <w:tab/>
            </w:r>
            <w:r w:rsidR="00C86477">
              <w:rPr>
                <w:noProof/>
                <w:webHidden/>
              </w:rPr>
              <w:fldChar w:fldCharType="begin"/>
            </w:r>
            <w:r w:rsidR="00C86477">
              <w:rPr>
                <w:noProof/>
                <w:webHidden/>
              </w:rPr>
              <w:instrText xml:space="preserve"> PAGEREF _Toc9239901 \h </w:instrText>
            </w:r>
            <w:r w:rsidR="00C86477">
              <w:rPr>
                <w:noProof/>
                <w:webHidden/>
              </w:rPr>
            </w:r>
            <w:r w:rsidR="00C86477">
              <w:rPr>
                <w:noProof/>
                <w:webHidden/>
              </w:rPr>
              <w:fldChar w:fldCharType="separate"/>
            </w:r>
            <w:r w:rsidR="00195831">
              <w:rPr>
                <w:noProof/>
                <w:webHidden/>
              </w:rPr>
              <w:t>5</w:t>
            </w:r>
            <w:r w:rsidR="00C86477">
              <w:rPr>
                <w:noProof/>
                <w:webHidden/>
              </w:rPr>
              <w:fldChar w:fldCharType="end"/>
            </w:r>
          </w:hyperlink>
        </w:p>
        <w:p w14:paraId="72A1615C" w14:textId="274E637C" w:rsidR="00C86477" w:rsidRDefault="00A11101">
          <w:pPr>
            <w:pStyle w:val="Indholdsfortegnelse4"/>
            <w:rPr>
              <w:rFonts w:eastAsiaTheme="minorEastAsia" w:cstheme="minorBidi"/>
              <w:noProof/>
              <w:sz w:val="22"/>
              <w:szCs w:val="22"/>
            </w:rPr>
          </w:pPr>
          <w:hyperlink w:anchor="_Toc9239902" w:history="1">
            <w:r w:rsidR="00C86477" w:rsidRPr="0035619B">
              <w:rPr>
                <w:rStyle w:val="Hyperlink"/>
                <w:i/>
                <w:noProof/>
              </w:rPr>
              <w:t>7.</w:t>
            </w:r>
            <w:r w:rsidR="00C86477">
              <w:rPr>
                <w:rFonts w:eastAsiaTheme="minorEastAsia" w:cstheme="minorBidi"/>
                <w:noProof/>
                <w:sz w:val="22"/>
                <w:szCs w:val="22"/>
              </w:rPr>
              <w:tab/>
            </w:r>
            <w:r w:rsidR="00C86477" w:rsidRPr="0035619B">
              <w:rPr>
                <w:rStyle w:val="Hyperlink"/>
                <w:i/>
                <w:noProof/>
              </w:rPr>
              <w:t>Foreningens finanskalender</w:t>
            </w:r>
            <w:r w:rsidR="00C86477">
              <w:rPr>
                <w:noProof/>
                <w:webHidden/>
              </w:rPr>
              <w:tab/>
            </w:r>
            <w:r w:rsidR="00C86477">
              <w:rPr>
                <w:noProof/>
                <w:webHidden/>
              </w:rPr>
              <w:fldChar w:fldCharType="begin"/>
            </w:r>
            <w:r w:rsidR="00C86477">
              <w:rPr>
                <w:noProof/>
                <w:webHidden/>
              </w:rPr>
              <w:instrText xml:space="preserve"> PAGEREF _Toc9239902 \h </w:instrText>
            </w:r>
            <w:r w:rsidR="00C86477">
              <w:rPr>
                <w:noProof/>
                <w:webHidden/>
              </w:rPr>
            </w:r>
            <w:r w:rsidR="00C86477">
              <w:rPr>
                <w:noProof/>
                <w:webHidden/>
              </w:rPr>
              <w:fldChar w:fldCharType="separate"/>
            </w:r>
            <w:r w:rsidR="00195831">
              <w:rPr>
                <w:noProof/>
                <w:webHidden/>
              </w:rPr>
              <w:t>5</w:t>
            </w:r>
            <w:r w:rsidR="00C86477">
              <w:rPr>
                <w:noProof/>
                <w:webHidden/>
              </w:rPr>
              <w:fldChar w:fldCharType="end"/>
            </w:r>
          </w:hyperlink>
        </w:p>
        <w:p w14:paraId="34210487" w14:textId="369C5DA4" w:rsidR="00C86477" w:rsidRDefault="00A11101">
          <w:pPr>
            <w:pStyle w:val="Indholdsfortegnelse2"/>
            <w:tabs>
              <w:tab w:val="right" w:leader="dot" w:pos="9345"/>
            </w:tabs>
            <w:rPr>
              <w:rFonts w:eastAsiaTheme="minorEastAsia" w:cstheme="minorBidi"/>
              <w:b w:val="0"/>
              <w:bCs w:val="0"/>
              <w:noProof/>
              <w:sz w:val="22"/>
              <w:szCs w:val="22"/>
            </w:rPr>
          </w:pPr>
          <w:hyperlink w:anchor="_Toc9239903" w:history="1">
            <w:r w:rsidR="00C86477" w:rsidRPr="0035619B">
              <w:rPr>
                <w:rStyle w:val="Hyperlink"/>
                <w:rFonts w:ascii="Times New Roman" w:hAnsi="Times New Roman"/>
                <w:noProof/>
              </w:rPr>
              <w:t>Afdelingens investeringsforhold, risici m.v.</w:t>
            </w:r>
            <w:r w:rsidR="00C86477">
              <w:rPr>
                <w:noProof/>
                <w:webHidden/>
              </w:rPr>
              <w:tab/>
            </w:r>
            <w:r w:rsidR="00C86477">
              <w:rPr>
                <w:noProof/>
                <w:webHidden/>
              </w:rPr>
              <w:fldChar w:fldCharType="begin"/>
            </w:r>
            <w:r w:rsidR="00C86477">
              <w:rPr>
                <w:noProof/>
                <w:webHidden/>
              </w:rPr>
              <w:instrText xml:space="preserve"> PAGEREF _Toc9239903 \h </w:instrText>
            </w:r>
            <w:r w:rsidR="00C86477">
              <w:rPr>
                <w:noProof/>
                <w:webHidden/>
              </w:rPr>
            </w:r>
            <w:r w:rsidR="00C86477">
              <w:rPr>
                <w:noProof/>
                <w:webHidden/>
              </w:rPr>
              <w:fldChar w:fldCharType="separate"/>
            </w:r>
            <w:r w:rsidR="00195831">
              <w:rPr>
                <w:noProof/>
                <w:webHidden/>
              </w:rPr>
              <w:t>6</w:t>
            </w:r>
            <w:r w:rsidR="00C86477">
              <w:rPr>
                <w:noProof/>
                <w:webHidden/>
              </w:rPr>
              <w:fldChar w:fldCharType="end"/>
            </w:r>
          </w:hyperlink>
        </w:p>
        <w:p w14:paraId="71B77D7D" w14:textId="387A0DC1" w:rsidR="00C86477" w:rsidRDefault="00A11101">
          <w:pPr>
            <w:pStyle w:val="Indholdsfortegnelse4"/>
            <w:rPr>
              <w:rFonts w:eastAsiaTheme="minorEastAsia" w:cstheme="minorBidi"/>
              <w:noProof/>
              <w:sz w:val="22"/>
              <w:szCs w:val="22"/>
            </w:rPr>
          </w:pPr>
          <w:hyperlink w:anchor="_Toc9239904" w:history="1">
            <w:r w:rsidR="00C86477" w:rsidRPr="0035619B">
              <w:rPr>
                <w:rStyle w:val="Hyperlink"/>
                <w:i/>
                <w:noProof/>
              </w:rPr>
              <w:t>8.</w:t>
            </w:r>
            <w:r w:rsidR="00C86477">
              <w:rPr>
                <w:rFonts w:eastAsiaTheme="minorEastAsia" w:cstheme="minorBidi"/>
                <w:noProof/>
                <w:sz w:val="22"/>
                <w:szCs w:val="22"/>
              </w:rPr>
              <w:tab/>
            </w:r>
            <w:r w:rsidR="00C86477" w:rsidRPr="0035619B">
              <w:rPr>
                <w:rStyle w:val="Hyperlink"/>
                <w:i/>
                <w:noProof/>
              </w:rPr>
              <w:t>Afdeling og andelsklasse</w:t>
            </w:r>
            <w:r w:rsidR="00C86477">
              <w:rPr>
                <w:noProof/>
                <w:webHidden/>
              </w:rPr>
              <w:tab/>
            </w:r>
            <w:r w:rsidR="00C86477">
              <w:rPr>
                <w:noProof/>
                <w:webHidden/>
              </w:rPr>
              <w:fldChar w:fldCharType="begin"/>
            </w:r>
            <w:r w:rsidR="00C86477">
              <w:rPr>
                <w:noProof/>
                <w:webHidden/>
              </w:rPr>
              <w:instrText xml:space="preserve"> PAGEREF _Toc9239904 \h </w:instrText>
            </w:r>
            <w:r w:rsidR="00C86477">
              <w:rPr>
                <w:noProof/>
                <w:webHidden/>
              </w:rPr>
            </w:r>
            <w:r w:rsidR="00C86477">
              <w:rPr>
                <w:noProof/>
                <w:webHidden/>
              </w:rPr>
              <w:fldChar w:fldCharType="separate"/>
            </w:r>
            <w:r w:rsidR="00195831">
              <w:rPr>
                <w:noProof/>
                <w:webHidden/>
              </w:rPr>
              <w:t>6</w:t>
            </w:r>
            <w:r w:rsidR="00C86477">
              <w:rPr>
                <w:noProof/>
                <w:webHidden/>
              </w:rPr>
              <w:fldChar w:fldCharType="end"/>
            </w:r>
          </w:hyperlink>
        </w:p>
        <w:p w14:paraId="27562B6F" w14:textId="50C48270" w:rsidR="00C86477" w:rsidRDefault="00A11101">
          <w:pPr>
            <w:pStyle w:val="Indholdsfortegnelse4"/>
            <w:rPr>
              <w:rFonts w:eastAsiaTheme="minorEastAsia" w:cstheme="minorBidi"/>
              <w:noProof/>
              <w:sz w:val="22"/>
              <w:szCs w:val="22"/>
            </w:rPr>
          </w:pPr>
          <w:hyperlink w:anchor="_Toc9239905" w:history="1">
            <w:r w:rsidR="00C86477" w:rsidRPr="0035619B">
              <w:rPr>
                <w:rStyle w:val="Hyperlink"/>
                <w:i/>
                <w:noProof/>
              </w:rPr>
              <w:t>9.</w:t>
            </w:r>
            <w:r w:rsidR="00C86477">
              <w:rPr>
                <w:rFonts w:eastAsiaTheme="minorEastAsia" w:cstheme="minorBidi"/>
                <w:noProof/>
                <w:sz w:val="22"/>
                <w:szCs w:val="22"/>
              </w:rPr>
              <w:tab/>
            </w:r>
            <w:r w:rsidR="00C86477" w:rsidRPr="0035619B">
              <w:rPr>
                <w:rStyle w:val="Hyperlink"/>
                <w:i/>
                <w:noProof/>
              </w:rPr>
              <w:t>Risikoforhold og risikofaktorer</w:t>
            </w:r>
            <w:r w:rsidR="00C86477">
              <w:rPr>
                <w:noProof/>
                <w:webHidden/>
              </w:rPr>
              <w:tab/>
            </w:r>
            <w:r w:rsidR="00C86477">
              <w:rPr>
                <w:noProof/>
                <w:webHidden/>
              </w:rPr>
              <w:fldChar w:fldCharType="begin"/>
            </w:r>
            <w:r w:rsidR="00C86477">
              <w:rPr>
                <w:noProof/>
                <w:webHidden/>
              </w:rPr>
              <w:instrText xml:space="preserve"> PAGEREF _Toc9239905 \h </w:instrText>
            </w:r>
            <w:r w:rsidR="00C86477">
              <w:rPr>
                <w:noProof/>
                <w:webHidden/>
              </w:rPr>
            </w:r>
            <w:r w:rsidR="00C86477">
              <w:rPr>
                <w:noProof/>
                <w:webHidden/>
              </w:rPr>
              <w:fldChar w:fldCharType="separate"/>
            </w:r>
            <w:r w:rsidR="00195831">
              <w:rPr>
                <w:noProof/>
                <w:webHidden/>
              </w:rPr>
              <w:t>7</w:t>
            </w:r>
            <w:r w:rsidR="00C86477">
              <w:rPr>
                <w:noProof/>
                <w:webHidden/>
              </w:rPr>
              <w:fldChar w:fldCharType="end"/>
            </w:r>
          </w:hyperlink>
        </w:p>
        <w:p w14:paraId="2FCD0117" w14:textId="55690D68" w:rsidR="00C86477" w:rsidRDefault="00A11101">
          <w:pPr>
            <w:pStyle w:val="Indholdsfortegnelse4"/>
            <w:rPr>
              <w:rFonts w:eastAsiaTheme="minorEastAsia" w:cstheme="minorBidi"/>
              <w:noProof/>
              <w:sz w:val="22"/>
              <w:szCs w:val="22"/>
            </w:rPr>
          </w:pPr>
          <w:hyperlink w:anchor="_Toc9239906" w:history="1">
            <w:r w:rsidR="00C86477" w:rsidRPr="0035619B">
              <w:rPr>
                <w:rStyle w:val="Hyperlink"/>
                <w:i/>
                <w:noProof/>
              </w:rPr>
              <w:t>10.</w:t>
            </w:r>
            <w:r w:rsidR="00C86477">
              <w:rPr>
                <w:rFonts w:eastAsiaTheme="minorEastAsia" w:cstheme="minorBidi"/>
                <w:noProof/>
                <w:sz w:val="22"/>
                <w:szCs w:val="22"/>
              </w:rPr>
              <w:tab/>
            </w:r>
            <w:r w:rsidR="00C86477" w:rsidRPr="0035619B">
              <w:rPr>
                <w:rStyle w:val="Hyperlink"/>
                <w:i/>
                <w:noProof/>
              </w:rPr>
              <w:t>Den typiske investor</w:t>
            </w:r>
            <w:r w:rsidR="00C86477">
              <w:rPr>
                <w:noProof/>
                <w:webHidden/>
              </w:rPr>
              <w:tab/>
            </w:r>
            <w:r w:rsidR="00C86477">
              <w:rPr>
                <w:noProof/>
                <w:webHidden/>
              </w:rPr>
              <w:fldChar w:fldCharType="begin"/>
            </w:r>
            <w:r w:rsidR="00C86477">
              <w:rPr>
                <w:noProof/>
                <w:webHidden/>
              </w:rPr>
              <w:instrText xml:space="preserve"> PAGEREF _Toc9239906 \h </w:instrText>
            </w:r>
            <w:r w:rsidR="00C86477">
              <w:rPr>
                <w:noProof/>
                <w:webHidden/>
              </w:rPr>
            </w:r>
            <w:r w:rsidR="00C86477">
              <w:rPr>
                <w:noProof/>
                <w:webHidden/>
              </w:rPr>
              <w:fldChar w:fldCharType="separate"/>
            </w:r>
            <w:r w:rsidR="00195831">
              <w:rPr>
                <w:noProof/>
                <w:webHidden/>
              </w:rPr>
              <w:t>9</w:t>
            </w:r>
            <w:r w:rsidR="00C86477">
              <w:rPr>
                <w:noProof/>
                <w:webHidden/>
              </w:rPr>
              <w:fldChar w:fldCharType="end"/>
            </w:r>
          </w:hyperlink>
        </w:p>
        <w:p w14:paraId="66AF98EF" w14:textId="7F09E1CA" w:rsidR="00C86477" w:rsidRDefault="00A11101">
          <w:pPr>
            <w:pStyle w:val="Indholdsfortegnelse4"/>
            <w:rPr>
              <w:rFonts w:eastAsiaTheme="minorEastAsia" w:cstheme="minorBidi"/>
              <w:noProof/>
              <w:sz w:val="22"/>
              <w:szCs w:val="22"/>
            </w:rPr>
          </w:pPr>
          <w:hyperlink w:anchor="_Toc9239907" w:history="1">
            <w:r w:rsidR="00C86477" w:rsidRPr="0035619B">
              <w:rPr>
                <w:rStyle w:val="Hyperlink"/>
                <w:i/>
                <w:noProof/>
              </w:rPr>
              <w:t>11.</w:t>
            </w:r>
            <w:r w:rsidR="00C86477">
              <w:rPr>
                <w:rFonts w:eastAsiaTheme="minorEastAsia" w:cstheme="minorBidi"/>
                <w:noProof/>
                <w:sz w:val="22"/>
                <w:szCs w:val="22"/>
              </w:rPr>
              <w:tab/>
            </w:r>
            <w:r w:rsidR="00C86477" w:rsidRPr="0035619B">
              <w:rPr>
                <w:rStyle w:val="Hyperlink"/>
                <w:i/>
                <w:noProof/>
              </w:rPr>
              <w:t>FT-nr., SE-nr. og ISIN-kode</w:t>
            </w:r>
            <w:r w:rsidR="00C86477">
              <w:rPr>
                <w:noProof/>
                <w:webHidden/>
              </w:rPr>
              <w:tab/>
            </w:r>
            <w:r w:rsidR="00C86477">
              <w:rPr>
                <w:noProof/>
                <w:webHidden/>
              </w:rPr>
              <w:fldChar w:fldCharType="begin"/>
            </w:r>
            <w:r w:rsidR="00C86477">
              <w:rPr>
                <w:noProof/>
                <w:webHidden/>
              </w:rPr>
              <w:instrText xml:space="preserve"> PAGEREF _Toc9239907 \h </w:instrText>
            </w:r>
            <w:r w:rsidR="00C86477">
              <w:rPr>
                <w:noProof/>
                <w:webHidden/>
              </w:rPr>
            </w:r>
            <w:r w:rsidR="00C86477">
              <w:rPr>
                <w:noProof/>
                <w:webHidden/>
              </w:rPr>
              <w:fldChar w:fldCharType="separate"/>
            </w:r>
            <w:r w:rsidR="00195831">
              <w:rPr>
                <w:noProof/>
                <w:webHidden/>
              </w:rPr>
              <w:t>9</w:t>
            </w:r>
            <w:r w:rsidR="00C86477">
              <w:rPr>
                <w:noProof/>
                <w:webHidden/>
              </w:rPr>
              <w:fldChar w:fldCharType="end"/>
            </w:r>
          </w:hyperlink>
        </w:p>
        <w:p w14:paraId="798AF0E5" w14:textId="50CF7107" w:rsidR="00C86477" w:rsidRDefault="00A11101">
          <w:pPr>
            <w:pStyle w:val="Indholdsfortegnelse2"/>
            <w:tabs>
              <w:tab w:val="right" w:leader="dot" w:pos="9345"/>
            </w:tabs>
            <w:rPr>
              <w:rFonts w:eastAsiaTheme="minorEastAsia" w:cstheme="minorBidi"/>
              <w:b w:val="0"/>
              <w:bCs w:val="0"/>
              <w:noProof/>
              <w:sz w:val="22"/>
              <w:szCs w:val="22"/>
            </w:rPr>
          </w:pPr>
          <w:hyperlink w:anchor="_Toc9239908" w:history="1">
            <w:r w:rsidR="00C86477" w:rsidRPr="0035619B">
              <w:rPr>
                <w:rStyle w:val="Hyperlink"/>
                <w:rFonts w:ascii="Times New Roman" w:hAnsi="Times New Roman"/>
                <w:iCs/>
                <w:noProof/>
              </w:rPr>
              <w:t>Afkast, udbytte og skatteforhold m.v.</w:t>
            </w:r>
            <w:r w:rsidR="00C86477">
              <w:rPr>
                <w:noProof/>
                <w:webHidden/>
              </w:rPr>
              <w:tab/>
            </w:r>
            <w:r w:rsidR="00C86477">
              <w:rPr>
                <w:noProof/>
                <w:webHidden/>
              </w:rPr>
              <w:fldChar w:fldCharType="begin"/>
            </w:r>
            <w:r w:rsidR="00C86477">
              <w:rPr>
                <w:noProof/>
                <w:webHidden/>
              </w:rPr>
              <w:instrText xml:space="preserve"> PAGEREF _Toc9239908 \h </w:instrText>
            </w:r>
            <w:r w:rsidR="00C86477">
              <w:rPr>
                <w:noProof/>
                <w:webHidden/>
              </w:rPr>
            </w:r>
            <w:r w:rsidR="00C86477">
              <w:rPr>
                <w:noProof/>
                <w:webHidden/>
              </w:rPr>
              <w:fldChar w:fldCharType="separate"/>
            </w:r>
            <w:r w:rsidR="00195831">
              <w:rPr>
                <w:noProof/>
                <w:webHidden/>
              </w:rPr>
              <w:t>9</w:t>
            </w:r>
            <w:r w:rsidR="00C86477">
              <w:rPr>
                <w:noProof/>
                <w:webHidden/>
              </w:rPr>
              <w:fldChar w:fldCharType="end"/>
            </w:r>
          </w:hyperlink>
        </w:p>
        <w:p w14:paraId="62488CDB" w14:textId="6AC643AC" w:rsidR="00C86477" w:rsidRDefault="00A11101">
          <w:pPr>
            <w:pStyle w:val="Indholdsfortegnelse4"/>
            <w:rPr>
              <w:rFonts w:eastAsiaTheme="minorEastAsia" w:cstheme="minorBidi"/>
              <w:noProof/>
              <w:sz w:val="22"/>
              <w:szCs w:val="22"/>
            </w:rPr>
          </w:pPr>
          <w:hyperlink w:anchor="_Toc9239909" w:history="1">
            <w:r w:rsidR="00C86477" w:rsidRPr="0035619B">
              <w:rPr>
                <w:rStyle w:val="Hyperlink"/>
                <w:i/>
                <w:noProof/>
              </w:rPr>
              <w:t>12.</w:t>
            </w:r>
            <w:r w:rsidR="00C86477">
              <w:rPr>
                <w:rFonts w:eastAsiaTheme="minorEastAsia" w:cstheme="minorBidi"/>
                <w:noProof/>
                <w:sz w:val="22"/>
                <w:szCs w:val="22"/>
              </w:rPr>
              <w:tab/>
            </w:r>
            <w:r w:rsidR="00C86477" w:rsidRPr="0035619B">
              <w:rPr>
                <w:rStyle w:val="Hyperlink"/>
                <w:i/>
                <w:noProof/>
              </w:rPr>
              <w:t>Afkast, udbytte og kursændringer</w:t>
            </w:r>
            <w:r w:rsidR="00C86477">
              <w:rPr>
                <w:noProof/>
                <w:webHidden/>
              </w:rPr>
              <w:tab/>
            </w:r>
            <w:r w:rsidR="00C86477">
              <w:rPr>
                <w:noProof/>
                <w:webHidden/>
              </w:rPr>
              <w:fldChar w:fldCharType="begin"/>
            </w:r>
            <w:r w:rsidR="00C86477">
              <w:rPr>
                <w:noProof/>
                <w:webHidden/>
              </w:rPr>
              <w:instrText xml:space="preserve"> PAGEREF _Toc9239909 \h </w:instrText>
            </w:r>
            <w:r w:rsidR="00C86477">
              <w:rPr>
                <w:noProof/>
                <w:webHidden/>
              </w:rPr>
            </w:r>
            <w:r w:rsidR="00C86477">
              <w:rPr>
                <w:noProof/>
                <w:webHidden/>
              </w:rPr>
              <w:fldChar w:fldCharType="separate"/>
            </w:r>
            <w:r w:rsidR="00195831">
              <w:rPr>
                <w:noProof/>
                <w:webHidden/>
              </w:rPr>
              <w:t>9</w:t>
            </w:r>
            <w:r w:rsidR="00C86477">
              <w:rPr>
                <w:noProof/>
                <w:webHidden/>
              </w:rPr>
              <w:fldChar w:fldCharType="end"/>
            </w:r>
          </w:hyperlink>
        </w:p>
        <w:p w14:paraId="14509D94" w14:textId="696435E5" w:rsidR="00C86477" w:rsidRDefault="00A11101">
          <w:pPr>
            <w:pStyle w:val="Indholdsfortegnelse4"/>
            <w:rPr>
              <w:rFonts w:eastAsiaTheme="minorEastAsia" w:cstheme="minorBidi"/>
              <w:noProof/>
              <w:sz w:val="22"/>
              <w:szCs w:val="22"/>
            </w:rPr>
          </w:pPr>
          <w:hyperlink w:anchor="_Toc9239910" w:history="1">
            <w:r w:rsidR="00C86477" w:rsidRPr="0035619B">
              <w:rPr>
                <w:rStyle w:val="Hyperlink"/>
                <w:i/>
                <w:noProof/>
              </w:rPr>
              <w:t>13.</w:t>
            </w:r>
            <w:r w:rsidR="00C86477">
              <w:rPr>
                <w:rFonts w:eastAsiaTheme="minorEastAsia" w:cstheme="minorBidi"/>
                <w:noProof/>
                <w:sz w:val="22"/>
                <w:szCs w:val="22"/>
              </w:rPr>
              <w:tab/>
            </w:r>
            <w:r w:rsidR="00C86477" w:rsidRPr="0035619B">
              <w:rPr>
                <w:rStyle w:val="Hyperlink"/>
                <w:i/>
                <w:noProof/>
              </w:rPr>
              <w:t>Skatteregler for afdelingen</w:t>
            </w:r>
            <w:r w:rsidR="00C86477">
              <w:rPr>
                <w:noProof/>
                <w:webHidden/>
              </w:rPr>
              <w:tab/>
            </w:r>
            <w:r w:rsidR="00C86477">
              <w:rPr>
                <w:noProof/>
                <w:webHidden/>
              </w:rPr>
              <w:fldChar w:fldCharType="begin"/>
            </w:r>
            <w:r w:rsidR="00C86477">
              <w:rPr>
                <w:noProof/>
                <w:webHidden/>
              </w:rPr>
              <w:instrText xml:space="preserve"> PAGEREF _Toc9239910 \h </w:instrText>
            </w:r>
            <w:r w:rsidR="00C86477">
              <w:rPr>
                <w:noProof/>
                <w:webHidden/>
              </w:rPr>
            </w:r>
            <w:r w:rsidR="00C86477">
              <w:rPr>
                <w:noProof/>
                <w:webHidden/>
              </w:rPr>
              <w:fldChar w:fldCharType="separate"/>
            </w:r>
            <w:r w:rsidR="00195831">
              <w:rPr>
                <w:noProof/>
                <w:webHidden/>
              </w:rPr>
              <w:t>9</w:t>
            </w:r>
            <w:r w:rsidR="00C86477">
              <w:rPr>
                <w:noProof/>
                <w:webHidden/>
              </w:rPr>
              <w:fldChar w:fldCharType="end"/>
            </w:r>
          </w:hyperlink>
        </w:p>
        <w:p w14:paraId="73B9FF71" w14:textId="45243541" w:rsidR="00C86477" w:rsidRDefault="00A11101">
          <w:pPr>
            <w:pStyle w:val="Indholdsfortegnelse4"/>
            <w:rPr>
              <w:rFonts w:eastAsiaTheme="minorEastAsia" w:cstheme="minorBidi"/>
              <w:noProof/>
              <w:sz w:val="22"/>
              <w:szCs w:val="22"/>
            </w:rPr>
          </w:pPr>
          <w:hyperlink w:anchor="_Toc9239911" w:history="1">
            <w:r w:rsidR="00C86477" w:rsidRPr="0035619B">
              <w:rPr>
                <w:rStyle w:val="Hyperlink"/>
                <w:i/>
                <w:noProof/>
              </w:rPr>
              <w:t>14.</w:t>
            </w:r>
            <w:r w:rsidR="00C86477">
              <w:rPr>
                <w:rFonts w:eastAsiaTheme="minorEastAsia" w:cstheme="minorBidi"/>
                <w:noProof/>
                <w:sz w:val="22"/>
                <w:szCs w:val="22"/>
              </w:rPr>
              <w:tab/>
            </w:r>
            <w:r w:rsidR="00C86477" w:rsidRPr="0035619B">
              <w:rPr>
                <w:rStyle w:val="Hyperlink"/>
                <w:i/>
                <w:noProof/>
              </w:rPr>
              <w:t>Beskatning hos investorerne</w:t>
            </w:r>
            <w:r w:rsidR="00C86477">
              <w:rPr>
                <w:noProof/>
                <w:webHidden/>
              </w:rPr>
              <w:tab/>
            </w:r>
            <w:r w:rsidR="00C86477">
              <w:rPr>
                <w:noProof/>
                <w:webHidden/>
              </w:rPr>
              <w:fldChar w:fldCharType="begin"/>
            </w:r>
            <w:r w:rsidR="00C86477">
              <w:rPr>
                <w:noProof/>
                <w:webHidden/>
              </w:rPr>
              <w:instrText xml:space="preserve"> PAGEREF _Toc9239911 \h </w:instrText>
            </w:r>
            <w:r w:rsidR="00C86477">
              <w:rPr>
                <w:noProof/>
                <w:webHidden/>
              </w:rPr>
            </w:r>
            <w:r w:rsidR="00C86477">
              <w:rPr>
                <w:noProof/>
                <w:webHidden/>
              </w:rPr>
              <w:fldChar w:fldCharType="separate"/>
            </w:r>
            <w:r w:rsidR="00195831">
              <w:rPr>
                <w:noProof/>
                <w:webHidden/>
              </w:rPr>
              <w:t>9</w:t>
            </w:r>
            <w:r w:rsidR="00C86477">
              <w:rPr>
                <w:noProof/>
                <w:webHidden/>
              </w:rPr>
              <w:fldChar w:fldCharType="end"/>
            </w:r>
          </w:hyperlink>
        </w:p>
        <w:p w14:paraId="41899999" w14:textId="5C4E8BAF" w:rsidR="00C86477" w:rsidRDefault="00A11101">
          <w:pPr>
            <w:pStyle w:val="Indholdsfortegnelse2"/>
            <w:tabs>
              <w:tab w:val="right" w:leader="dot" w:pos="9345"/>
            </w:tabs>
            <w:rPr>
              <w:rFonts w:eastAsiaTheme="minorEastAsia" w:cstheme="minorBidi"/>
              <w:b w:val="0"/>
              <w:bCs w:val="0"/>
              <w:noProof/>
              <w:sz w:val="22"/>
              <w:szCs w:val="22"/>
            </w:rPr>
          </w:pPr>
          <w:hyperlink w:anchor="_Toc9239912" w:history="1">
            <w:r w:rsidR="00C86477" w:rsidRPr="0035619B">
              <w:rPr>
                <w:rStyle w:val="Hyperlink"/>
                <w:rFonts w:ascii="Times New Roman" w:hAnsi="Times New Roman"/>
                <w:iCs/>
                <w:noProof/>
              </w:rPr>
              <w:t>Emission og emissionsomkostninger</w:t>
            </w:r>
            <w:r w:rsidR="00C86477">
              <w:rPr>
                <w:noProof/>
                <w:webHidden/>
              </w:rPr>
              <w:tab/>
            </w:r>
            <w:r w:rsidR="00C86477">
              <w:rPr>
                <w:noProof/>
                <w:webHidden/>
              </w:rPr>
              <w:fldChar w:fldCharType="begin"/>
            </w:r>
            <w:r w:rsidR="00C86477">
              <w:rPr>
                <w:noProof/>
                <w:webHidden/>
              </w:rPr>
              <w:instrText xml:space="preserve"> PAGEREF _Toc9239912 \h </w:instrText>
            </w:r>
            <w:r w:rsidR="00C86477">
              <w:rPr>
                <w:noProof/>
                <w:webHidden/>
              </w:rPr>
            </w:r>
            <w:r w:rsidR="00C86477">
              <w:rPr>
                <w:noProof/>
                <w:webHidden/>
              </w:rPr>
              <w:fldChar w:fldCharType="separate"/>
            </w:r>
            <w:r w:rsidR="00195831">
              <w:rPr>
                <w:noProof/>
                <w:webHidden/>
              </w:rPr>
              <w:t>10</w:t>
            </w:r>
            <w:r w:rsidR="00C86477">
              <w:rPr>
                <w:noProof/>
                <w:webHidden/>
              </w:rPr>
              <w:fldChar w:fldCharType="end"/>
            </w:r>
          </w:hyperlink>
        </w:p>
        <w:p w14:paraId="56D64CAF" w14:textId="6FBB6611" w:rsidR="00C86477" w:rsidRDefault="00A11101">
          <w:pPr>
            <w:pStyle w:val="Indholdsfortegnelse4"/>
            <w:rPr>
              <w:rFonts w:eastAsiaTheme="minorEastAsia" w:cstheme="minorBidi"/>
              <w:noProof/>
              <w:sz w:val="22"/>
              <w:szCs w:val="22"/>
            </w:rPr>
          </w:pPr>
          <w:hyperlink w:anchor="_Toc9239913" w:history="1">
            <w:r w:rsidR="00C86477" w:rsidRPr="0035619B">
              <w:rPr>
                <w:rStyle w:val="Hyperlink"/>
                <w:i/>
                <w:noProof/>
              </w:rPr>
              <w:t>15.</w:t>
            </w:r>
            <w:r w:rsidR="00C86477">
              <w:rPr>
                <w:rFonts w:eastAsiaTheme="minorEastAsia" w:cstheme="minorBidi"/>
                <w:noProof/>
                <w:sz w:val="22"/>
                <w:szCs w:val="22"/>
              </w:rPr>
              <w:tab/>
            </w:r>
            <w:r w:rsidR="00C86477" w:rsidRPr="0035619B">
              <w:rPr>
                <w:rStyle w:val="Hyperlink"/>
                <w:i/>
                <w:noProof/>
              </w:rPr>
              <w:t>Emissionskurs</w:t>
            </w:r>
            <w:r w:rsidR="00C86477">
              <w:rPr>
                <w:noProof/>
                <w:webHidden/>
              </w:rPr>
              <w:tab/>
            </w:r>
            <w:r w:rsidR="00C86477">
              <w:rPr>
                <w:noProof/>
                <w:webHidden/>
              </w:rPr>
              <w:fldChar w:fldCharType="begin"/>
            </w:r>
            <w:r w:rsidR="00C86477">
              <w:rPr>
                <w:noProof/>
                <w:webHidden/>
              </w:rPr>
              <w:instrText xml:space="preserve"> PAGEREF _Toc9239913 \h </w:instrText>
            </w:r>
            <w:r w:rsidR="00C86477">
              <w:rPr>
                <w:noProof/>
                <w:webHidden/>
              </w:rPr>
            </w:r>
            <w:r w:rsidR="00C86477">
              <w:rPr>
                <w:noProof/>
                <w:webHidden/>
              </w:rPr>
              <w:fldChar w:fldCharType="separate"/>
            </w:r>
            <w:r w:rsidR="00195831">
              <w:rPr>
                <w:noProof/>
                <w:webHidden/>
              </w:rPr>
              <w:t>10</w:t>
            </w:r>
            <w:r w:rsidR="00C86477">
              <w:rPr>
                <w:noProof/>
                <w:webHidden/>
              </w:rPr>
              <w:fldChar w:fldCharType="end"/>
            </w:r>
          </w:hyperlink>
        </w:p>
        <w:p w14:paraId="7648C810" w14:textId="6A56CB4D" w:rsidR="00C86477" w:rsidRDefault="00A11101">
          <w:pPr>
            <w:pStyle w:val="Indholdsfortegnelse4"/>
            <w:rPr>
              <w:rFonts w:eastAsiaTheme="minorEastAsia" w:cstheme="minorBidi"/>
              <w:noProof/>
              <w:sz w:val="22"/>
              <w:szCs w:val="22"/>
            </w:rPr>
          </w:pPr>
          <w:hyperlink w:anchor="_Toc9239914" w:history="1">
            <w:r w:rsidR="00C86477" w:rsidRPr="0035619B">
              <w:rPr>
                <w:rStyle w:val="Hyperlink"/>
                <w:i/>
                <w:noProof/>
              </w:rPr>
              <w:t>16.</w:t>
            </w:r>
            <w:r w:rsidR="00C86477">
              <w:rPr>
                <w:rFonts w:eastAsiaTheme="minorEastAsia" w:cstheme="minorBidi"/>
                <w:noProof/>
                <w:sz w:val="22"/>
                <w:szCs w:val="22"/>
              </w:rPr>
              <w:tab/>
            </w:r>
            <w:r w:rsidR="00C86477" w:rsidRPr="0035619B">
              <w:rPr>
                <w:rStyle w:val="Hyperlink"/>
                <w:i/>
                <w:noProof/>
              </w:rPr>
              <w:t>Tegningssted</w:t>
            </w:r>
            <w:r w:rsidR="00C86477">
              <w:rPr>
                <w:noProof/>
                <w:webHidden/>
              </w:rPr>
              <w:tab/>
            </w:r>
            <w:r w:rsidR="00C86477">
              <w:rPr>
                <w:noProof/>
                <w:webHidden/>
              </w:rPr>
              <w:fldChar w:fldCharType="begin"/>
            </w:r>
            <w:r w:rsidR="00C86477">
              <w:rPr>
                <w:noProof/>
                <w:webHidden/>
              </w:rPr>
              <w:instrText xml:space="preserve"> PAGEREF _Toc9239914 \h </w:instrText>
            </w:r>
            <w:r w:rsidR="00C86477">
              <w:rPr>
                <w:noProof/>
                <w:webHidden/>
              </w:rPr>
            </w:r>
            <w:r w:rsidR="00C86477">
              <w:rPr>
                <w:noProof/>
                <w:webHidden/>
              </w:rPr>
              <w:fldChar w:fldCharType="separate"/>
            </w:r>
            <w:r w:rsidR="00195831">
              <w:rPr>
                <w:noProof/>
                <w:webHidden/>
              </w:rPr>
              <w:t>10</w:t>
            </w:r>
            <w:r w:rsidR="00C86477">
              <w:rPr>
                <w:noProof/>
                <w:webHidden/>
              </w:rPr>
              <w:fldChar w:fldCharType="end"/>
            </w:r>
          </w:hyperlink>
        </w:p>
        <w:p w14:paraId="612FFCA1" w14:textId="1A147EDA" w:rsidR="00C86477" w:rsidRDefault="00A11101">
          <w:pPr>
            <w:pStyle w:val="Indholdsfortegnelse4"/>
            <w:rPr>
              <w:rFonts w:eastAsiaTheme="minorEastAsia" w:cstheme="minorBidi"/>
              <w:noProof/>
              <w:sz w:val="22"/>
              <w:szCs w:val="22"/>
            </w:rPr>
          </w:pPr>
          <w:hyperlink w:anchor="_Toc9239915" w:history="1">
            <w:r w:rsidR="00C86477" w:rsidRPr="0035619B">
              <w:rPr>
                <w:rStyle w:val="Hyperlink"/>
                <w:i/>
                <w:noProof/>
              </w:rPr>
              <w:t>17.</w:t>
            </w:r>
            <w:r w:rsidR="00C86477">
              <w:rPr>
                <w:rFonts w:eastAsiaTheme="minorEastAsia" w:cstheme="minorBidi"/>
                <w:noProof/>
                <w:sz w:val="22"/>
                <w:szCs w:val="22"/>
              </w:rPr>
              <w:tab/>
            </w:r>
            <w:r w:rsidR="00C86477" w:rsidRPr="0035619B">
              <w:rPr>
                <w:rStyle w:val="Hyperlink"/>
                <w:i/>
                <w:noProof/>
              </w:rPr>
              <w:t>Løbende emission</w:t>
            </w:r>
            <w:r w:rsidR="00C86477">
              <w:rPr>
                <w:noProof/>
                <w:webHidden/>
              </w:rPr>
              <w:tab/>
            </w:r>
            <w:r w:rsidR="00C86477">
              <w:rPr>
                <w:noProof/>
                <w:webHidden/>
              </w:rPr>
              <w:fldChar w:fldCharType="begin"/>
            </w:r>
            <w:r w:rsidR="00C86477">
              <w:rPr>
                <w:noProof/>
                <w:webHidden/>
              </w:rPr>
              <w:instrText xml:space="preserve"> PAGEREF _Toc9239915 \h </w:instrText>
            </w:r>
            <w:r w:rsidR="00C86477">
              <w:rPr>
                <w:noProof/>
                <w:webHidden/>
              </w:rPr>
            </w:r>
            <w:r w:rsidR="00C86477">
              <w:rPr>
                <w:noProof/>
                <w:webHidden/>
              </w:rPr>
              <w:fldChar w:fldCharType="separate"/>
            </w:r>
            <w:r w:rsidR="00195831">
              <w:rPr>
                <w:noProof/>
                <w:webHidden/>
              </w:rPr>
              <w:t>10</w:t>
            </w:r>
            <w:r w:rsidR="00C86477">
              <w:rPr>
                <w:noProof/>
                <w:webHidden/>
              </w:rPr>
              <w:fldChar w:fldCharType="end"/>
            </w:r>
          </w:hyperlink>
        </w:p>
        <w:p w14:paraId="08FB9F35" w14:textId="5384AE39" w:rsidR="00C86477" w:rsidRDefault="00A11101">
          <w:pPr>
            <w:pStyle w:val="Indholdsfortegnelse4"/>
            <w:rPr>
              <w:rFonts w:eastAsiaTheme="minorEastAsia" w:cstheme="minorBidi"/>
              <w:noProof/>
              <w:sz w:val="22"/>
              <w:szCs w:val="22"/>
            </w:rPr>
          </w:pPr>
          <w:hyperlink w:anchor="_Toc9239916" w:history="1">
            <w:r w:rsidR="00C86477" w:rsidRPr="0035619B">
              <w:rPr>
                <w:rStyle w:val="Hyperlink"/>
                <w:i/>
                <w:noProof/>
              </w:rPr>
              <w:t>18.</w:t>
            </w:r>
            <w:r w:rsidR="00C86477">
              <w:rPr>
                <w:rFonts w:eastAsiaTheme="minorEastAsia" w:cstheme="minorBidi"/>
                <w:noProof/>
                <w:sz w:val="22"/>
                <w:szCs w:val="22"/>
              </w:rPr>
              <w:tab/>
            </w:r>
            <w:r w:rsidR="00C86477" w:rsidRPr="0035619B">
              <w:rPr>
                <w:rStyle w:val="Hyperlink"/>
                <w:i/>
                <w:noProof/>
              </w:rPr>
              <w:t>Betaling for tegning og opbevaring</w:t>
            </w:r>
            <w:r w:rsidR="00C86477">
              <w:rPr>
                <w:noProof/>
                <w:webHidden/>
              </w:rPr>
              <w:tab/>
            </w:r>
            <w:r w:rsidR="00C86477">
              <w:rPr>
                <w:noProof/>
                <w:webHidden/>
              </w:rPr>
              <w:fldChar w:fldCharType="begin"/>
            </w:r>
            <w:r w:rsidR="00C86477">
              <w:rPr>
                <w:noProof/>
                <w:webHidden/>
              </w:rPr>
              <w:instrText xml:space="preserve"> PAGEREF _Toc9239916 \h </w:instrText>
            </w:r>
            <w:r w:rsidR="00C86477">
              <w:rPr>
                <w:noProof/>
                <w:webHidden/>
              </w:rPr>
            </w:r>
            <w:r w:rsidR="00C86477">
              <w:rPr>
                <w:noProof/>
                <w:webHidden/>
              </w:rPr>
              <w:fldChar w:fldCharType="separate"/>
            </w:r>
            <w:r w:rsidR="00195831">
              <w:rPr>
                <w:noProof/>
                <w:webHidden/>
              </w:rPr>
              <w:t>10</w:t>
            </w:r>
            <w:r w:rsidR="00C86477">
              <w:rPr>
                <w:noProof/>
                <w:webHidden/>
              </w:rPr>
              <w:fldChar w:fldCharType="end"/>
            </w:r>
          </w:hyperlink>
        </w:p>
        <w:p w14:paraId="38176B41" w14:textId="7C724FB6" w:rsidR="00C86477" w:rsidRDefault="00A11101">
          <w:pPr>
            <w:pStyle w:val="Indholdsfortegnelse4"/>
            <w:rPr>
              <w:rFonts w:eastAsiaTheme="minorEastAsia" w:cstheme="minorBidi"/>
              <w:noProof/>
              <w:sz w:val="22"/>
              <w:szCs w:val="22"/>
            </w:rPr>
          </w:pPr>
          <w:hyperlink w:anchor="_Toc9239917" w:history="1">
            <w:r w:rsidR="00C86477" w:rsidRPr="0035619B">
              <w:rPr>
                <w:rStyle w:val="Hyperlink"/>
                <w:i/>
                <w:noProof/>
              </w:rPr>
              <w:t>19.</w:t>
            </w:r>
            <w:r w:rsidR="00C86477">
              <w:rPr>
                <w:rFonts w:eastAsiaTheme="minorEastAsia" w:cstheme="minorBidi"/>
                <w:noProof/>
                <w:sz w:val="22"/>
                <w:szCs w:val="22"/>
              </w:rPr>
              <w:tab/>
            </w:r>
            <w:r w:rsidR="00C86477" w:rsidRPr="0035619B">
              <w:rPr>
                <w:rStyle w:val="Hyperlink"/>
                <w:i/>
                <w:noProof/>
              </w:rPr>
              <w:t>Emissions- og indløsningspriser m.v.</w:t>
            </w:r>
            <w:r w:rsidR="00C86477">
              <w:rPr>
                <w:noProof/>
                <w:webHidden/>
              </w:rPr>
              <w:tab/>
            </w:r>
            <w:r w:rsidR="00C86477">
              <w:rPr>
                <w:noProof/>
                <w:webHidden/>
              </w:rPr>
              <w:fldChar w:fldCharType="begin"/>
            </w:r>
            <w:r w:rsidR="00C86477">
              <w:rPr>
                <w:noProof/>
                <w:webHidden/>
              </w:rPr>
              <w:instrText xml:space="preserve"> PAGEREF _Toc9239917 \h </w:instrText>
            </w:r>
            <w:r w:rsidR="00C86477">
              <w:rPr>
                <w:noProof/>
                <w:webHidden/>
              </w:rPr>
            </w:r>
            <w:r w:rsidR="00C86477">
              <w:rPr>
                <w:noProof/>
                <w:webHidden/>
              </w:rPr>
              <w:fldChar w:fldCharType="separate"/>
            </w:r>
            <w:r w:rsidR="00195831">
              <w:rPr>
                <w:noProof/>
                <w:webHidden/>
              </w:rPr>
              <w:t>10</w:t>
            </w:r>
            <w:r w:rsidR="00C86477">
              <w:rPr>
                <w:noProof/>
                <w:webHidden/>
              </w:rPr>
              <w:fldChar w:fldCharType="end"/>
            </w:r>
          </w:hyperlink>
        </w:p>
        <w:p w14:paraId="757A5C86" w14:textId="7EC709CF" w:rsidR="00C86477" w:rsidRDefault="00A11101">
          <w:pPr>
            <w:pStyle w:val="Indholdsfortegnelse2"/>
            <w:tabs>
              <w:tab w:val="right" w:leader="dot" w:pos="9345"/>
            </w:tabs>
            <w:rPr>
              <w:rFonts w:eastAsiaTheme="minorEastAsia" w:cstheme="minorBidi"/>
              <w:b w:val="0"/>
              <w:bCs w:val="0"/>
              <w:noProof/>
              <w:sz w:val="22"/>
              <w:szCs w:val="22"/>
            </w:rPr>
          </w:pPr>
          <w:hyperlink w:anchor="_Toc9239918" w:history="1">
            <w:r w:rsidR="00C86477" w:rsidRPr="0035619B">
              <w:rPr>
                <w:rStyle w:val="Hyperlink"/>
                <w:rFonts w:ascii="Times New Roman" w:hAnsi="Times New Roman"/>
                <w:iCs/>
                <w:noProof/>
              </w:rPr>
              <w:t>Omsætning, indløsning og indløsningsomkostninger</w:t>
            </w:r>
            <w:r w:rsidR="00C86477">
              <w:rPr>
                <w:noProof/>
                <w:webHidden/>
              </w:rPr>
              <w:tab/>
            </w:r>
            <w:r w:rsidR="00C86477">
              <w:rPr>
                <w:noProof/>
                <w:webHidden/>
              </w:rPr>
              <w:fldChar w:fldCharType="begin"/>
            </w:r>
            <w:r w:rsidR="00C86477">
              <w:rPr>
                <w:noProof/>
                <w:webHidden/>
              </w:rPr>
              <w:instrText xml:space="preserve"> PAGEREF _Toc9239918 \h </w:instrText>
            </w:r>
            <w:r w:rsidR="00C86477">
              <w:rPr>
                <w:noProof/>
                <w:webHidden/>
              </w:rPr>
            </w:r>
            <w:r w:rsidR="00C86477">
              <w:rPr>
                <w:noProof/>
                <w:webHidden/>
              </w:rPr>
              <w:fldChar w:fldCharType="separate"/>
            </w:r>
            <w:r w:rsidR="00195831">
              <w:rPr>
                <w:noProof/>
                <w:webHidden/>
              </w:rPr>
              <w:t>11</w:t>
            </w:r>
            <w:r w:rsidR="00C86477">
              <w:rPr>
                <w:noProof/>
                <w:webHidden/>
              </w:rPr>
              <w:fldChar w:fldCharType="end"/>
            </w:r>
          </w:hyperlink>
        </w:p>
        <w:p w14:paraId="723C7E8E" w14:textId="335EDECA" w:rsidR="00C86477" w:rsidRDefault="00A11101">
          <w:pPr>
            <w:pStyle w:val="Indholdsfortegnelse4"/>
            <w:rPr>
              <w:rFonts w:eastAsiaTheme="minorEastAsia" w:cstheme="minorBidi"/>
              <w:noProof/>
              <w:sz w:val="22"/>
              <w:szCs w:val="22"/>
            </w:rPr>
          </w:pPr>
          <w:hyperlink w:anchor="_Toc9239919" w:history="1">
            <w:r w:rsidR="00C86477" w:rsidRPr="0035619B">
              <w:rPr>
                <w:rStyle w:val="Hyperlink"/>
                <w:i/>
                <w:noProof/>
              </w:rPr>
              <w:t>20.</w:t>
            </w:r>
            <w:r w:rsidR="00C86477">
              <w:rPr>
                <w:rFonts w:eastAsiaTheme="minorEastAsia" w:cstheme="minorBidi"/>
                <w:noProof/>
                <w:sz w:val="22"/>
                <w:szCs w:val="22"/>
              </w:rPr>
              <w:tab/>
            </w:r>
            <w:r w:rsidR="00C86477" w:rsidRPr="0035619B">
              <w:rPr>
                <w:rStyle w:val="Hyperlink"/>
                <w:i/>
                <w:noProof/>
              </w:rPr>
              <w:t>Omsættelighed og indløsning</w:t>
            </w:r>
            <w:r w:rsidR="00C86477">
              <w:rPr>
                <w:noProof/>
                <w:webHidden/>
              </w:rPr>
              <w:tab/>
            </w:r>
            <w:r w:rsidR="00C86477">
              <w:rPr>
                <w:noProof/>
                <w:webHidden/>
              </w:rPr>
              <w:fldChar w:fldCharType="begin"/>
            </w:r>
            <w:r w:rsidR="00C86477">
              <w:rPr>
                <w:noProof/>
                <w:webHidden/>
              </w:rPr>
              <w:instrText xml:space="preserve"> PAGEREF _Toc9239919 \h </w:instrText>
            </w:r>
            <w:r w:rsidR="00C86477">
              <w:rPr>
                <w:noProof/>
                <w:webHidden/>
              </w:rPr>
            </w:r>
            <w:r w:rsidR="00C86477">
              <w:rPr>
                <w:noProof/>
                <w:webHidden/>
              </w:rPr>
              <w:fldChar w:fldCharType="separate"/>
            </w:r>
            <w:r w:rsidR="00195831">
              <w:rPr>
                <w:noProof/>
                <w:webHidden/>
              </w:rPr>
              <w:t>11</w:t>
            </w:r>
            <w:r w:rsidR="00C86477">
              <w:rPr>
                <w:noProof/>
                <w:webHidden/>
              </w:rPr>
              <w:fldChar w:fldCharType="end"/>
            </w:r>
          </w:hyperlink>
        </w:p>
        <w:p w14:paraId="15D013C9" w14:textId="5D524034" w:rsidR="00C86477" w:rsidRDefault="00A11101">
          <w:pPr>
            <w:pStyle w:val="Indholdsfortegnelse4"/>
            <w:rPr>
              <w:rFonts w:eastAsiaTheme="minorEastAsia" w:cstheme="minorBidi"/>
              <w:noProof/>
              <w:sz w:val="22"/>
              <w:szCs w:val="22"/>
            </w:rPr>
          </w:pPr>
          <w:hyperlink w:anchor="_Toc9239920" w:history="1">
            <w:r w:rsidR="00C86477" w:rsidRPr="0035619B">
              <w:rPr>
                <w:rStyle w:val="Hyperlink"/>
                <w:i/>
                <w:noProof/>
              </w:rPr>
              <w:t>21.</w:t>
            </w:r>
            <w:r w:rsidR="00C86477">
              <w:rPr>
                <w:rFonts w:eastAsiaTheme="minorEastAsia" w:cstheme="minorBidi"/>
                <w:noProof/>
                <w:sz w:val="22"/>
                <w:szCs w:val="22"/>
              </w:rPr>
              <w:tab/>
            </w:r>
            <w:r w:rsidR="00C86477" w:rsidRPr="0035619B">
              <w:rPr>
                <w:rStyle w:val="Hyperlink"/>
                <w:i/>
                <w:noProof/>
              </w:rPr>
              <w:t>Optagelse til handel</w:t>
            </w:r>
            <w:r w:rsidR="00C86477">
              <w:rPr>
                <w:noProof/>
                <w:webHidden/>
              </w:rPr>
              <w:tab/>
            </w:r>
            <w:r w:rsidR="00C86477">
              <w:rPr>
                <w:noProof/>
                <w:webHidden/>
              </w:rPr>
              <w:fldChar w:fldCharType="begin"/>
            </w:r>
            <w:r w:rsidR="00C86477">
              <w:rPr>
                <w:noProof/>
                <w:webHidden/>
              </w:rPr>
              <w:instrText xml:space="preserve"> PAGEREF _Toc9239920 \h </w:instrText>
            </w:r>
            <w:r w:rsidR="00C86477">
              <w:rPr>
                <w:noProof/>
                <w:webHidden/>
              </w:rPr>
            </w:r>
            <w:r w:rsidR="00C86477">
              <w:rPr>
                <w:noProof/>
                <w:webHidden/>
              </w:rPr>
              <w:fldChar w:fldCharType="separate"/>
            </w:r>
            <w:r w:rsidR="00195831">
              <w:rPr>
                <w:noProof/>
                <w:webHidden/>
              </w:rPr>
              <w:t>11</w:t>
            </w:r>
            <w:r w:rsidR="00C86477">
              <w:rPr>
                <w:noProof/>
                <w:webHidden/>
              </w:rPr>
              <w:fldChar w:fldCharType="end"/>
            </w:r>
          </w:hyperlink>
        </w:p>
        <w:p w14:paraId="6A93C5C8" w14:textId="42027E07" w:rsidR="00C86477" w:rsidRDefault="00A11101">
          <w:pPr>
            <w:pStyle w:val="Indholdsfortegnelse4"/>
            <w:rPr>
              <w:rFonts w:eastAsiaTheme="minorEastAsia" w:cstheme="minorBidi"/>
              <w:noProof/>
              <w:sz w:val="22"/>
              <w:szCs w:val="22"/>
            </w:rPr>
          </w:pPr>
          <w:hyperlink w:anchor="_Toc9239921" w:history="1">
            <w:r w:rsidR="00C86477" w:rsidRPr="0035619B">
              <w:rPr>
                <w:rStyle w:val="Hyperlink"/>
                <w:i/>
                <w:noProof/>
              </w:rPr>
              <w:t>22.</w:t>
            </w:r>
            <w:r w:rsidR="00C86477">
              <w:rPr>
                <w:rFonts w:eastAsiaTheme="minorEastAsia" w:cstheme="minorBidi"/>
                <w:noProof/>
                <w:sz w:val="22"/>
                <w:szCs w:val="22"/>
              </w:rPr>
              <w:tab/>
            </w:r>
            <w:r w:rsidR="00C86477" w:rsidRPr="0035619B">
              <w:rPr>
                <w:rStyle w:val="Hyperlink"/>
                <w:i/>
                <w:noProof/>
              </w:rPr>
              <w:t>Andelenes registrering, størrelse og kursangivelse</w:t>
            </w:r>
            <w:r w:rsidR="00C86477">
              <w:rPr>
                <w:noProof/>
                <w:webHidden/>
              </w:rPr>
              <w:tab/>
            </w:r>
            <w:r w:rsidR="00C86477">
              <w:rPr>
                <w:noProof/>
                <w:webHidden/>
              </w:rPr>
              <w:fldChar w:fldCharType="begin"/>
            </w:r>
            <w:r w:rsidR="00C86477">
              <w:rPr>
                <w:noProof/>
                <w:webHidden/>
              </w:rPr>
              <w:instrText xml:space="preserve"> PAGEREF _Toc9239921 \h </w:instrText>
            </w:r>
            <w:r w:rsidR="00C86477">
              <w:rPr>
                <w:noProof/>
                <w:webHidden/>
              </w:rPr>
            </w:r>
            <w:r w:rsidR="00C86477">
              <w:rPr>
                <w:noProof/>
                <w:webHidden/>
              </w:rPr>
              <w:fldChar w:fldCharType="separate"/>
            </w:r>
            <w:r w:rsidR="00195831">
              <w:rPr>
                <w:noProof/>
                <w:webHidden/>
              </w:rPr>
              <w:t>11</w:t>
            </w:r>
            <w:r w:rsidR="00C86477">
              <w:rPr>
                <w:noProof/>
                <w:webHidden/>
              </w:rPr>
              <w:fldChar w:fldCharType="end"/>
            </w:r>
          </w:hyperlink>
        </w:p>
        <w:p w14:paraId="42177999" w14:textId="2A9AB08B" w:rsidR="00C86477" w:rsidRDefault="00A11101">
          <w:pPr>
            <w:pStyle w:val="Indholdsfortegnelse4"/>
            <w:rPr>
              <w:rFonts w:eastAsiaTheme="minorEastAsia" w:cstheme="minorBidi"/>
              <w:noProof/>
              <w:sz w:val="22"/>
              <w:szCs w:val="22"/>
            </w:rPr>
          </w:pPr>
          <w:hyperlink w:anchor="_Toc9239922" w:history="1">
            <w:r w:rsidR="00C86477" w:rsidRPr="0035619B">
              <w:rPr>
                <w:rStyle w:val="Hyperlink"/>
                <w:i/>
                <w:noProof/>
              </w:rPr>
              <w:t>23.</w:t>
            </w:r>
            <w:r w:rsidR="00C86477">
              <w:rPr>
                <w:rFonts w:eastAsiaTheme="minorEastAsia" w:cstheme="minorBidi"/>
                <w:noProof/>
                <w:sz w:val="22"/>
                <w:szCs w:val="22"/>
              </w:rPr>
              <w:tab/>
            </w:r>
            <w:r w:rsidR="00C86477" w:rsidRPr="0035619B">
              <w:rPr>
                <w:rStyle w:val="Hyperlink"/>
                <w:i/>
                <w:noProof/>
              </w:rPr>
              <w:t>Negotiabilitet</w:t>
            </w:r>
            <w:r w:rsidR="00C86477">
              <w:rPr>
                <w:noProof/>
                <w:webHidden/>
              </w:rPr>
              <w:tab/>
            </w:r>
            <w:r w:rsidR="00C86477">
              <w:rPr>
                <w:noProof/>
                <w:webHidden/>
              </w:rPr>
              <w:fldChar w:fldCharType="begin"/>
            </w:r>
            <w:r w:rsidR="00C86477">
              <w:rPr>
                <w:noProof/>
                <w:webHidden/>
              </w:rPr>
              <w:instrText xml:space="preserve"> PAGEREF _Toc9239922 \h </w:instrText>
            </w:r>
            <w:r w:rsidR="00C86477">
              <w:rPr>
                <w:noProof/>
                <w:webHidden/>
              </w:rPr>
            </w:r>
            <w:r w:rsidR="00C86477">
              <w:rPr>
                <w:noProof/>
                <w:webHidden/>
              </w:rPr>
              <w:fldChar w:fldCharType="separate"/>
            </w:r>
            <w:r w:rsidR="00195831">
              <w:rPr>
                <w:noProof/>
                <w:webHidden/>
              </w:rPr>
              <w:t>11</w:t>
            </w:r>
            <w:r w:rsidR="00C86477">
              <w:rPr>
                <w:noProof/>
                <w:webHidden/>
              </w:rPr>
              <w:fldChar w:fldCharType="end"/>
            </w:r>
          </w:hyperlink>
        </w:p>
        <w:p w14:paraId="19A0CAA9" w14:textId="6D885B2C" w:rsidR="00C86477" w:rsidRDefault="00A11101">
          <w:pPr>
            <w:pStyle w:val="Indholdsfortegnelse2"/>
            <w:tabs>
              <w:tab w:val="right" w:leader="dot" w:pos="9345"/>
            </w:tabs>
            <w:rPr>
              <w:rFonts w:eastAsiaTheme="minorEastAsia" w:cstheme="minorBidi"/>
              <w:b w:val="0"/>
              <w:bCs w:val="0"/>
              <w:noProof/>
              <w:sz w:val="22"/>
              <w:szCs w:val="22"/>
            </w:rPr>
          </w:pPr>
          <w:hyperlink w:anchor="_Toc9239923" w:history="1">
            <w:r w:rsidR="00C86477" w:rsidRPr="0035619B">
              <w:rPr>
                <w:rStyle w:val="Hyperlink"/>
                <w:rFonts w:ascii="Times New Roman" w:hAnsi="Times New Roman"/>
                <w:iCs/>
                <w:noProof/>
              </w:rPr>
              <w:t>Drift, samarbejdsparter og løbende omkostninger</w:t>
            </w:r>
            <w:r w:rsidR="00C86477">
              <w:rPr>
                <w:noProof/>
                <w:webHidden/>
              </w:rPr>
              <w:tab/>
            </w:r>
            <w:r w:rsidR="00C86477">
              <w:rPr>
                <w:noProof/>
                <w:webHidden/>
              </w:rPr>
              <w:fldChar w:fldCharType="begin"/>
            </w:r>
            <w:r w:rsidR="00C86477">
              <w:rPr>
                <w:noProof/>
                <w:webHidden/>
              </w:rPr>
              <w:instrText xml:space="preserve"> PAGEREF _Toc9239923 \h </w:instrText>
            </w:r>
            <w:r w:rsidR="00C86477">
              <w:rPr>
                <w:noProof/>
                <w:webHidden/>
              </w:rPr>
            </w:r>
            <w:r w:rsidR="00C86477">
              <w:rPr>
                <w:noProof/>
                <w:webHidden/>
              </w:rPr>
              <w:fldChar w:fldCharType="separate"/>
            </w:r>
            <w:r w:rsidR="00195831">
              <w:rPr>
                <w:noProof/>
                <w:webHidden/>
              </w:rPr>
              <w:t>12</w:t>
            </w:r>
            <w:r w:rsidR="00C86477">
              <w:rPr>
                <w:noProof/>
                <w:webHidden/>
              </w:rPr>
              <w:fldChar w:fldCharType="end"/>
            </w:r>
          </w:hyperlink>
        </w:p>
        <w:p w14:paraId="488B7456" w14:textId="656BE2F2" w:rsidR="00C86477" w:rsidRDefault="00A11101">
          <w:pPr>
            <w:pStyle w:val="Indholdsfortegnelse4"/>
            <w:rPr>
              <w:rFonts w:eastAsiaTheme="minorEastAsia" w:cstheme="minorBidi"/>
              <w:noProof/>
              <w:sz w:val="22"/>
              <w:szCs w:val="22"/>
            </w:rPr>
          </w:pPr>
          <w:hyperlink w:anchor="_Toc9239924" w:history="1">
            <w:r w:rsidR="00C86477" w:rsidRPr="0035619B">
              <w:rPr>
                <w:rStyle w:val="Hyperlink"/>
                <w:i/>
                <w:noProof/>
              </w:rPr>
              <w:t>24.</w:t>
            </w:r>
            <w:r w:rsidR="00C86477">
              <w:rPr>
                <w:rFonts w:eastAsiaTheme="minorEastAsia" w:cstheme="minorBidi"/>
                <w:noProof/>
                <w:sz w:val="22"/>
                <w:szCs w:val="22"/>
              </w:rPr>
              <w:tab/>
            </w:r>
            <w:r w:rsidR="00C86477" w:rsidRPr="0035619B">
              <w:rPr>
                <w:rStyle w:val="Hyperlink"/>
                <w:i/>
                <w:noProof/>
              </w:rPr>
              <w:t>Administration</w:t>
            </w:r>
            <w:r w:rsidR="00C86477">
              <w:rPr>
                <w:noProof/>
                <w:webHidden/>
              </w:rPr>
              <w:tab/>
            </w:r>
            <w:r w:rsidR="00C86477">
              <w:rPr>
                <w:noProof/>
                <w:webHidden/>
              </w:rPr>
              <w:fldChar w:fldCharType="begin"/>
            </w:r>
            <w:r w:rsidR="00C86477">
              <w:rPr>
                <w:noProof/>
                <w:webHidden/>
              </w:rPr>
              <w:instrText xml:space="preserve"> PAGEREF _Toc9239924 \h </w:instrText>
            </w:r>
            <w:r w:rsidR="00C86477">
              <w:rPr>
                <w:noProof/>
                <w:webHidden/>
              </w:rPr>
            </w:r>
            <w:r w:rsidR="00C86477">
              <w:rPr>
                <w:noProof/>
                <w:webHidden/>
              </w:rPr>
              <w:fldChar w:fldCharType="separate"/>
            </w:r>
            <w:r w:rsidR="00195831">
              <w:rPr>
                <w:noProof/>
                <w:webHidden/>
              </w:rPr>
              <w:t>12</w:t>
            </w:r>
            <w:r w:rsidR="00C86477">
              <w:rPr>
                <w:noProof/>
                <w:webHidden/>
              </w:rPr>
              <w:fldChar w:fldCharType="end"/>
            </w:r>
          </w:hyperlink>
        </w:p>
        <w:p w14:paraId="28FAD0E6" w14:textId="319A96B3" w:rsidR="00C86477" w:rsidRDefault="00A11101">
          <w:pPr>
            <w:pStyle w:val="Indholdsfortegnelse4"/>
            <w:rPr>
              <w:rFonts w:eastAsiaTheme="minorEastAsia" w:cstheme="minorBidi"/>
              <w:noProof/>
              <w:sz w:val="22"/>
              <w:szCs w:val="22"/>
            </w:rPr>
          </w:pPr>
          <w:hyperlink w:anchor="_Toc9239925" w:history="1">
            <w:r w:rsidR="00C86477" w:rsidRPr="0035619B">
              <w:rPr>
                <w:rStyle w:val="Hyperlink"/>
                <w:i/>
                <w:noProof/>
              </w:rPr>
              <w:t>25.</w:t>
            </w:r>
            <w:r w:rsidR="00C86477">
              <w:rPr>
                <w:rFonts w:eastAsiaTheme="minorEastAsia" w:cstheme="minorBidi"/>
                <w:noProof/>
                <w:sz w:val="22"/>
                <w:szCs w:val="22"/>
              </w:rPr>
              <w:tab/>
            </w:r>
            <w:r w:rsidR="00C86477" w:rsidRPr="0035619B">
              <w:rPr>
                <w:rStyle w:val="Hyperlink"/>
                <w:i/>
                <w:noProof/>
              </w:rPr>
              <w:t>Investeringsforvaltningsselskab</w:t>
            </w:r>
            <w:r w:rsidR="00C86477">
              <w:rPr>
                <w:noProof/>
                <w:webHidden/>
              </w:rPr>
              <w:tab/>
            </w:r>
            <w:r w:rsidR="00C86477">
              <w:rPr>
                <w:noProof/>
                <w:webHidden/>
              </w:rPr>
              <w:fldChar w:fldCharType="begin"/>
            </w:r>
            <w:r w:rsidR="00C86477">
              <w:rPr>
                <w:noProof/>
                <w:webHidden/>
              </w:rPr>
              <w:instrText xml:space="preserve"> PAGEREF _Toc9239925 \h </w:instrText>
            </w:r>
            <w:r w:rsidR="00C86477">
              <w:rPr>
                <w:noProof/>
                <w:webHidden/>
              </w:rPr>
            </w:r>
            <w:r w:rsidR="00C86477">
              <w:rPr>
                <w:noProof/>
                <w:webHidden/>
              </w:rPr>
              <w:fldChar w:fldCharType="separate"/>
            </w:r>
            <w:r w:rsidR="00195831">
              <w:rPr>
                <w:noProof/>
                <w:webHidden/>
              </w:rPr>
              <w:t>12</w:t>
            </w:r>
            <w:r w:rsidR="00C86477">
              <w:rPr>
                <w:noProof/>
                <w:webHidden/>
              </w:rPr>
              <w:fldChar w:fldCharType="end"/>
            </w:r>
          </w:hyperlink>
        </w:p>
        <w:p w14:paraId="392CD03C" w14:textId="59CD11DA" w:rsidR="00C86477" w:rsidRDefault="00A11101">
          <w:pPr>
            <w:pStyle w:val="Indholdsfortegnelse4"/>
            <w:rPr>
              <w:rFonts w:eastAsiaTheme="minorEastAsia" w:cstheme="minorBidi"/>
              <w:noProof/>
              <w:sz w:val="22"/>
              <w:szCs w:val="22"/>
            </w:rPr>
          </w:pPr>
          <w:hyperlink w:anchor="_Toc9239926" w:history="1">
            <w:r w:rsidR="00C86477" w:rsidRPr="0035619B">
              <w:rPr>
                <w:rStyle w:val="Hyperlink"/>
                <w:i/>
                <w:noProof/>
              </w:rPr>
              <w:t>26.</w:t>
            </w:r>
            <w:r w:rsidR="00C86477">
              <w:rPr>
                <w:rFonts w:eastAsiaTheme="minorEastAsia" w:cstheme="minorBidi"/>
                <w:noProof/>
                <w:sz w:val="22"/>
                <w:szCs w:val="22"/>
              </w:rPr>
              <w:tab/>
            </w:r>
            <w:r w:rsidR="00C86477" w:rsidRPr="0035619B">
              <w:rPr>
                <w:rStyle w:val="Hyperlink"/>
                <w:i/>
                <w:noProof/>
              </w:rPr>
              <w:t>Depotselskab</w:t>
            </w:r>
            <w:r w:rsidR="00C86477">
              <w:rPr>
                <w:noProof/>
                <w:webHidden/>
              </w:rPr>
              <w:tab/>
            </w:r>
            <w:r w:rsidR="00C86477">
              <w:rPr>
                <w:noProof/>
                <w:webHidden/>
              </w:rPr>
              <w:fldChar w:fldCharType="begin"/>
            </w:r>
            <w:r w:rsidR="00C86477">
              <w:rPr>
                <w:noProof/>
                <w:webHidden/>
              </w:rPr>
              <w:instrText xml:space="preserve"> PAGEREF _Toc9239926 \h </w:instrText>
            </w:r>
            <w:r w:rsidR="00C86477">
              <w:rPr>
                <w:noProof/>
                <w:webHidden/>
              </w:rPr>
            </w:r>
            <w:r w:rsidR="00C86477">
              <w:rPr>
                <w:noProof/>
                <w:webHidden/>
              </w:rPr>
              <w:fldChar w:fldCharType="separate"/>
            </w:r>
            <w:r w:rsidR="00195831">
              <w:rPr>
                <w:noProof/>
                <w:webHidden/>
              </w:rPr>
              <w:t>13</w:t>
            </w:r>
            <w:r w:rsidR="00C86477">
              <w:rPr>
                <w:noProof/>
                <w:webHidden/>
              </w:rPr>
              <w:fldChar w:fldCharType="end"/>
            </w:r>
          </w:hyperlink>
        </w:p>
        <w:p w14:paraId="073D6EFC" w14:textId="56712C13" w:rsidR="00C86477" w:rsidRDefault="00A11101">
          <w:pPr>
            <w:pStyle w:val="Indholdsfortegnelse4"/>
            <w:rPr>
              <w:rFonts w:eastAsiaTheme="minorEastAsia" w:cstheme="minorBidi"/>
              <w:noProof/>
              <w:sz w:val="22"/>
              <w:szCs w:val="22"/>
            </w:rPr>
          </w:pPr>
          <w:hyperlink w:anchor="_Toc9239927" w:history="1">
            <w:r w:rsidR="00C86477" w:rsidRPr="0035619B">
              <w:rPr>
                <w:rStyle w:val="Hyperlink"/>
                <w:i/>
                <w:noProof/>
              </w:rPr>
              <w:t>27.</w:t>
            </w:r>
            <w:r w:rsidR="00C86477">
              <w:rPr>
                <w:rFonts w:eastAsiaTheme="minorEastAsia" w:cstheme="minorBidi"/>
                <w:noProof/>
                <w:sz w:val="22"/>
                <w:szCs w:val="22"/>
              </w:rPr>
              <w:tab/>
            </w:r>
            <w:r w:rsidR="00C86477" w:rsidRPr="0035619B">
              <w:rPr>
                <w:rStyle w:val="Hyperlink"/>
                <w:i/>
                <w:noProof/>
              </w:rPr>
              <w:t>Prisstillelse</w:t>
            </w:r>
            <w:r w:rsidR="00C86477">
              <w:rPr>
                <w:noProof/>
                <w:webHidden/>
              </w:rPr>
              <w:tab/>
            </w:r>
            <w:r w:rsidR="00C86477">
              <w:rPr>
                <w:noProof/>
                <w:webHidden/>
              </w:rPr>
              <w:fldChar w:fldCharType="begin"/>
            </w:r>
            <w:r w:rsidR="00C86477">
              <w:rPr>
                <w:noProof/>
                <w:webHidden/>
              </w:rPr>
              <w:instrText xml:space="preserve"> PAGEREF _Toc9239927 \h </w:instrText>
            </w:r>
            <w:r w:rsidR="00C86477">
              <w:rPr>
                <w:noProof/>
                <w:webHidden/>
              </w:rPr>
            </w:r>
            <w:r w:rsidR="00C86477">
              <w:rPr>
                <w:noProof/>
                <w:webHidden/>
              </w:rPr>
              <w:fldChar w:fldCharType="separate"/>
            </w:r>
            <w:r w:rsidR="00195831">
              <w:rPr>
                <w:noProof/>
                <w:webHidden/>
              </w:rPr>
              <w:t>13</w:t>
            </w:r>
            <w:r w:rsidR="00C86477">
              <w:rPr>
                <w:noProof/>
                <w:webHidden/>
              </w:rPr>
              <w:fldChar w:fldCharType="end"/>
            </w:r>
          </w:hyperlink>
        </w:p>
        <w:p w14:paraId="5AD75D36" w14:textId="04DFBDDB" w:rsidR="00C86477" w:rsidRDefault="00A11101">
          <w:pPr>
            <w:pStyle w:val="Indholdsfortegnelse4"/>
            <w:rPr>
              <w:rFonts w:eastAsiaTheme="minorEastAsia" w:cstheme="minorBidi"/>
              <w:noProof/>
              <w:sz w:val="22"/>
              <w:szCs w:val="22"/>
            </w:rPr>
          </w:pPr>
          <w:hyperlink w:anchor="_Toc9239928" w:history="1">
            <w:r w:rsidR="00C86477" w:rsidRPr="0035619B">
              <w:rPr>
                <w:rStyle w:val="Hyperlink"/>
                <w:i/>
                <w:noProof/>
              </w:rPr>
              <w:t>28.</w:t>
            </w:r>
            <w:r w:rsidR="00C86477">
              <w:rPr>
                <w:rFonts w:eastAsiaTheme="minorEastAsia" w:cstheme="minorBidi"/>
                <w:noProof/>
                <w:sz w:val="22"/>
                <w:szCs w:val="22"/>
              </w:rPr>
              <w:tab/>
            </w:r>
            <w:r w:rsidR="00C86477" w:rsidRPr="0035619B">
              <w:rPr>
                <w:rStyle w:val="Hyperlink"/>
                <w:i/>
                <w:noProof/>
              </w:rPr>
              <w:t>Formidling af andele</w:t>
            </w:r>
            <w:r w:rsidR="00C86477">
              <w:rPr>
                <w:noProof/>
                <w:webHidden/>
              </w:rPr>
              <w:tab/>
            </w:r>
            <w:r w:rsidR="00C86477">
              <w:rPr>
                <w:noProof/>
                <w:webHidden/>
              </w:rPr>
              <w:fldChar w:fldCharType="begin"/>
            </w:r>
            <w:r w:rsidR="00C86477">
              <w:rPr>
                <w:noProof/>
                <w:webHidden/>
              </w:rPr>
              <w:instrText xml:space="preserve"> PAGEREF _Toc9239928 \h </w:instrText>
            </w:r>
            <w:r w:rsidR="00C86477">
              <w:rPr>
                <w:noProof/>
                <w:webHidden/>
              </w:rPr>
            </w:r>
            <w:r w:rsidR="00C86477">
              <w:rPr>
                <w:noProof/>
                <w:webHidden/>
              </w:rPr>
              <w:fldChar w:fldCharType="separate"/>
            </w:r>
            <w:r w:rsidR="00195831">
              <w:rPr>
                <w:noProof/>
                <w:webHidden/>
              </w:rPr>
              <w:t>13</w:t>
            </w:r>
            <w:r w:rsidR="00C86477">
              <w:rPr>
                <w:noProof/>
                <w:webHidden/>
              </w:rPr>
              <w:fldChar w:fldCharType="end"/>
            </w:r>
          </w:hyperlink>
        </w:p>
        <w:p w14:paraId="131FCC24" w14:textId="3F61F9C6" w:rsidR="00C86477" w:rsidRDefault="00A11101">
          <w:pPr>
            <w:pStyle w:val="Indholdsfortegnelse4"/>
            <w:rPr>
              <w:rFonts w:eastAsiaTheme="minorEastAsia" w:cstheme="minorBidi"/>
              <w:noProof/>
              <w:sz w:val="22"/>
              <w:szCs w:val="22"/>
            </w:rPr>
          </w:pPr>
          <w:hyperlink w:anchor="_Toc9239929" w:history="1">
            <w:r w:rsidR="00C86477" w:rsidRPr="0035619B">
              <w:rPr>
                <w:rStyle w:val="Hyperlink"/>
                <w:i/>
                <w:noProof/>
              </w:rPr>
              <w:t>29.</w:t>
            </w:r>
            <w:r w:rsidR="00C86477">
              <w:rPr>
                <w:rFonts w:eastAsiaTheme="minorEastAsia" w:cstheme="minorBidi"/>
                <w:noProof/>
                <w:sz w:val="22"/>
                <w:szCs w:val="22"/>
              </w:rPr>
              <w:tab/>
            </w:r>
            <w:r w:rsidR="00C86477" w:rsidRPr="0035619B">
              <w:rPr>
                <w:rStyle w:val="Hyperlink"/>
                <w:i/>
                <w:noProof/>
              </w:rPr>
              <w:t>Porteføljeforvalter</w:t>
            </w:r>
            <w:r w:rsidR="00C86477">
              <w:rPr>
                <w:noProof/>
                <w:webHidden/>
              </w:rPr>
              <w:tab/>
            </w:r>
            <w:r w:rsidR="00C86477">
              <w:rPr>
                <w:noProof/>
                <w:webHidden/>
              </w:rPr>
              <w:fldChar w:fldCharType="begin"/>
            </w:r>
            <w:r w:rsidR="00C86477">
              <w:rPr>
                <w:noProof/>
                <w:webHidden/>
              </w:rPr>
              <w:instrText xml:space="preserve"> PAGEREF _Toc9239929 \h </w:instrText>
            </w:r>
            <w:r w:rsidR="00C86477">
              <w:rPr>
                <w:noProof/>
                <w:webHidden/>
              </w:rPr>
            </w:r>
            <w:r w:rsidR="00C86477">
              <w:rPr>
                <w:noProof/>
                <w:webHidden/>
              </w:rPr>
              <w:fldChar w:fldCharType="separate"/>
            </w:r>
            <w:r w:rsidR="00195831">
              <w:rPr>
                <w:noProof/>
                <w:webHidden/>
              </w:rPr>
              <w:t>13</w:t>
            </w:r>
            <w:r w:rsidR="00C86477">
              <w:rPr>
                <w:noProof/>
                <w:webHidden/>
              </w:rPr>
              <w:fldChar w:fldCharType="end"/>
            </w:r>
          </w:hyperlink>
        </w:p>
        <w:p w14:paraId="45E74DA8" w14:textId="26E302D9" w:rsidR="00C86477" w:rsidRDefault="00A11101">
          <w:pPr>
            <w:pStyle w:val="Indholdsfortegnelse4"/>
            <w:rPr>
              <w:rFonts w:eastAsiaTheme="minorEastAsia" w:cstheme="minorBidi"/>
              <w:noProof/>
              <w:sz w:val="22"/>
              <w:szCs w:val="22"/>
            </w:rPr>
          </w:pPr>
          <w:hyperlink w:anchor="_Toc9239930" w:history="1">
            <w:r w:rsidR="00C86477" w:rsidRPr="0035619B">
              <w:rPr>
                <w:rStyle w:val="Hyperlink"/>
                <w:i/>
                <w:noProof/>
              </w:rPr>
              <w:t>30.</w:t>
            </w:r>
            <w:r w:rsidR="00C86477">
              <w:rPr>
                <w:rFonts w:eastAsiaTheme="minorEastAsia" w:cstheme="minorBidi"/>
                <w:noProof/>
                <w:sz w:val="22"/>
                <w:szCs w:val="22"/>
              </w:rPr>
              <w:tab/>
            </w:r>
            <w:r w:rsidR="00C86477" w:rsidRPr="0035619B">
              <w:rPr>
                <w:rStyle w:val="Hyperlink"/>
                <w:i/>
                <w:noProof/>
              </w:rPr>
              <w:t>Klageansvarlig m.m.</w:t>
            </w:r>
            <w:r w:rsidR="00C86477">
              <w:rPr>
                <w:noProof/>
                <w:webHidden/>
              </w:rPr>
              <w:tab/>
            </w:r>
            <w:r w:rsidR="00C86477">
              <w:rPr>
                <w:noProof/>
                <w:webHidden/>
              </w:rPr>
              <w:fldChar w:fldCharType="begin"/>
            </w:r>
            <w:r w:rsidR="00C86477">
              <w:rPr>
                <w:noProof/>
                <w:webHidden/>
              </w:rPr>
              <w:instrText xml:space="preserve"> PAGEREF _Toc9239930 \h </w:instrText>
            </w:r>
            <w:r w:rsidR="00C86477">
              <w:rPr>
                <w:noProof/>
                <w:webHidden/>
              </w:rPr>
            </w:r>
            <w:r w:rsidR="00C86477">
              <w:rPr>
                <w:noProof/>
                <w:webHidden/>
              </w:rPr>
              <w:fldChar w:fldCharType="separate"/>
            </w:r>
            <w:r w:rsidR="00195831">
              <w:rPr>
                <w:noProof/>
                <w:webHidden/>
              </w:rPr>
              <w:t>14</w:t>
            </w:r>
            <w:r w:rsidR="00C86477">
              <w:rPr>
                <w:noProof/>
                <w:webHidden/>
              </w:rPr>
              <w:fldChar w:fldCharType="end"/>
            </w:r>
          </w:hyperlink>
        </w:p>
        <w:p w14:paraId="559AF1EF" w14:textId="5108014D" w:rsidR="00C86477" w:rsidRDefault="00A11101">
          <w:pPr>
            <w:pStyle w:val="Indholdsfortegnelse4"/>
            <w:rPr>
              <w:rFonts w:eastAsiaTheme="minorEastAsia" w:cstheme="minorBidi"/>
              <w:noProof/>
              <w:sz w:val="22"/>
              <w:szCs w:val="22"/>
            </w:rPr>
          </w:pPr>
          <w:hyperlink w:anchor="_Toc9239931" w:history="1">
            <w:r w:rsidR="00C86477" w:rsidRPr="0035619B">
              <w:rPr>
                <w:rStyle w:val="Hyperlink"/>
                <w:i/>
                <w:noProof/>
              </w:rPr>
              <w:t>31.</w:t>
            </w:r>
            <w:r w:rsidR="00C86477">
              <w:rPr>
                <w:rFonts w:eastAsiaTheme="minorEastAsia" w:cstheme="minorBidi"/>
                <w:noProof/>
                <w:sz w:val="22"/>
                <w:szCs w:val="22"/>
              </w:rPr>
              <w:tab/>
            </w:r>
            <w:r w:rsidR="00C86477" w:rsidRPr="0035619B">
              <w:rPr>
                <w:rStyle w:val="Hyperlink"/>
                <w:i/>
                <w:noProof/>
              </w:rPr>
              <w:t>Årlige omkostninger i procent (ÅOP)</w:t>
            </w:r>
            <w:r w:rsidR="00C86477">
              <w:rPr>
                <w:noProof/>
                <w:webHidden/>
              </w:rPr>
              <w:tab/>
            </w:r>
            <w:r w:rsidR="00C86477">
              <w:rPr>
                <w:noProof/>
                <w:webHidden/>
              </w:rPr>
              <w:fldChar w:fldCharType="begin"/>
            </w:r>
            <w:r w:rsidR="00C86477">
              <w:rPr>
                <w:noProof/>
                <w:webHidden/>
              </w:rPr>
              <w:instrText xml:space="preserve"> PAGEREF _Toc9239931 \h </w:instrText>
            </w:r>
            <w:r w:rsidR="00C86477">
              <w:rPr>
                <w:noProof/>
                <w:webHidden/>
              </w:rPr>
            </w:r>
            <w:r w:rsidR="00C86477">
              <w:rPr>
                <w:noProof/>
                <w:webHidden/>
              </w:rPr>
              <w:fldChar w:fldCharType="separate"/>
            </w:r>
            <w:r w:rsidR="00195831">
              <w:rPr>
                <w:noProof/>
                <w:webHidden/>
              </w:rPr>
              <w:t>14</w:t>
            </w:r>
            <w:r w:rsidR="00C86477">
              <w:rPr>
                <w:noProof/>
                <w:webHidden/>
              </w:rPr>
              <w:fldChar w:fldCharType="end"/>
            </w:r>
          </w:hyperlink>
        </w:p>
        <w:p w14:paraId="344037BD" w14:textId="57ABC9A6" w:rsidR="00C86477" w:rsidRDefault="00A11101">
          <w:pPr>
            <w:pStyle w:val="Indholdsfortegnelse2"/>
            <w:tabs>
              <w:tab w:val="right" w:leader="dot" w:pos="9345"/>
            </w:tabs>
            <w:rPr>
              <w:rFonts w:eastAsiaTheme="minorEastAsia" w:cstheme="minorBidi"/>
              <w:b w:val="0"/>
              <w:bCs w:val="0"/>
              <w:noProof/>
              <w:sz w:val="22"/>
              <w:szCs w:val="22"/>
            </w:rPr>
          </w:pPr>
          <w:hyperlink w:anchor="_Toc9239932" w:history="1">
            <w:r w:rsidR="00C86477" w:rsidRPr="0035619B">
              <w:rPr>
                <w:rStyle w:val="Hyperlink"/>
                <w:rFonts w:ascii="Times New Roman" w:hAnsi="Times New Roman"/>
                <w:iCs/>
                <w:noProof/>
              </w:rPr>
              <w:t>Rettigheder, vedtægter og regnskabsforhold m.v.</w:t>
            </w:r>
            <w:r w:rsidR="00C86477">
              <w:rPr>
                <w:noProof/>
                <w:webHidden/>
              </w:rPr>
              <w:tab/>
            </w:r>
            <w:r w:rsidR="00C86477">
              <w:rPr>
                <w:noProof/>
                <w:webHidden/>
              </w:rPr>
              <w:fldChar w:fldCharType="begin"/>
            </w:r>
            <w:r w:rsidR="00C86477">
              <w:rPr>
                <w:noProof/>
                <w:webHidden/>
              </w:rPr>
              <w:instrText xml:space="preserve"> PAGEREF _Toc9239932 \h </w:instrText>
            </w:r>
            <w:r w:rsidR="00C86477">
              <w:rPr>
                <w:noProof/>
                <w:webHidden/>
              </w:rPr>
            </w:r>
            <w:r w:rsidR="00C86477">
              <w:rPr>
                <w:noProof/>
                <w:webHidden/>
              </w:rPr>
              <w:fldChar w:fldCharType="separate"/>
            </w:r>
            <w:r w:rsidR="00195831">
              <w:rPr>
                <w:noProof/>
                <w:webHidden/>
              </w:rPr>
              <w:t>14</w:t>
            </w:r>
            <w:r w:rsidR="00C86477">
              <w:rPr>
                <w:noProof/>
                <w:webHidden/>
              </w:rPr>
              <w:fldChar w:fldCharType="end"/>
            </w:r>
          </w:hyperlink>
        </w:p>
        <w:p w14:paraId="1EA7264D" w14:textId="33636C33" w:rsidR="00C86477" w:rsidRDefault="00A11101">
          <w:pPr>
            <w:pStyle w:val="Indholdsfortegnelse4"/>
            <w:rPr>
              <w:rFonts w:eastAsiaTheme="minorEastAsia" w:cstheme="minorBidi"/>
              <w:noProof/>
              <w:sz w:val="22"/>
              <w:szCs w:val="22"/>
            </w:rPr>
          </w:pPr>
          <w:hyperlink w:anchor="_Toc9239933" w:history="1">
            <w:r w:rsidR="00C86477" w:rsidRPr="0035619B">
              <w:rPr>
                <w:rStyle w:val="Hyperlink"/>
                <w:i/>
                <w:noProof/>
              </w:rPr>
              <w:t>32.</w:t>
            </w:r>
            <w:r w:rsidR="00C86477">
              <w:rPr>
                <w:rFonts w:eastAsiaTheme="minorEastAsia" w:cstheme="minorBidi"/>
                <w:noProof/>
                <w:sz w:val="22"/>
                <w:szCs w:val="22"/>
              </w:rPr>
              <w:tab/>
            </w:r>
            <w:r w:rsidR="00C86477" w:rsidRPr="0035619B">
              <w:rPr>
                <w:rStyle w:val="Hyperlink"/>
                <w:i/>
                <w:noProof/>
              </w:rPr>
              <w:t>Notering på navn</w:t>
            </w:r>
            <w:r w:rsidR="00C86477">
              <w:rPr>
                <w:noProof/>
                <w:webHidden/>
              </w:rPr>
              <w:tab/>
            </w:r>
            <w:r w:rsidR="00C86477">
              <w:rPr>
                <w:noProof/>
                <w:webHidden/>
              </w:rPr>
              <w:fldChar w:fldCharType="begin"/>
            </w:r>
            <w:r w:rsidR="00C86477">
              <w:rPr>
                <w:noProof/>
                <w:webHidden/>
              </w:rPr>
              <w:instrText xml:space="preserve"> PAGEREF _Toc9239933 \h </w:instrText>
            </w:r>
            <w:r w:rsidR="00C86477">
              <w:rPr>
                <w:noProof/>
                <w:webHidden/>
              </w:rPr>
            </w:r>
            <w:r w:rsidR="00C86477">
              <w:rPr>
                <w:noProof/>
                <w:webHidden/>
              </w:rPr>
              <w:fldChar w:fldCharType="separate"/>
            </w:r>
            <w:r w:rsidR="00195831">
              <w:rPr>
                <w:noProof/>
                <w:webHidden/>
              </w:rPr>
              <w:t>14</w:t>
            </w:r>
            <w:r w:rsidR="00C86477">
              <w:rPr>
                <w:noProof/>
                <w:webHidden/>
              </w:rPr>
              <w:fldChar w:fldCharType="end"/>
            </w:r>
          </w:hyperlink>
        </w:p>
        <w:p w14:paraId="0D752D3F" w14:textId="4CDC1E8C" w:rsidR="00C86477" w:rsidRDefault="00A11101">
          <w:pPr>
            <w:pStyle w:val="Indholdsfortegnelse4"/>
            <w:rPr>
              <w:rFonts w:eastAsiaTheme="minorEastAsia" w:cstheme="minorBidi"/>
              <w:noProof/>
              <w:sz w:val="22"/>
              <w:szCs w:val="22"/>
            </w:rPr>
          </w:pPr>
          <w:hyperlink w:anchor="_Toc9239934" w:history="1">
            <w:r w:rsidR="00C86477" w:rsidRPr="0035619B">
              <w:rPr>
                <w:rStyle w:val="Hyperlink"/>
                <w:i/>
                <w:noProof/>
              </w:rPr>
              <w:t>33.</w:t>
            </w:r>
            <w:r w:rsidR="00C86477">
              <w:rPr>
                <w:rFonts w:eastAsiaTheme="minorEastAsia" w:cstheme="minorBidi"/>
                <w:noProof/>
                <w:sz w:val="22"/>
                <w:szCs w:val="22"/>
              </w:rPr>
              <w:tab/>
            </w:r>
            <w:r w:rsidR="00C86477" w:rsidRPr="0035619B">
              <w:rPr>
                <w:rStyle w:val="Hyperlink"/>
                <w:i/>
                <w:noProof/>
              </w:rPr>
              <w:t>Stemmeret og rettigheder</w:t>
            </w:r>
            <w:r w:rsidR="00C86477">
              <w:rPr>
                <w:noProof/>
                <w:webHidden/>
              </w:rPr>
              <w:tab/>
            </w:r>
            <w:r w:rsidR="00C86477">
              <w:rPr>
                <w:noProof/>
                <w:webHidden/>
              </w:rPr>
              <w:fldChar w:fldCharType="begin"/>
            </w:r>
            <w:r w:rsidR="00C86477">
              <w:rPr>
                <w:noProof/>
                <w:webHidden/>
              </w:rPr>
              <w:instrText xml:space="preserve"> PAGEREF _Toc9239934 \h </w:instrText>
            </w:r>
            <w:r w:rsidR="00C86477">
              <w:rPr>
                <w:noProof/>
                <w:webHidden/>
              </w:rPr>
            </w:r>
            <w:r w:rsidR="00C86477">
              <w:rPr>
                <w:noProof/>
                <w:webHidden/>
              </w:rPr>
              <w:fldChar w:fldCharType="separate"/>
            </w:r>
            <w:r w:rsidR="00195831">
              <w:rPr>
                <w:noProof/>
                <w:webHidden/>
              </w:rPr>
              <w:t>14</w:t>
            </w:r>
            <w:r w:rsidR="00C86477">
              <w:rPr>
                <w:noProof/>
                <w:webHidden/>
              </w:rPr>
              <w:fldChar w:fldCharType="end"/>
            </w:r>
          </w:hyperlink>
        </w:p>
        <w:p w14:paraId="6355721F" w14:textId="3BBD55DA" w:rsidR="00C86477" w:rsidRDefault="00A11101">
          <w:pPr>
            <w:pStyle w:val="Indholdsfortegnelse4"/>
            <w:rPr>
              <w:rFonts w:eastAsiaTheme="minorEastAsia" w:cstheme="minorBidi"/>
              <w:noProof/>
              <w:sz w:val="22"/>
              <w:szCs w:val="22"/>
            </w:rPr>
          </w:pPr>
          <w:hyperlink w:anchor="_Toc9239935" w:history="1">
            <w:r w:rsidR="00C86477" w:rsidRPr="0035619B">
              <w:rPr>
                <w:rStyle w:val="Hyperlink"/>
                <w:i/>
                <w:noProof/>
              </w:rPr>
              <w:t>34.</w:t>
            </w:r>
            <w:r w:rsidR="00C86477">
              <w:rPr>
                <w:rFonts w:eastAsiaTheme="minorEastAsia" w:cstheme="minorBidi"/>
                <w:noProof/>
                <w:sz w:val="22"/>
                <w:szCs w:val="22"/>
              </w:rPr>
              <w:tab/>
            </w:r>
            <w:r w:rsidR="00C86477" w:rsidRPr="0035619B">
              <w:rPr>
                <w:rStyle w:val="Hyperlink"/>
                <w:i/>
                <w:noProof/>
              </w:rPr>
              <w:t>Opløsning af foreningen eller en afdeling</w:t>
            </w:r>
            <w:r w:rsidR="00C86477">
              <w:rPr>
                <w:noProof/>
                <w:webHidden/>
              </w:rPr>
              <w:tab/>
            </w:r>
            <w:r w:rsidR="00C86477">
              <w:rPr>
                <w:noProof/>
                <w:webHidden/>
              </w:rPr>
              <w:fldChar w:fldCharType="begin"/>
            </w:r>
            <w:r w:rsidR="00C86477">
              <w:rPr>
                <w:noProof/>
                <w:webHidden/>
              </w:rPr>
              <w:instrText xml:space="preserve"> PAGEREF _Toc9239935 \h </w:instrText>
            </w:r>
            <w:r w:rsidR="00C86477">
              <w:rPr>
                <w:noProof/>
                <w:webHidden/>
              </w:rPr>
            </w:r>
            <w:r w:rsidR="00C86477">
              <w:rPr>
                <w:noProof/>
                <w:webHidden/>
              </w:rPr>
              <w:fldChar w:fldCharType="separate"/>
            </w:r>
            <w:r w:rsidR="00195831">
              <w:rPr>
                <w:noProof/>
                <w:webHidden/>
              </w:rPr>
              <w:t>15</w:t>
            </w:r>
            <w:r w:rsidR="00C86477">
              <w:rPr>
                <w:noProof/>
                <w:webHidden/>
              </w:rPr>
              <w:fldChar w:fldCharType="end"/>
            </w:r>
          </w:hyperlink>
        </w:p>
        <w:p w14:paraId="6007FDDB" w14:textId="55094C99" w:rsidR="00C86477" w:rsidRDefault="00A11101">
          <w:pPr>
            <w:pStyle w:val="Indholdsfortegnelse4"/>
            <w:rPr>
              <w:rFonts w:eastAsiaTheme="minorEastAsia" w:cstheme="minorBidi"/>
              <w:noProof/>
              <w:sz w:val="22"/>
              <w:szCs w:val="22"/>
            </w:rPr>
          </w:pPr>
          <w:hyperlink w:anchor="_Toc9239936" w:history="1">
            <w:r w:rsidR="00C86477" w:rsidRPr="0035619B">
              <w:rPr>
                <w:rStyle w:val="Hyperlink"/>
                <w:i/>
                <w:noProof/>
              </w:rPr>
              <w:t>35.</w:t>
            </w:r>
            <w:r w:rsidR="00C86477">
              <w:rPr>
                <w:rFonts w:eastAsiaTheme="minorEastAsia" w:cstheme="minorBidi"/>
                <w:noProof/>
                <w:sz w:val="22"/>
                <w:szCs w:val="22"/>
              </w:rPr>
              <w:tab/>
            </w:r>
            <w:r w:rsidR="00C86477" w:rsidRPr="0035619B">
              <w:rPr>
                <w:rStyle w:val="Hyperlink"/>
                <w:i/>
                <w:noProof/>
              </w:rPr>
              <w:t>Vedtægter, central investorinformation, årsrapport m.v.</w:t>
            </w:r>
            <w:r w:rsidR="00C86477">
              <w:rPr>
                <w:noProof/>
                <w:webHidden/>
              </w:rPr>
              <w:tab/>
            </w:r>
            <w:r w:rsidR="00C86477">
              <w:rPr>
                <w:noProof/>
                <w:webHidden/>
              </w:rPr>
              <w:fldChar w:fldCharType="begin"/>
            </w:r>
            <w:r w:rsidR="00C86477">
              <w:rPr>
                <w:noProof/>
                <w:webHidden/>
              </w:rPr>
              <w:instrText xml:space="preserve"> PAGEREF _Toc9239936 \h </w:instrText>
            </w:r>
            <w:r w:rsidR="00C86477">
              <w:rPr>
                <w:noProof/>
                <w:webHidden/>
              </w:rPr>
            </w:r>
            <w:r w:rsidR="00C86477">
              <w:rPr>
                <w:noProof/>
                <w:webHidden/>
              </w:rPr>
              <w:fldChar w:fldCharType="separate"/>
            </w:r>
            <w:r w:rsidR="00195831">
              <w:rPr>
                <w:noProof/>
                <w:webHidden/>
              </w:rPr>
              <w:t>15</w:t>
            </w:r>
            <w:r w:rsidR="00C86477">
              <w:rPr>
                <w:noProof/>
                <w:webHidden/>
              </w:rPr>
              <w:fldChar w:fldCharType="end"/>
            </w:r>
          </w:hyperlink>
        </w:p>
        <w:p w14:paraId="2DA2984C" w14:textId="1DE0A2F5" w:rsidR="00C86477" w:rsidRDefault="00A11101">
          <w:pPr>
            <w:pStyle w:val="Indholdsfortegnelse4"/>
            <w:rPr>
              <w:rFonts w:eastAsiaTheme="minorEastAsia" w:cstheme="minorBidi"/>
              <w:noProof/>
              <w:sz w:val="22"/>
              <w:szCs w:val="22"/>
            </w:rPr>
          </w:pPr>
          <w:hyperlink w:anchor="_Toc9239937" w:history="1">
            <w:r w:rsidR="00C86477" w:rsidRPr="0035619B">
              <w:rPr>
                <w:rStyle w:val="Hyperlink"/>
                <w:i/>
                <w:noProof/>
              </w:rPr>
              <w:t>36.</w:t>
            </w:r>
            <w:r w:rsidR="00C86477">
              <w:rPr>
                <w:rFonts w:eastAsiaTheme="minorEastAsia" w:cstheme="minorBidi"/>
                <w:noProof/>
                <w:sz w:val="22"/>
                <w:szCs w:val="22"/>
              </w:rPr>
              <w:tab/>
            </w:r>
            <w:r w:rsidR="00C86477" w:rsidRPr="0035619B">
              <w:rPr>
                <w:rStyle w:val="Hyperlink"/>
                <w:i/>
                <w:noProof/>
              </w:rPr>
              <w:t>Regnskabsaflæggelse</w:t>
            </w:r>
            <w:r w:rsidR="00C86477">
              <w:rPr>
                <w:noProof/>
                <w:webHidden/>
              </w:rPr>
              <w:tab/>
            </w:r>
            <w:r w:rsidR="00C86477">
              <w:rPr>
                <w:noProof/>
                <w:webHidden/>
              </w:rPr>
              <w:fldChar w:fldCharType="begin"/>
            </w:r>
            <w:r w:rsidR="00C86477">
              <w:rPr>
                <w:noProof/>
                <w:webHidden/>
              </w:rPr>
              <w:instrText xml:space="preserve"> PAGEREF _Toc9239937 \h </w:instrText>
            </w:r>
            <w:r w:rsidR="00C86477">
              <w:rPr>
                <w:noProof/>
                <w:webHidden/>
              </w:rPr>
            </w:r>
            <w:r w:rsidR="00C86477">
              <w:rPr>
                <w:noProof/>
                <w:webHidden/>
              </w:rPr>
              <w:fldChar w:fldCharType="separate"/>
            </w:r>
            <w:r w:rsidR="00195831">
              <w:rPr>
                <w:noProof/>
                <w:webHidden/>
              </w:rPr>
              <w:t>15</w:t>
            </w:r>
            <w:r w:rsidR="00C86477">
              <w:rPr>
                <w:noProof/>
                <w:webHidden/>
              </w:rPr>
              <w:fldChar w:fldCharType="end"/>
            </w:r>
          </w:hyperlink>
        </w:p>
        <w:p w14:paraId="51B95800" w14:textId="00264D90" w:rsidR="00C86477" w:rsidRDefault="00A11101">
          <w:pPr>
            <w:pStyle w:val="Indholdsfortegnelse2"/>
            <w:tabs>
              <w:tab w:val="right" w:leader="dot" w:pos="9345"/>
            </w:tabs>
            <w:rPr>
              <w:rFonts w:eastAsiaTheme="minorEastAsia" w:cstheme="minorBidi"/>
              <w:b w:val="0"/>
              <w:bCs w:val="0"/>
              <w:noProof/>
              <w:sz w:val="22"/>
              <w:szCs w:val="22"/>
            </w:rPr>
          </w:pPr>
          <w:hyperlink w:anchor="_Toc9239938" w:history="1">
            <w:r w:rsidR="00C86477" w:rsidRPr="0035619B">
              <w:rPr>
                <w:rStyle w:val="Hyperlink"/>
                <w:rFonts w:ascii="Times New Roman" w:hAnsi="Times New Roman"/>
                <w:noProof/>
              </w:rPr>
              <w:t>Bilag 1</w:t>
            </w:r>
            <w:r w:rsidR="00C86477">
              <w:rPr>
                <w:noProof/>
                <w:webHidden/>
              </w:rPr>
              <w:tab/>
            </w:r>
            <w:r w:rsidR="00C86477">
              <w:rPr>
                <w:noProof/>
                <w:webHidden/>
              </w:rPr>
              <w:fldChar w:fldCharType="begin"/>
            </w:r>
            <w:r w:rsidR="00C86477">
              <w:rPr>
                <w:noProof/>
                <w:webHidden/>
              </w:rPr>
              <w:instrText xml:space="preserve"> PAGEREF _Toc9239938 \h </w:instrText>
            </w:r>
            <w:r w:rsidR="00C86477">
              <w:rPr>
                <w:noProof/>
                <w:webHidden/>
              </w:rPr>
            </w:r>
            <w:r w:rsidR="00C86477">
              <w:rPr>
                <w:noProof/>
                <w:webHidden/>
              </w:rPr>
              <w:fldChar w:fldCharType="separate"/>
            </w:r>
            <w:r w:rsidR="00195831">
              <w:rPr>
                <w:noProof/>
                <w:webHidden/>
              </w:rPr>
              <w:t>16</w:t>
            </w:r>
            <w:r w:rsidR="00C86477">
              <w:rPr>
                <w:noProof/>
                <w:webHidden/>
              </w:rPr>
              <w:fldChar w:fldCharType="end"/>
            </w:r>
          </w:hyperlink>
        </w:p>
        <w:p w14:paraId="4E71E146" w14:textId="63B5A6D5" w:rsidR="00C86477" w:rsidRDefault="00A11101">
          <w:pPr>
            <w:pStyle w:val="Indholdsfortegnelse2"/>
            <w:tabs>
              <w:tab w:val="right" w:leader="dot" w:pos="9345"/>
            </w:tabs>
            <w:rPr>
              <w:rFonts w:eastAsiaTheme="minorEastAsia" w:cstheme="minorBidi"/>
              <w:b w:val="0"/>
              <w:bCs w:val="0"/>
              <w:noProof/>
              <w:sz w:val="22"/>
              <w:szCs w:val="22"/>
            </w:rPr>
          </w:pPr>
          <w:hyperlink w:anchor="_Toc9239939" w:history="1">
            <w:r w:rsidR="00C86477" w:rsidRPr="0035619B">
              <w:rPr>
                <w:rStyle w:val="Hyperlink"/>
                <w:rFonts w:ascii="Times New Roman" w:hAnsi="Times New Roman"/>
                <w:noProof/>
              </w:rPr>
              <w:t>Bilag 2</w:t>
            </w:r>
            <w:r w:rsidR="00C86477">
              <w:rPr>
                <w:noProof/>
                <w:webHidden/>
              </w:rPr>
              <w:tab/>
            </w:r>
            <w:r w:rsidR="00C86477">
              <w:rPr>
                <w:noProof/>
                <w:webHidden/>
              </w:rPr>
              <w:fldChar w:fldCharType="begin"/>
            </w:r>
            <w:r w:rsidR="00C86477">
              <w:rPr>
                <w:noProof/>
                <w:webHidden/>
              </w:rPr>
              <w:instrText xml:space="preserve"> PAGEREF _Toc9239939 \h </w:instrText>
            </w:r>
            <w:r w:rsidR="00C86477">
              <w:rPr>
                <w:noProof/>
                <w:webHidden/>
              </w:rPr>
            </w:r>
            <w:r w:rsidR="00C86477">
              <w:rPr>
                <w:noProof/>
                <w:webHidden/>
              </w:rPr>
              <w:fldChar w:fldCharType="separate"/>
            </w:r>
            <w:r w:rsidR="00195831">
              <w:rPr>
                <w:noProof/>
                <w:webHidden/>
              </w:rPr>
              <w:t>17</w:t>
            </w:r>
            <w:r w:rsidR="00C86477">
              <w:rPr>
                <w:noProof/>
                <w:webHidden/>
              </w:rPr>
              <w:fldChar w:fldCharType="end"/>
            </w:r>
          </w:hyperlink>
        </w:p>
        <w:p w14:paraId="01DC1C24" w14:textId="6175FDFA" w:rsidR="00C86477" w:rsidRDefault="00A11101">
          <w:pPr>
            <w:pStyle w:val="Indholdsfortegnelse2"/>
            <w:tabs>
              <w:tab w:val="right" w:leader="dot" w:pos="9345"/>
            </w:tabs>
            <w:rPr>
              <w:rFonts w:eastAsiaTheme="minorEastAsia" w:cstheme="minorBidi"/>
              <w:b w:val="0"/>
              <w:bCs w:val="0"/>
              <w:noProof/>
              <w:sz w:val="22"/>
              <w:szCs w:val="22"/>
            </w:rPr>
          </w:pPr>
          <w:hyperlink w:anchor="_Toc9239940" w:history="1">
            <w:r w:rsidR="00C86477" w:rsidRPr="0035619B">
              <w:rPr>
                <w:rStyle w:val="Hyperlink"/>
                <w:rFonts w:ascii="Times New Roman" w:hAnsi="Times New Roman"/>
                <w:noProof/>
              </w:rPr>
              <w:t>Bilag 3</w:t>
            </w:r>
            <w:r w:rsidR="00C86477">
              <w:rPr>
                <w:noProof/>
                <w:webHidden/>
              </w:rPr>
              <w:tab/>
            </w:r>
            <w:r w:rsidR="00C86477">
              <w:rPr>
                <w:noProof/>
                <w:webHidden/>
              </w:rPr>
              <w:fldChar w:fldCharType="begin"/>
            </w:r>
            <w:r w:rsidR="00C86477">
              <w:rPr>
                <w:noProof/>
                <w:webHidden/>
              </w:rPr>
              <w:instrText xml:space="preserve"> PAGEREF _Toc9239940 \h </w:instrText>
            </w:r>
            <w:r w:rsidR="00C86477">
              <w:rPr>
                <w:noProof/>
                <w:webHidden/>
              </w:rPr>
            </w:r>
            <w:r w:rsidR="00C86477">
              <w:rPr>
                <w:noProof/>
                <w:webHidden/>
              </w:rPr>
              <w:fldChar w:fldCharType="separate"/>
            </w:r>
            <w:r w:rsidR="00195831">
              <w:rPr>
                <w:noProof/>
                <w:webHidden/>
              </w:rPr>
              <w:t>18</w:t>
            </w:r>
            <w:r w:rsidR="00C86477">
              <w:rPr>
                <w:noProof/>
                <w:webHidden/>
              </w:rPr>
              <w:fldChar w:fldCharType="end"/>
            </w:r>
          </w:hyperlink>
        </w:p>
        <w:p w14:paraId="0CA2E2EB" w14:textId="198CF0EE" w:rsidR="000C325C" w:rsidRPr="008E13E6" w:rsidRDefault="0080322B" w:rsidP="000C325C">
          <w:pPr>
            <w:rPr>
              <w:b/>
              <w:bCs/>
              <w:noProof/>
              <w:sz w:val="20"/>
              <w:szCs w:val="22"/>
            </w:rPr>
          </w:pPr>
          <w:r w:rsidRPr="008E13E6">
            <w:rPr>
              <w:b/>
              <w:bCs/>
              <w:sz w:val="20"/>
              <w:szCs w:val="22"/>
            </w:rPr>
            <w:fldChar w:fldCharType="end"/>
          </w:r>
        </w:p>
      </w:sdtContent>
    </w:sdt>
    <w:p w14:paraId="5FE80A77" w14:textId="77777777" w:rsidR="00CA78EB" w:rsidRPr="008E13E6" w:rsidRDefault="00CA78EB" w:rsidP="00D63BD8">
      <w:pPr>
        <w:pStyle w:val="Indholdsfortegnelse2"/>
        <w:tabs>
          <w:tab w:val="right" w:leader="dot" w:pos="9345"/>
        </w:tabs>
        <w:rPr>
          <w:rFonts w:ascii="Times New Roman" w:hAnsi="Times New Roman"/>
          <w:sz w:val="18"/>
          <w:szCs w:val="29"/>
        </w:rPr>
      </w:pPr>
      <w:r w:rsidRPr="008E13E6">
        <w:rPr>
          <w:rFonts w:ascii="Times New Roman" w:hAnsi="Times New Roman"/>
          <w:sz w:val="18"/>
          <w:szCs w:val="29"/>
        </w:rPr>
        <w:t xml:space="preserve"> </w:t>
      </w:r>
    </w:p>
    <w:p w14:paraId="63E660CD" w14:textId="77777777" w:rsidR="008E13E6" w:rsidRPr="008E13E6" w:rsidRDefault="008E13E6">
      <w:pPr>
        <w:rPr>
          <w:b/>
          <w:sz w:val="24"/>
          <w:szCs w:val="28"/>
        </w:rPr>
      </w:pPr>
      <w:bookmarkStart w:id="5" w:name="_Toc413407242"/>
      <w:bookmarkStart w:id="6" w:name="_Toc443370860"/>
      <w:bookmarkStart w:id="7" w:name="_Hlk521487089"/>
      <w:r w:rsidRPr="008E13E6">
        <w:rPr>
          <w:i/>
          <w:sz w:val="24"/>
          <w:szCs w:val="28"/>
        </w:rPr>
        <w:br w:type="page"/>
      </w:r>
    </w:p>
    <w:p w14:paraId="181C960E" w14:textId="77777777" w:rsidR="00CA78EB" w:rsidRPr="008E13E6" w:rsidRDefault="00CA78EB" w:rsidP="002032CF">
      <w:pPr>
        <w:pStyle w:val="Overskrift2"/>
        <w:numPr>
          <w:ilvl w:val="0"/>
          <w:numId w:val="0"/>
        </w:numPr>
        <w:spacing w:before="120" w:after="120"/>
        <w:ind w:left="576" w:hanging="576"/>
        <w:jc w:val="center"/>
        <w:rPr>
          <w:rFonts w:ascii="Times New Roman" w:hAnsi="Times New Roman"/>
          <w:i w:val="0"/>
          <w:sz w:val="24"/>
          <w:szCs w:val="28"/>
        </w:rPr>
      </w:pPr>
      <w:bookmarkStart w:id="8" w:name="_Toc9239893"/>
      <w:r w:rsidRPr="008E13E6">
        <w:rPr>
          <w:rFonts w:ascii="Times New Roman" w:hAnsi="Times New Roman"/>
          <w:i w:val="0"/>
          <w:sz w:val="24"/>
          <w:szCs w:val="28"/>
        </w:rPr>
        <w:lastRenderedPageBreak/>
        <w:t>Ansvar for prospekt</w:t>
      </w:r>
      <w:bookmarkEnd w:id="2"/>
      <w:r w:rsidRPr="008E13E6">
        <w:rPr>
          <w:rFonts w:ascii="Times New Roman" w:hAnsi="Times New Roman"/>
          <w:i w:val="0"/>
          <w:sz w:val="24"/>
          <w:szCs w:val="28"/>
        </w:rPr>
        <w:t>et</w:t>
      </w:r>
      <w:bookmarkEnd w:id="3"/>
      <w:bookmarkEnd w:id="4"/>
      <w:bookmarkEnd w:id="5"/>
      <w:bookmarkEnd w:id="6"/>
      <w:r w:rsidR="00E13A49" w:rsidRPr="008E13E6">
        <w:rPr>
          <w:rFonts w:ascii="Times New Roman" w:hAnsi="Times New Roman"/>
          <w:i w:val="0"/>
          <w:sz w:val="24"/>
          <w:szCs w:val="28"/>
        </w:rPr>
        <w:t xml:space="preserve"> for</w:t>
      </w:r>
      <w:bookmarkEnd w:id="8"/>
      <w:r w:rsidR="00E13A49" w:rsidRPr="008E13E6">
        <w:rPr>
          <w:rFonts w:ascii="Times New Roman" w:hAnsi="Times New Roman"/>
          <w:i w:val="0"/>
          <w:sz w:val="24"/>
          <w:szCs w:val="28"/>
        </w:rPr>
        <w:t xml:space="preserve"> </w:t>
      </w:r>
    </w:p>
    <w:p w14:paraId="1BB55B0C" w14:textId="77777777" w:rsidR="00F93EFD" w:rsidRPr="008E13E6" w:rsidRDefault="00F93EFD" w:rsidP="002032CF">
      <w:pPr>
        <w:spacing w:before="120"/>
        <w:jc w:val="center"/>
        <w:rPr>
          <w:b/>
          <w:sz w:val="24"/>
          <w:szCs w:val="28"/>
        </w:rPr>
      </w:pPr>
      <w:bookmarkStart w:id="9" w:name="_Hlk521486982"/>
      <w:r w:rsidRPr="008E13E6">
        <w:rPr>
          <w:b/>
          <w:sz w:val="24"/>
          <w:szCs w:val="28"/>
        </w:rPr>
        <w:t xml:space="preserve">PP Capital – </w:t>
      </w:r>
      <w:r w:rsidR="009C3621" w:rsidRPr="008E13E6">
        <w:rPr>
          <w:b/>
          <w:sz w:val="24"/>
          <w:szCs w:val="28"/>
        </w:rPr>
        <w:t>BASIS, kl n</w:t>
      </w:r>
      <w:r w:rsidR="003D49F1" w:rsidRPr="008E13E6">
        <w:rPr>
          <w:b/>
          <w:sz w:val="24"/>
          <w:szCs w:val="28"/>
        </w:rPr>
        <w:t xml:space="preserve"> EUR</w:t>
      </w:r>
    </w:p>
    <w:p w14:paraId="1772AB89" w14:textId="77777777" w:rsidR="002032CF" w:rsidRPr="008E13E6" w:rsidRDefault="002032CF" w:rsidP="002032CF">
      <w:pPr>
        <w:spacing w:before="120"/>
        <w:jc w:val="center"/>
        <w:rPr>
          <w:b/>
          <w:sz w:val="24"/>
          <w:szCs w:val="28"/>
        </w:rPr>
      </w:pPr>
      <w:r w:rsidRPr="008E13E6">
        <w:rPr>
          <w:b/>
          <w:sz w:val="24"/>
          <w:szCs w:val="28"/>
        </w:rPr>
        <w:t xml:space="preserve"> under</w:t>
      </w:r>
    </w:p>
    <w:p w14:paraId="252B67E2" w14:textId="77777777" w:rsidR="00CA78EB" w:rsidRPr="008E13E6" w:rsidRDefault="00757287" w:rsidP="002032CF">
      <w:pPr>
        <w:spacing w:before="120" w:after="120"/>
        <w:jc w:val="center"/>
        <w:rPr>
          <w:b/>
          <w:sz w:val="28"/>
          <w:szCs w:val="29"/>
        </w:rPr>
      </w:pPr>
      <w:r w:rsidRPr="008E13E6">
        <w:rPr>
          <w:b/>
          <w:sz w:val="24"/>
          <w:szCs w:val="28"/>
        </w:rPr>
        <w:t xml:space="preserve">Investeringsforeningen </w:t>
      </w:r>
      <w:proofErr w:type="spellStart"/>
      <w:r w:rsidRPr="008E13E6">
        <w:rPr>
          <w:b/>
          <w:sz w:val="24"/>
          <w:szCs w:val="28"/>
        </w:rPr>
        <w:t>PortfolioManager</w:t>
      </w:r>
      <w:proofErr w:type="spellEnd"/>
      <w:r w:rsidR="003C663A" w:rsidRPr="008E13E6">
        <w:rPr>
          <w:b/>
          <w:sz w:val="28"/>
          <w:szCs w:val="29"/>
        </w:rPr>
        <w:t xml:space="preserve"> </w:t>
      </w:r>
      <w:bookmarkEnd w:id="7"/>
      <w:bookmarkEnd w:id="9"/>
    </w:p>
    <w:p w14:paraId="0D3D1D06" w14:textId="77777777" w:rsidR="007F6B2B" w:rsidRPr="008E13E6" w:rsidRDefault="007F6B2B" w:rsidP="007F6B2B">
      <w:pPr>
        <w:rPr>
          <w:sz w:val="20"/>
          <w:szCs w:val="22"/>
        </w:rPr>
      </w:pPr>
    </w:p>
    <w:p w14:paraId="7C8F3370" w14:textId="77777777" w:rsidR="009450C8" w:rsidRPr="008E13E6" w:rsidRDefault="009450C8" w:rsidP="00F97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rPr>
          <w:spacing w:val="-3"/>
          <w:sz w:val="20"/>
          <w:szCs w:val="22"/>
        </w:rPr>
      </w:pPr>
      <w:r w:rsidRPr="008E13E6">
        <w:rPr>
          <w:spacing w:val="-3"/>
          <w:sz w:val="20"/>
          <w:szCs w:val="22"/>
        </w:rPr>
        <w:t xml:space="preserve">Vi erklærer herved, at oplysningerne i prospektet os bekendt er rigtige, og at prospektet os bekendt ikke er behæftet med udeladelser, der vil kunne forvanske det billede, som prospektet skal give, </w:t>
      </w:r>
      <w:r w:rsidR="009643B8" w:rsidRPr="008E13E6">
        <w:rPr>
          <w:spacing w:val="-3"/>
          <w:sz w:val="20"/>
          <w:szCs w:val="22"/>
        </w:rPr>
        <w:t>samt at prospektet os bekendt indeholder</w:t>
      </w:r>
      <w:r w:rsidRPr="008E13E6">
        <w:rPr>
          <w:spacing w:val="-3"/>
          <w:sz w:val="20"/>
          <w:szCs w:val="22"/>
        </w:rPr>
        <w:t xml:space="preserve"> enhver væsentlig oplysning, som kan have betydning for afdelingens </w:t>
      </w:r>
      <w:r w:rsidR="009C3621" w:rsidRPr="008E13E6">
        <w:rPr>
          <w:spacing w:val="-3"/>
          <w:sz w:val="20"/>
          <w:szCs w:val="22"/>
        </w:rPr>
        <w:t xml:space="preserve">og andelsklassens </w:t>
      </w:r>
      <w:r w:rsidRPr="008E13E6">
        <w:rPr>
          <w:spacing w:val="-3"/>
          <w:sz w:val="20"/>
          <w:szCs w:val="22"/>
        </w:rPr>
        <w:t xml:space="preserve">potentielle </w:t>
      </w:r>
      <w:r w:rsidR="000301A0" w:rsidRPr="008E13E6">
        <w:rPr>
          <w:spacing w:val="-3"/>
          <w:sz w:val="20"/>
          <w:szCs w:val="22"/>
        </w:rPr>
        <w:t>investor</w:t>
      </w:r>
      <w:r w:rsidRPr="008E13E6">
        <w:rPr>
          <w:spacing w:val="-3"/>
          <w:sz w:val="20"/>
          <w:szCs w:val="22"/>
        </w:rPr>
        <w:t>er.</w:t>
      </w:r>
    </w:p>
    <w:p w14:paraId="1CB53BBD" w14:textId="77777777" w:rsidR="009450C8" w:rsidRPr="008E13E6" w:rsidRDefault="009450C8" w:rsidP="00F97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rPr>
          <w:spacing w:val="-3"/>
          <w:sz w:val="20"/>
          <w:szCs w:val="22"/>
        </w:rPr>
      </w:pPr>
    </w:p>
    <w:p w14:paraId="6FC17270" w14:textId="77777777" w:rsidR="009450C8" w:rsidRPr="008E13E6" w:rsidRDefault="009450C8" w:rsidP="00F97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rPr>
          <w:spacing w:val="-3"/>
          <w:sz w:val="20"/>
          <w:szCs w:val="22"/>
        </w:rPr>
      </w:pPr>
    </w:p>
    <w:p w14:paraId="6B50160A" w14:textId="77777777" w:rsidR="009450C8" w:rsidRPr="008E13E6" w:rsidRDefault="009450C8"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7A6A7870" w14:textId="1AEF5134" w:rsidR="009450C8" w:rsidRPr="008E13E6" w:rsidRDefault="009450C8"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r w:rsidRPr="008E13E6">
        <w:rPr>
          <w:spacing w:val="-3"/>
          <w:sz w:val="20"/>
          <w:szCs w:val="22"/>
        </w:rPr>
        <w:t xml:space="preserve">Kgs. Lyngby, den </w:t>
      </w:r>
      <w:r w:rsidR="0039546E">
        <w:rPr>
          <w:spacing w:val="-3"/>
          <w:sz w:val="20"/>
          <w:szCs w:val="22"/>
        </w:rPr>
        <w:t>20. maj</w:t>
      </w:r>
      <w:r w:rsidR="006C3BD8" w:rsidRPr="008E13E6">
        <w:rPr>
          <w:spacing w:val="-3"/>
          <w:sz w:val="20"/>
          <w:szCs w:val="22"/>
        </w:rPr>
        <w:t xml:space="preserve"> </w:t>
      </w:r>
      <w:r w:rsidRPr="008E13E6">
        <w:rPr>
          <w:spacing w:val="-3"/>
          <w:sz w:val="20"/>
          <w:szCs w:val="22"/>
        </w:rPr>
        <w:t>201</w:t>
      </w:r>
      <w:r w:rsidR="009C3621" w:rsidRPr="008E13E6">
        <w:rPr>
          <w:spacing w:val="-3"/>
          <w:sz w:val="20"/>
          <w:szCs w:val="22"/>
        </w:rPr>
        <w:t>9</w:t>
      </w:r>
    </w:p>
    <w:p w14:paraId="619B55CC" w14:textId="77777777" w:rsidR="009450C8" w:rsidRPr="008E13E6" w:rsidRDefault="009450C8"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1F376FB8" w14:textId="77777777" w:rsidR="00C67DD8" w:rsidRPr="008E13E6" w:rsidRDefault="00C67DD8"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2CC59BF2" w14:textId="77777777" w:rsidR="009450C8" w:rsidRPr="008E13E6" w:rsidRDefault="009450C8"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tbl>
      <w:tblPr>
        <w:tblW w:w="0" w:type="auto"/>
        <w:tblLook w:val="01E0" w:firstRow="1" w:lastRow="1" w:firstColumn="1" w:lastColumn="1" w:noHBand="0" w:noVBand="0"/>
      </w:tblPr>
      <w:tblGrid>
        <w:gridCol w:w="3075"/>
        <w:gridCol w:w="3196"/>
        <w:gridCol w:w="3084"/>
      </w:tblGrid>
      <w:tr w:rsidR="007D3F03" w:rsidRPr="0004787A" w14:paraId="472B38B7" w14:textId="77777777" w:rsidTr="00A91D4B">
        <w:tc>
          <w:tcPr>
            <w:tcW w:w="9355" w:type="dxa"/>
            <w:gridSpan w:val="3"/>
          </w:tcPr>
          <w:p w14:paraId="33FC4BF0" w14:textId="77777777" w:rsidR="007D3F03" w:rsidRPr="008E13E6" w:rsidRDefault="007D3F03"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70F9F26D" w14:textId="77777777" w:rsidR="009643B8" w:rsidRPr="008E13E6" w:rsidRDefault="007D3F03"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r w:rsidRPr="008E13E6">
              <w:rPr>
                <w:spacing w:val="-3"/>
                <w:sz w:val="20"/>
                <w:szCs w:val="22"/>
              </w:rPr>
              <w:t>Bestyrelse</w:t>
            </w:r>
            <w:r w:rsidR="009643B8" w:rsidRPr="008E13E6">
              <w:rPr>
                <w:spacing w:val="-3"/>
                <w:sz w:val="20"/>
                <w:szCs w:val="22"/>
              </w:rPr>
              <w:t>n for</w:t>
            </w:r>
          </w:p>
          <w:p w14:paraId="3FD6414D" w14:textId="77777777" w:rsidR="007D3F03" w:rsidRPr="008E13E6" w:rsidRDefault="009643B8"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r w:rsidRPr="008E13E6">
              <w:rPr>
                <w:spacing w:val="-3"/>
                <w:sz w:val="20"/>
                <w:szCs w:val="22"/>
              </w:rPr>
              <w:t xml:space="preserve">Investeringsforeningen </w:t>
            </w:r>
            <w:proofErr w:type="spellStart"/>
            <w:r w:rsidR="00834F27" w:rsidRPr="008E13E6">
              <w:rPr>
                <w:spacing w:val="-3"/>
                <w:sz w:val="20"/>
                <w:szCs w:val="22"/>
              </w:rPr>
              <w:t>PortfolioManager</w:t>
            </w:r>
            <w:proofErr w:type="spellEnd"/>
            <w:r w:rsidR="00834F27" w:rsidRPr="008E13E6">
              <w:rPr>
                <w:spacing w:val="-3"/>
                <w:sz w:val="20"/>
                <w:szCs w:val="22"/>
              </w:rPr>
              <w:t>:</w:t>
            </w:r>
          </w:p>
          <w:p w14:paraId="1993EAA3" w14:textId="77777777" w:rsidR="007D3F03" w:rsidRPr="008E13E6" w:rsidRDefault="007D3F03"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5A9D2383" w14:textId="77777777" w:rsidR="00F93EFD" w:rsidRPr="008E13E6" w:rsidRDefault="00F93EFD"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5968508C" w14:textId="77777777" w:rsidR="00F93EFD" w:rsidRPr="008E13E6" w:rsidRDefault="00F93EFD"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11E703A6" w14:textId="77777777" w:rsidR="00F93EFD" w:rsidRPr="008E13E6" w:rsidRDefault="00F93EFD"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bookmarkStart w:id="10" w:name="_Toc523475993"/>
            <w:bookmarkStart w:id="11" w:name="_Toc523826440"/>
            <w:r w:rsidRPr="008E13E6">
              <w:rPr>
                <w:spacing w:val="-3"/>
                <w:sz w:val="20"/>
                <w:szCs w:val="22"/>
              </w:rPr>
              <w:t>________________________________</w:t>
            </w:r>
            <w:r w:rsidRPr="008E13E6">
              <w:rPr>
                <w:spacing w:val="-3"/>
                <w:sz w:val="20"/>
                <w:szCs w:val="22"/>
              </w:rPr>
              <w:tab/>
              <w:t>__________________________________</w:t>
            </w:r>
            <w:bookmarkEnd w:id="10"/>
            <w:bookmarkEnd w:id="11"/>
          </w:p>
          <w:p w14:paraId="6683A349" w14:textId="7728F09B" w:rsidR="00F93EFD" w:rsidRPr="008E13E6" w:rsidRDefault="00F93EFD"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bookmarkStart w:id="12" w:name="_Toc523475994"/>
            <w:bookmarkStart w:id="13" w:name="_Toc523826441"/>
            <w:r w:rsidRPr="008E13E6">
              <w:rPr>
                <w:spacing w:val="-3"/>
                <w:sz w:val="20"/>
                <w:szCs w:val="22"/>
              </w:rPr>
              <w:t>Torben Knappe (formand)</w:t>
            </w:r>
            <w:r w:rsidRPr="008E13E6">
              <w:rPr>
                <w:spacing w:val="-3"/>
                <w:sz w:val="20"/>
                <w:szCs w:val="22"/>
              </w:rPr>
              <w:tab/>
            </w:r>
            <w:r w:rsidRPr="008E13E6">
              <w:rPr>
                <w:spacing w:val="-3"/>
                <w:sz w:val="20"/>
                <w:szCs w:val="22"/>
              </w:rPr>
              <w:tab/>
              <w:t xml:space="preserve">               </w:t>
            </w:r>
            <w:r w:rsidR="00AF6B85">
              <w:rPr>
                <w:spacing w:val="-3"/>
                <w:sz w:val="20"/>
                <w:szCs w:val="22"/>
              </w:rPr>
              <w:t>Thomas Einfeldt</w:t>
            </w:r>
            <w:r w:rsidRPr="008E13E6">
              <w:rPr>
                <w:spacing w:val="-3"/>
                <w:sz w:val="20"/>
                <w:szCs w:val="22"/>
              </w:rPr>
              <w:t xml:space="preserve"> (næstformand)</w:t>
            </w:r>
            <w:bookmarkEnd w:id="12"/>
            <w:bookmarkEnd w:id="13"/>
          </w:p>
          <w:p w14:paraId="631C1942" w14:textId="77777777" w:rsidR="00F93EFD" w:rsidRPr="008E13E6" w:rsidRDefault="00F93EFD"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4801EED7" w14:textId="77777777" w:rsidR="00F93EFD" w:rsidRPr="008E13E6" w:rsidRDefault="00F93EFD"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0D347D3C" w14:textId="77777777" w:rsidR="009643B8" w:rsidRPr="008E13E6" w:rsidRDefault="009643B8"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31B51315" w14:textId="77777777" w:rsidR="00F93EFD" w:rsidRPr="008E13E6" w:rsidRDefault="00F93EFD"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bookmarkStart w:id="14" w:name="_Toc523475995"/>
            <w:bookmarkStart w:id="15" w:name="_Toc523826442"/>
            <w:r w:rsidRPr="008E13E6">
              <w:rPr>
                <w:spacing w:val="-3"/>
                <w:sz w:val="20"/>
                <w:szCs w:val="22"/>
              </w:rPr>
              <w:t>________________________________</w:t>
            </w:r>
            <w:bookmarkEnd w:id="14"/>
            <w:bookmarkEnd w:id="15"/>
          </w:p>
          <w:p w14:paraId="0AA9CD85" w14:textId="77777777" w:rsidR="00F93EFD" w:rsidRPr="008E13E6" w:rsidRDefault="00F93EFD"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bookmarkStart w:id="16" w:name="_Toc523475996"/>
            <w:bookmarkStart w:id="17" w:name="_Toc523826443"/>
            <w:r w:rsidRPr="008E13E6">
              <w:rPr>
                <w:spacing w:val="-3"/>
                <w:sz w:val="20"/>
                <w:szCs w:val="22"/>
              </w:rPr>
              <w:t>Jacob Buss</w:t>
            </w:r>
            <w:bookmarkEnd w:id="16"/>
            <w:bookmarkEnd w:id="17"/>
          </w:p>
          <w:p w14:paraId="2F3E2655" w14:textId="77777777" w:rsidR="007D3F03" w:rsidRPr="008E13E6" w:rsidRDefault="007D3F03"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7E515B80" w14:textId="77777777" w:rsidR="005011BE" w:rsidRPr="008E13E6" w:rsidRDefault="005011BE"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4ED9AFB3" w14:textId="77777777" w:rsidR="005011BE" w:rsidRPr="008E13E6" w:rsidRDefault="005011BE"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p w14:paraId="10364D35" w14:textId="77777777" w:rsidR="00033B55" w:rsidRPr="00157618" w:rsidRDefault="00033B55"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i/>
                <w:spacing w:val="-3"/>
                <w:sz w:val="20"/>
                <w:szCs w:val="22"/>
              </w:rPr>
            </w:pPr>
            <w:r w:rsidRPr="00157618">
              <w:rPr>
                <w:i/>
                <w:spacing w:val="-3"/>
                <w:sz w:val="20"/>
                <w:szCs w:val="22"/>
              </w:rPr>
              <w:t>[dette dokument er tiltrådt med digitale signaturer, som fremgår af sidste side]</w:t>
            </w:r>
          </w:p>
          <w:p w14:paraId="0E3CA24E" w14:textId="77777777" w:rsidR="009643B8" w:rsidRPr="008E13E6" w:rsidRDefault="009643B8" w:rsidP="0004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rPr>
                <w:spacing w:val="-3"/>
                <w:sz w:val="20"/>
                <w:szCs w:val="22"/>
              </w:rPr>
            </w:pPr>
          </w:p>
        </w:tc>
      </w:tr>
      <w:tr w:rsidR="007D3F03" w:rsidRPr="008E13E6" w14:paraId="7FC7406A" w14:textId="77777777" w:rsidTr="00A91D4B">
        <w:tc>
          <w:tcPr>
            <w:tcW w:w="3075" w:type="dxa"/>
          </w:tcPr>
          <w:p w14:paraId="602BAF07" w14:textId="77777777" w:rsidR="007D3F03" w:rsidRPr="008E13E6" w:rsidRDefault="007D3F03" w:rsidP="007D3F03">
            <w:pPr>
              <w:spacing w:after="120"/>
              <w:rPr>
                <w:sz w:val="20"/>
                <w:szCs w:val="22"/>
              </w:rPr>
            </w:pPr>
          </w:p>
        </w:tc>
        <w:tc>
          <w:tcPr>
            <w:tcW w:w="3196" w:type="dxa"/>
          </w:tcPr>
          <w:p w14:paraId="06E684A0" w14:textId="77777777" w:rsidR="00C67DD8" w:rsidRPr="008E13E6" w:rsidRDefault="00C67DD8" w:rsidP="00C67DD8">
            <w:pPr>
              <w:spacing w:after="120"/>
              <w:rPr>
                <w:sz w:val="20"/>
                <w:szCs w:val="22"/>
              </w:rPr>
            </w:pPr>
          </w:p>
        </w:tc>
        <w:tc>
          <w:tcPr>
            <w:tcW w:w="3084" w:type="dxa"/>
          </w:tcPr>
          <w:p w14:paraId="547AA2E0" w14:textId="77777777" w:rsidR="007D3F03" w:rsidRPr="008E13E6" w:rsidRDefault="007D3F03" w:rsidP="007D3F03">
            <w:pPr>
              <w:spacing w:after="120"/>
              <w:jc w:val="center"/>
              <w:rPr>
                <w:sz w:val="20"/>
                <w:szCs w:val="22"/>
              </w:rPr>
            </w:pPr>
          </w:p>
        </w:tc>
      </w:tr>
      <w:tr w:rsidR="007D3F03" w:rsidRPr="008E13E6" w14:paraId="3D93EDEB" w14:textId="77777777" w:rsidTr="00A91D4B">
        <w:tc>
          <w:tcPr>
            <w:tcW w:w="3075" w:type="dxa"/>
          </w:tcPr>
          <w:p w14:paraId="19FF28EF" w14:textId="77777777" w:rsidR="007D3F03" w:rsidRPr="008E13E6" w:rsidRDefault="007D3F03" w:rsidP="007D3F03">
            <w:pPr>
              <w:spacing w:after="120"/>
              <w:jc w:val="center"/>
              <w:rPr>
                <w:sz w:val="20"/>
                <w:szCs w:val="22"/>
              </w:rPr>
            </w:pPr>
          </w:p>
        </w:tc>
        <w:tc>
          <w:tcPr>
            <w:tcW w:w="3196" w:type="dxa"/>
          </w:tcPr>
          <w:p w14:paraId="6CD20734" w14:textId="77777777" w:rsidR="007D3F03" w:rsidRPr="008E13E6" w:rsidRDefault="007D3F03" w:rsidP="009643B8">
            <w:pPr>
              <w:spacing w:after="120"/>
              <w:jc w:val="center"/>
              <w:rPr>
                <w:sz w:val="20"/>
                <w:szCs w:val="22"/>
              </w:rPr>
            </w:pPr>
          </w:p>
        </w:tc>
        <w:tc>
          <w:tcPr>
            <w:tcW w:w="3084" w:type="dxa"/>
          </w:tcPr>
          <w:p w14:paraId="506B4070" w14:textId="77777777" w:rsidR="007D3F03" w:rsidRPr="008E13E6" w:rsidRDefault="007D3F03" w:rsidP="007D3F03">
            <w:pPr>
              <w:spacing w:after="120"/>
              <w:jc w:val="center"/>
              <w:rPr>
                <w:sz w:val="20"/>
                <w:szCs w:val="22"/>
              </w:rPr>
            </w:pPr>
          </w:p>
        </w:tc>
      </w:tr>
      <w:tr w:rsidR="007D3F03" w:rsidRPr="008E13E6" w14:paraId="12174FF3" w14:textId="77777777" w:rsidTr="00A91D4B">
        <w:tc>
          <w:tcPr>
            <w:tcW w:w="3075" w:type="dxa"/>
          </w:tcPr>
          <w:p w14:paraId="6F1B130E" w14:textId="77777777" w:rsidR="007D3F03" w:rsidRPr="008E13E6" w:rsidRDefault="007D3F03" w:rsidP="007D3F03">
            <w:pPr>
              <w:spacing w:after="120"/>
              <w:jc w:val="center"/>
              <w:rPr>
                <w:sz w:val="20"/>
                <w:szCs w:val="22"/>
                <w:lang w:val="nb-NO"/>
              </w:rPr>
            </w:pPr>
          </w:p>
        </w:tc>
        <w:tc>
          <w:tcPr>
            <w:tcW w:w="3196" w:type="dxa"/>
          </w:tcPr>
          <w:p w14:paraId="7CB6F33F" w14:textId="77777777" w:rsidR="007D3F03" w:rsidRPr="008E13E6" w:rsidRDefault="007D3F03" w:rsidP="007D3F03">
            <w:pPr>
              <w:spacing w:after="120"/>
              <w:jc w:val="center"/>
              <w:rPr>
                <w:sz w:val="20"/>
                <w:szCs w:val="22"/>
                <w:lang w:val="nb-NO"/>
              </w:rPr>
            </w:pPr>
          </w:p>
        </w:tc>
        <w:tc>
          <w:tcPr>
            <w:tcW w:w="3084" w:type="dxa"/>
          </w:tcPr>
          <w:p w14:paraId="119EBF23" w14:textId="77777777" w:rsidR="007D3F03" w:rsidRPr="008E13E6" w:rsidRDefault="007D3F03" w:rsidP="0079502A">
            <w:pPr>
              <w:spacing w:after="120"/>
              <w:jc w:val="center"/>
              <w:rPr>
                <w:sz w:val="20"/>
                <w:szCs w:val="22"/>
              </w:rPr>
            </w:pPr>
          </w:p>
        </w:tc>
      </w:tr>
    </w:tbl>
    <w:p w14:paraId="2362D387" w14:textId="77777777" w:rsidR="007D3F03" w:rsidRPr="008E13E6" w:rsidRDefault="007D3F03" w:rsidP="007D3F03">
      <w:pPr>
        <w:tabs>
          <w:tab w:val="center" w:pos="1134"/>
          <w:tab w:val="center" w:pos="2835"/>
          <w:tab w:val="center" w:pos="4536"/>
          <w:tab w:val="center" w:pos="6237"/>
          <w:tab w:val="center" w:pos="7938"/>
        </w:tabs>
        <w:rPr>
          <w:spacing w:val="-3"/>
          <w:sz w:val="20"/>
          <w:szCs w:val="22"/>
        </w:rPr>
      </w:pPr>
      <w:r w:rsidRPr="008E13E6">
        <w:rPr>
          <w:spacing w:val="-3"/>
          <w:sz w:val="20"/>
          <w:szCs w:val="22"/>
        </w:rPr>
        <w:tab/>
      </w:r>
      <w:r w:rsidRPr="008E13E6">
        <w:rPr>
          <w:spacing w:val="-3"/>
          <w:sz w:val="20"/>
          <w:szCs w:val="22"/>
        </w:rPr>
        <w:tab/>
      </w:r>
    </w:p>
    <w:p w14:paraId="2159A901" w14:textId="77777777" w:rsidR="009450C8" w:rsidRPr="008E13E6" w:rsidRDefault="007D3F03" w:rsidP="007D3F03">
      <w:pPr>
        <w:tabs>
          <w:tab w:val="center" w:pos="1080"/>
          <w:tab w:val="center" w:pos="4500"/>
          <w:tab w:val="center" w:pos="6840"/>
          <w:tab w:val="center" w:pos="7920"/>
        </w:tabs>
        <w:jc w:val="center"/>
        <w:rPr>
          <w:sz w:val="20"/>
          <w:szCs w:val="22"/>
          <w:lang w:val="nb-NO"/>
        </w:rPr>
      </w:pPr>
      <w:r w:rsidRPr="008E13E6">
        <w:rPr>
          <w:spacing w:val="-3"/>
          <w:sz w:val="20"/>
          <w:szCs w:val="22"/>
          <w:lang w:val="nb-NO"/>
        </w:rPr>
        <w:br w:type="page"/>
      </w:r>
    </w:p>
    <w:p w14:paraId="07B53F5E" w14:textId="77777777" w:rsidR="00AC2121" w:rsidRPr="008E13E6" w:rsidRDefault="00AC2121" w:rsidP="00A91D4B">
      <w:pPr>
        <w:pStyle w:val="Overskrift2"/>
        <w:numPr>
          <w:ilvl w:val="0"/>
          <w:numId w:val="0"/>
        </w:numPr>
        <w:spacing w:before="120" w:after="0"/>
        <w:ind w:left="576" w:hanging="576"/>
        <w:jc w:val="center"/>
        <w:rPr>
          <w:rFonts w:ascii="Times New Roman" w:hAnsi="Times New Roman"/>
          <w:i w:val="0"/>
          <w:color w:val="002060"/>
          <w:sz w:val="24"/>
          <w:szCs w:val="28"/>
        </w:rPr>
      </w:pPr>
      <w:bookmarkStart w:id="18" w:name="_Toc9239894"/>
      <w:bookmarkStart w:id="19" w:name="_Toc523475997"/>
      <w:r w:rsidRPr="008E13E6">
        <w:rPr>
          <w:rFonts w:ascii="Times New Roman" w:hAnsi="Times New Roman"/>
          <w:i w:val="0"/>
          <w:color w:val="002060"/>
          <w:sz w:val="24"/>
          <w:szCs w:val="28"/>
        </w:rPr>
        <w:lastRenderedPageBreak/>
        <w:t>Tegningsbetingelser for</w:t>
      </w:r>
      <w:bookmarkEnd w:id="18"/>
      <w:r w:rsidRPr="008E13E6">
        <w:rPr>
          <w:rFonts w:ascii="Times New Roman" w:hAnsi="Times New Roman"/>
          <w:i w:val="0"/>
          <w:color w:val="002060"/>
          <w:sz w:val="24"/>
          <w:szCs w:val="28"/>
        </w:rPr>
        <w:t xml:space="preserve"> </w:t>
      </w:r>
      <w:bookmarkEnd w:id="19"/>
    </w:p>
    <w:p w14:paraId="4F4CAEDF" w14:textId="77777777" w:rsidR="00AC2121" w:rsidRPr="008E13E6" w:rsidRDefault="00AC2121">
      <w:pPr>
        <w:spacing w:before="120"/>
        <w:jc w:val="center"/>
        <w:rPr>
          <w:b/>
          <w:color w:val="002060"/>
          <w:sz w:val="24"/>
          <w:szCs w:val="28"/>
        </w:rPr>
      </w:pPr>
      <w:r w:rsidRPr="008E13E6">
        <w:rPr>
          <w:b/>
          <w:color w:val="002060"/>
          <w:sz w:val="24"/>
          <w:szCs w:val="28"/>
        </w:rPr>
        <w:t xml:space="preserve">PP Capital – </w:t>
      </w:r>
      <w:r w:rsidR="009C3621" w:rsidRPr="008E13E6">
        <w:rPr>
          <w:b/>
          <w:color w:val="002060"/>
          <w:sz w:val="24"/>
          <w:szCs w:val="28"/>
        </w:rPr>
        <w:t>BASIS, kl n</w:t>
      </w:r>
      <w:r w:rsidR="003D49F1" w:rsidRPr="008E13E6">
        <w:rPr>
          <w:b/>
          <w:color w:val="002060"/>
          <w:sz w:val="24"/>
          <w:szCs w:val="28"/>
        </w:rPr>
        <w:t xml:space="preserve"> EUR</w:t>
      </w:r>
    </w:p>
    <w:p w14:paraId="4BDD83EB" w14:textId="77777777" w:rsidR="00AC2121" w:rsidRPr="008E13E6" w:rsidRDefault="00AC2121">
      <w:pPr>
        <w:spacing w:before="120"/>
        <w:jc w:val="center"/>
        <w:rPr>
          <w:b/>
          <w:color w:val="002060"/>
          <w:sz w:val="24"/>
          <w:szCs w:val="28"/>
        </w:rPr>
      </w:pPr>
      <w:r w:rsidRPr="008E13E6">
        <w:rPr>
          <w:b/>
          <w:color w:val="002060"/>
          <w:sz w:val="24"/>
          <w:szCs w:val="28"/>
        </w:rPr>
        <w:t>under</w:t>
      </w:r>
    </w:p>
    <w:p w14:paraId="0C1A9F39" w14:textId="77777777" w:rsidR="007F6B2B" w:rsidRPr="008E13E6" w:rsidRDefault="00AC2121" w:rsidP="00A91D4B">
      <w:pPr>
        <w:spacing w:before="120"/>
        <w:jc w:val="center"/>
        <w:rPr>
          <w:color w:val="002060"/>
          <w:sz w:val="20"/>
          <w:szCs w:val="22"/>
          <w:lang w:val="nb-NO"/>
        </w:rPr>
      </w:pPr>
      <w:r w:rsidRPr="008E13E6">
        <w:rPr>
          <w:b/>
          <w:color w:val="002060"/>
          <w:sz w:val="24"/>
          <w:szCs w:val="28"/>
        </w:rPr>
        <w:t xml:space="preserve">Investeringsforeningen </w:t>
      </w:r>
      <w:proofErr w:type="spellStart"/>
      <w:r w:rsidRPr="008E13E6">
        <w:rPr>
          <w:b/>
          <w:color w:val="002060"/>
          <w:sz w:val="24"/>
          <w:szCs w:val="28"/>
        </w:rPr>
        <w:t>PortfolioManager</w:t>
      </w:r>
      <w:proofErr w:type="spellEnd"/>
      <w:r w:rsidRPr="008E13E6">
        <w:rPr>
          <w:b/>
          <w:color w:val="002060"/>
          <w:sz w:val="28"/>
          <w:szCs w:val="29"/>
        </w:rPr>
        <w:t xml:space="preserve"> </w:t>
      </w:r>
    </w:p>
    <w:p w14:paraId="745B00CE" w14:textId="77777777" w:rsidR="00AC2121" w:rsidRPr="008E13E6" w:rsidRDefault="00AC2121" w:rsidP="00D01FCD">
      <w:pPr>
        <w:spacing w:after="120"/>
        <w:rPr>
          <w:i/>
          <w:sz w:val="20"/>
          <w:szCs w:val="22"/>
        </w:rPr>
      </w:pPr>
      <w:bookmarkStart w:id="20" w:name="_Toc335036651"/>
      <w:bookmarkStart w:id="21" w:name="_Toc335036882"/>
    </w:p>
    <w:p w14:paraId="623ADA64" w14:textId="0346E5FE" w:rsidR="00D01FCD" w:rsidRPr="008E13E6" w:rsidRDefault="00D01FCD" w:rsidP="00D01FCD">
      <w:pPr>
        <w:spacing w:after="120"/>
        <w:rPr>
          <w:i/>
          <w:sz w:val="20"/>
          <w:szCs w:val="22"/>
        </w:rPr>
      </w:pPr>
      <w:r w:rsidRPr="008E13E6">
        <w:rPr>
          <w:i/>
          <w:sz w:val="20"/>
          <w:szCs w:val="22"/>
        </w:rPr>
        <w:t xml:space="preserve">Bestyrelsen for </w:t>
      </w:r>
      <w:r w:rsidR="00757287" w:rsidRPr="008E13E6">
        <w:rPr>
          <w:i/>
          <w:sz w:val="20"/>
          <w:szCs w:val="22"/>
        </w:rPr>
        <w:t xml:space="preserve">Investeringsforeningen </w:t>
      </w:r>
      <w:proofErr w:type="spellStart"/>
      <w:r w:rsidR="00757287" w:rsidRPr="008E13E6">
        <w:rPr>
          <w:i/>
          <w:sz w:val="20"/>
          <w:szCs w:val="22"/>
        </w:rPr>
        <w:t>PortfolioManager</w:t>
      </w:r>
      <w:proofErr w:type="spellEnd"/>
      <w:r w:rsidR="003C663A" w:rsidRPr="008E13E6">
        <w:rPr>
          <w:i/>
          <w:sz w:val="20"/>
          <w:szCs w:val="22"/>
        </w:rPr>
        <w:t xml:space="preserve"> </w:t>
      </w:r>
      <w:r w:rsidRPr="008E13E6">
        <w:rPr>
          <w:i/>
          <w:sz w:val="20"/>
          <w:szCs w:val="22"/>
        </w:rPr>
        <w:t xml:space="preserve">har </w:t>
      </w:r>
      <w:r w:rsidR="006F2E93" w:rsidRPr="008E13E6">
        <w:rPr>
          <w:i/>
          <w:sz w:val="20"/>
          <w:szCs w:val="22"/>
        </w:rPr>
        <w:t xml:space="preserve">den </w:t>
      </w:r>
      <w:r w:rsidR="0039546E">
        <w:rPr>
          <w:i/>
          <w:sz w:val="20"/>
          <w:szCs w:val="22"/>
        </w:rPr>
        <w:t>20. maj</w:t>
      </w:r>
      <w:r w:rsidR="006F2E93" w:rsidRPr="008E13E6">
        <w:rPr>
          <w:i/>
          <w:sz w:val="20"/>
          <w:szCs w:val="22"/>
        </w:rPr>
        <w:t xml:space="preserve"> 201</w:t>
      </w:r>
      <w:r w:rsidR="009C3621" w:rsidRPr="008E13E6">
        <w:rPr>
          <w:i/>
          <w:sz w:val="20"/>
          <w:szCs w:val="22"/>
        </w:rPr>
        <w:t>9</w:t>
      </w:r>
      <w:r w:rsidR="006F2E93" w:rsidRPr="008E13E6">
        <w:rPr>
          <w:i/>
          <w:sz w:val="20"/>
          <w:szCs w:val="22"/>
        </w:rPr>
        <w:t xml:space="preserve"> </w:t>
      </w:r>
      <w:r w:rsidRPr="008E13E6">
        <w:rPr>
          <w:i/>
          <w:sz w:val="20"/>
          <w:szCs w:val="22"/>
        </w:rPr>
        <w:t>god</w:t>
      </w:r>
      <w:r w:rsidR="008631A2" w:rsidRPr="008E13E6">
        <w:rPr>
          <w:i/>
          <w:sz w:val="20"/>
          <w:szCs w:val="22"/>
        </w:rPr>
        <w:t xml:space="preserve">kendt, at andele i </w:t>
      </w:r>
      <w:r w:rsidR="009C3621" w:rsidRPr="008E13E6">
        <w:rPr>
          <w:i/>
          <w:sz w:val="20"/>
          <w:szCs w:val="22"/>
        </w:rPr>
        <w:t>andelsklassen</w:t>
      </w:r>
      <w:r w:rsidR="004A5D5E" w:rsidRPr="008E13E6">
        <w:rPr>
          <w:i/>
          <w:sz w:val="20"/>
          <w:szCs w:val="22"/>
        </w:rPr>
        <w:t xml:space="preserve"> </w:t>
      </w:r>
      <w:r w:rsidR="00AC2121" w:rsidRPr="008E13E6">
        <w:rPr>
          <w:i/>
          <w:sz w:val="20"/>
          <w:szCs w:val="22"/>
        </w:rPr>
        <w:t xml:space="preserve">PP Capital </w:t>
      </w:r>
      <w:r w:rsidR="00920333" w:rsidRPr="008E13E6">
        <w:rPr>
          <w:i/>
          <w:sz w:val="20"/>
          <w:szCs w:val="22"/>
        </w:rPr>
        <w:t>–</w:t>
      </w:r>
      <w:r w:rsidR="00AC2121" w:rsidRPr="008E13E6">
        <w:rPr>
          <w:i/>
          <w:sz w:val="20"/>
          <w:szCs w:val="22"/>
        </w:rPr>
        <w:t xml:space="preserve"> </w:t>
      </w:r>
      <w:r w:rsidR="009C3621" w:rsidRPr="008E13E6">
        <w:rPr>
          <w:i/>
          <w:sz w:val="20"/>
          <w:szCs w:val="22"/>
        </w:rPr>
        <w:t xml:space="preserve">BASIS, </w:t>
      </w:r>
      <w:r w:rsidR="003D49F1" w:rsidRPr="008E13E6">
        <w:rPr>
          <w:i/>
          <w:sz w:val="20"/>
          <w:szCs w:val="22"/>
        </w:rPr>
        <w:t xml:space="preserve">kl n EUR </w:t>
      </w:r>
      <w:r w:rsidR="008631A2" w:rsidRPr="008E13E6">
        <w:rPr>
          <w:i/>
          <w:iCs/>
          <w:sz w:val="20"/>
          <w:szCs w:val="22"/>
        </w:rPr>
        <w:t xml:space="preserve">udbydes </w:t>
      </w:r>
      <w:r w:rsidR="00910AF8">
        <w:rPr>
          <w:i/>
          <w:iCs/>
          <w:sz w:val="20"/>
          <w:szCs w:val="22"/>
        </w:rPr>
        <w:t>i løbende</w:t>
      </w:r>
      <w:r w:rsidR="000A0301">
        <w:rPr>
          <w:i/>
          <w:iCs/>
          <w:sz w:val="20"/>
          <w:szCs w:val="22"/>
        </w:rPr>
        <w:t xml:space="preserve"> </w:t>
      </w:r>
      <w:r w:rsidR="008631A2" w:rsidRPr="008E13E6">
        <w:rPr>
          <w:i/>
          <w:iCs/>
          <w:sz w:val="20"/>
          <w:szCs w:val="22"/>
        </w:rPr>
        <w:t>t</w:t>
      </w:r>
      <w:r w:rsidR="000A0301">
        <w:rPr>
          <w:i/>
          <w:iCs/>
          <w:sz w:val="20"/>
          <w:szCs w:val="22"/>
        </w:rPr>
        <w:t>egning</w:t>
      </w:r>
      <w:r w:rsidR="008631A2" w:rsidRPr="008E13E6">
        <w:rPr>
          <w:i/>
          <w:iCs/>
          <w:sz w:val="20"/>
          <w:szCs w:val="22"/>
        </w:rPr>
        <w:t xml:space="preserve"> på nedenstående betingelser, som offentliggøres den </w:t>
      </w:r>
      <w:r w:rsidR="0039546E">
        <w:rPr>
          <w:i/>
          <w:iCs/>
          <w:sz w:val="20"/>
          <w:szCs w:val="22"/>
        </w:rPr>
        <w:t>2</w:t>
      </w:r>
      <w:r w:rsidR="00894A30">
        <w:rPr>
          <w:i/>
          <w:iCs/>
          <w:sz w:val="20"/>
          <w:szCs w:val="22"/>
        </w:rPr>
        <w:t>1</w:t>
      </w:r>
      <w:r w:rsidR="00910AF8">
        <w:rPr>
          <w:i/>
          <w:iCs/>
          <w:sz w:val="20"/>
          <w:szCs w:val="22"/>
        </w:rPr>
        <w:t>. maj</w:t>
      </w:r>
      <w:r w:rsidR="007D6A93" w:rsidRPr="008E13E6">
        <w:rPr>
          <w:i/>
          <w:iCs/>
          <w:sz w:val="20"/>
          <w:szCs w:val="22"/>
        </w:rPr>
        <w:t xml:space="preserve"> </w:t>
      </w:r>
      <w:r w:rsidR="008631A2" w:rsidRPr="008E13E6">
        <w:rPr>
          <w:i/>
          <w:spacing w:val="-3"/>
          <w:sz w:val="20"/>
          <w:szCs w:val="22"/>
        </w:rPr>
        <w:t>201</w:t>
      </w:r>
      <w:bookmarkEnd w:id="20"/>
      <w:bookmarkEnd w:id="21"/>
      <w:r w:rsidR="009C3621" w:rsidRPr="008E13E6">
        <w:rPr>
          <w:i/>
          <w:spacing w:val="-3"/>
          <w:sz w:val="20"/>
          <w:szCs w:val="22"/>
        </w:rPr>
        <w:t>9</w:t>
      </w:r>
      <w:r w:rsidR="008631A2" w:rsidRPr="008E13E6">
        <w:rPr>
          <w:i/>
          <w:spacing w:val="-3"/>
          <w:sz w:val="20"/>
          <w:szCs w:val="22"/>
        </w:rPr>
        <w:t>.</w:t>
      </w:r>
    </w:p>
    <w:p w14:paraId="06D91C67" w14:textId="77777777" w:rsidR="00D01FCD" w:rsidRPr="008E13E6" w:rsidRDefault="00D01FCD" w:rsidP="00D01FCD">
      <w:pPr>
        <w:spacing w:before="120"/>
        <w:rPr>
          <w:i/>
          <w:iCs/>
          <w:sz w:val="20"/>
          <w:szCs w:val="22"/>
        </w:rPr>
      </w:pPr>
      <w:r w:rsidRPr="008E13E6">
        <w:rPr>
          <w:i/>
          <w:iCs/>
          <w:sz w:val="20"/>
          <w:szCs w:val="22"/>
        </w:rPr>
        <w:t>Prospektet er udarbejdet i overensstemmelse med danske regler og lovgivning</w:t>
      </w:r>
      <w:r w:rsidR="000D39B7" w:rsidRPr="008E13E6">
        <w:rPr>
          <w:i/>
          <w:iCs/>
          <w:sz w:val="20"/>
          <w:szCs w:val="22"/>
        </w:rPr>
        <w:t xml:space="preserve">, herunder bekendtgørelse </w:t>
      </w:r>
      <w:r w:rsidR="00AC2121" w:rsidRPr="008E13E6">
        <w:rPr>
          <w:i/>
          <w:iCs/>
          <w:sz w:val="20"/>
          <w:szCs w:val="22"/>
        </w:rPr>
        <w:t>nr. 138 af 17. februar 2016</w:t>
      </w:r>
      <w:r w:rsidR="000D39B7" w:rsidRPr="008E13E6">
        <w:rPr>
          <w:i/>
          <w:sz w:val="20"/>
          <w:szCs w:val="22"/>
        </w:rPr>
        <w:t xml:space="preserve"> om oplysninger i prospekter for danske </w:t>
      </w:r>
      <w:r w:rsidR="000D39B7" w:rsidRPr="008E13E6">
        <w:rPr>
          <w:i/>
          <w:iCs/>
          <w:sz w:val="20"/>
          <w:szCs w:val="22"/>
        </w:rPr>
        <w:t>UCITS</w:t>
      </w:r>
      <w:r w:rsidRPr="008E13E6">
        <w:rPr>
          <w:i/>
          <w:iCs/>
          <w:sz w:val="20"/>
          <w:szCs w:val="22"/>
        </w:rPr>
        <w:t>. Prospektet er indsendt til Finanstilsynet i Danmark i henhold til kapitel 1</w:t>
      </w:r>
      <w:r w:rsidR="00197077" w:rsidRPr="008E13E6">
        <w:rPr>
          <w:i/>
          <w:iCs/>
          <w:sz w:val="20"/>
          <w:szCs w:val="22"/>
        </w:rPr>
        <w:t>2</w:t>
      </w:r>
      <w:r w:rsidRPr="008E13E6">
        <w:rPr>
          <w:i/>
          <w:iCs/>
          <w:sz w:val="20"/>
          <w:szCs w:val="22"/>
        </w:rPr>
        <w:t xml:space="preserve"> i lov om investeringsforeninger m.v</w:t>
      </w:r>
      <w:r w:rsidR="005D6A09" w:rsidRPr="008E13E6">
        <w:rPr>
          <w:i/>
          <w:iCs/>
          <w:sz w:val="20"/>
          <w:szCs w:val="22"/>
        </w:rPr>
        <w:t>.</w:t>
      </w:r>
      <w:r w:rsidRPr="008E13E6">
        <w:rPr>
          <w:i/>
          <w:iCs/>
          <w:sz w:val="20"/>
          <w:szCs w:val="22"/>
        </w:rPr>
        <w:t xml:space="preserve"> </w:t>
      </w:r>
    </w:p>
    <w:p w14:paraId="52234860" w14:textId="77777777" w:rsidR="00C7429F" w:rsidRPr="008E13E6" w:rsidRDefault="00C7429F" w:rsidP="00D01FCD">
      <w:pPr>
        <w:spacing w:before="120"/>
        <w:rPr>
          <w:b/>
          <w:i/>
          <w:iCs/>
          <w:sz w:val="20"/>
          <w:szCs w:val="22"/>
        </w:rPr>
      </w:pPr>
      <w:r w:rsidRPr="008E13E6">
        <w:rPr>
          <w:i/>
          <w:iCs/>
          <w:sz w:val="20"/>
          <w:szCs w:val="22"/>
        </w:rPr>
        <w:t>Prospektet er ikke godkendt af eller registreret hos udenlandske myndigheder med henblik på salg og markedsføring af andelene uden for Danmark.</w:t>
      </w:r>
      <w:r w:rsidRPr="008E13E6">
        <w:rPr>
          <w:b/>
          <w:i/>
          <w:iCs/>
          <w:sz w:val="20"/>
          <w:szCs w:val="22"/>
        </w:rPr>
        <w:t xml:space="preserve"> </w:t>
      </w:r>
    </w:p>
    <w:p w14:paraId="2E9C641E" w14:textId="77777777" w:rsidR="00D01FCD" w:rsidRPr="008E13E6" w:rsidRDefault="00D01FCD" w:rsidP="00D01FCD">
      <w:pPr>
        <w:spacing w:before="120"/>
        <w:rPr>
          <w:i/>
          <w:iCs/>
          <w:sz w:val="20"/>
          <w:szCs w:val="22"/>
        </w:rPr>
      </w:pPr>
      <w:r w:rsidRPr="008E13E6">
        <w:rPr>
          <w:i/>
          <w:iCs/>
          <w:sz w:val="20"/>
          <w:szCs w:val="22"/>
        </w:rPr>
        <w:t>Andelene må ikke udbydes eller sælges i USA og Canada, og prospektet må ikke udleveres til investorer hjemmehørende i disse lande.</w:t>
      </w:r>
      <w:r w:rsidR="004A5D5E" w:rsidRPr="008E13E6">
        <w:rPr>
          <w:i/>
          <w:iCs/>
          <w:sz w:val="20"/>
          <w:szCs w:val="22"/>
        </w:rPr>
        <w:t xml:space="preserve"> </w:t>
      </w:r>
    </w:p>
    <w:p w14:paraId="40B99330" w14:textId="77777777" w:rsidR="009450C8" w:rsidRPr="008E13E6" w:rsidRDefault="009450C8" w:rsidP="00D01FCD">
      <w:pPr>
        <w:spacing w:before="120" w:after="120"/>
        <w:rPr>
          <w:i/>
          <w:iCs/>
          <w:sz w:val="20"/>
          <w:szCs w:val="22"/>
        </w:rPr>
      </w:pPr>
      <w:r w:rsidRPr="008E13E6">
        <w:rPr>
          <w:i/>
          <w:iCs/>
          <w:sz w:val="20"/>
          <w:szCs w:val="22"/>
        </w:rPr>
        <w:t>Oplysninger i dette prospekt kan ikke betragtes som rådgivning vedrørende investeringsmæssige eller andre forhold. Investorer opfordres til at søge individuel rådgivning om egne investeringsmæssige og dertil knyttede forhold.</w:t>
      </w:r>
    </w:p>
    <w:p w14:paraId="2A506C6F" w14:textId="77777777" w:rsidR="002820B3" w:rsidRPr="008E13E6" w:rsidRDefault="009450C8" w:rsidP="00787FC0">
      <w:pPr>
        <w:rPr>
          <w:i/>
          <w:iCs/>
          <w:sz w:val="20"/>
          <w:szCs w:val="22"/>
        </w:rPr>
      </w:pPr>
      <w:r w:rsidRPr="008E13E6">
        <w:rPr>
          <w:i/>
          <w:iCs/>
          <w:sz w:val="20"/>
          <w:szCs w:val="22"/>
        </w:rPr>
        <w:t>Ethvert forhold omtalt i nærværende prospekt, herunder investeringsstrategi og risikoprofil, kan inden for lovgivningens og vedtægternes rammer ændres efter bestyrelsens beslutning.</w:t>
      </w:r>
    </w:p>
    <w:p w14:paraId="6A5CA98D" w14:textId="77777777" w:rsidR="009450C8" w:rsidRPr="008E13E6" w:rsidRDefault="00D352F0" w:rsidP="00F11842">
      <w:pPr>
        <w:pStyle w:val="Overskrift2"/>
        <w:numPr>
          <w:ilvl w:val="0"/>
          <w:numId w:val="0"/>
        </w:numPr>
        <w:pBdr>
          <w:bottom w:val="single" w:sz="4" w:space="2" w:color="auto"/>
        </w:pBdr>
        <w:tabs>
          <w:tab w:val="left" w:pos="2709"/>
          <w:tab w:val="center" w:pos="4677"/>
        </w:tabs>
        <w:spacing w:before="360"/>
        <w:rPr>
          <w:rFonts w:ascii="Times New Roman" w:hAnsi="Times New Roman"/>
          <w:i w:val="0"/>
          <w:iCs/>
          <w:color w:val="002060"/>
          <w:sz w:val="24"/>
          <w:szCs w:val="28"/>
        </w:rPr>
      </w:pPr>
      <w:bookmarkStart w:id="22" w:name="_Toc170528757"/>
      <w:bookmarkStart w:id="23" w:name="_Toc170528940"/>
      <w:bookmarkStart w:id="24" w:name="_Toc336331745"/>
      <w:bookmarkStart w:id="25" w:name="_Toc357087590"/>
      <w:bookmarkStart w:id="26" w:name="_Toc413407245"/>
      <w:bookmarkStart w:id="27" w:name="_Toc443370865"/>
      <w:r w:rsidRPr="008E13E6">
        <w:rPr>
          <w:rFonts w:ascii="Times New Roman" w:hAnsi="Times New Roman"/>
          <w:i w:val="0"/>
          <w:iCs/>
          <w:color w:val="002060"/>
          <w:sz w:val="24"/>
          <w:szCs w:val="28"/>
        </w:rPr>
        <w:tab/>
      </w:r>
      <w:r w:rsidRPr="008E13E6">
        <w:rPr>
          <w:rFonts w:ascii="Times New Roman" w:hAnsi="Times New Roman"/>
          <w:i w:val="0"/>
          <w:iCs/>
          <w:color w:val="002060"/>
          <w:sz w:val="24"/>
          <w:szCs w:val="28"/>
        </w:rPr>
        <w:tab/>
      </w:r>
      <w:bookmarkStart w:id="28" w:name="_Toc9239895"/>
      <w:r w:rsidR="009450C8" w:rsidRPr="008E13E6">
        <w:rPr>
          <w:rFonts w:ascii="Times New Roman" w:hAnsi="Times New Roman"/>
          <w:i w:val="0"/>
          <w:iCs/>
          <w:color w:val="002060"/>
          <w:sz w:val="24"/>
          <w:szCs w:val="28"/>
        </w:rPr>
        <w:softHyphen/>
      </w:r>
      <w:r w:rsidR="009450C8" w:rsidRPr="008E13E6">
        <w:rPr>
          <w:rFonts w:ascii="Times New Roman" w:hAnsi="Times New Roman"/>
          <w:i w:val="0"/>
          <w:color w:val="002060"/>
          <w:sz w:val="24"/>
          <w:szCs w:val="28"/>
        </w:rPr>
        <w:t>Foreningen</w:t>
      </w:r>
      <w:bookmarkEnd w:id="22"/>
      <w:bookmarkEnd w:id="23"/>
      <w:bookmarkEnd w:id="24"/>
      <w:bookmarkEnd w:id="25"/>
      <w:bookmarkEnd w:id="26"/>
      <w:bookmarkEnd w:id="27"/>
      <w:bookmarkEnd w:id="28"/>
    </w:p>
    <w:p w14:paraId="7FE16E25" w14:textId="77777777" w:rsidR="00C04B8F" w:rsidRPr="008E13E6" w:rsidRDefault="00C04B8F" w:rsidP="00C33F3E">
      <w:pPr>
        <w:pStyle w:val="Bo"/>
        <w:numPr>
          <w:ilvl w:val="0"/>
          <w:numId w:val="2"/>
        </w:numPr>
        <w:tabs>
          <w:tab w:val="clear" w:pos="502"/>
          <w:tab w:val="num" w:pos="284"/>
        </w:tabs>
        <w:spacing w:after="120"/>
        <w:ind w:left="142" w:hanging="142"/>
        <w:rPr>
          <w:i/>
          <w:sz w:val="20"/>
          <w:szCs w:val="22"/>
        </w:rPr>
      </w:pPr>
      <w:bookmarkStart w:id="29" w:name="_Toc413955287"/>
      <w:bookmarkStart w:id="30" w:name="_Toc443370866"/>
      <w:bookmarkStart w:id="31" w:name="_Toc9239896"/>
      <w:bookmarkStart w:id="32" w:name="_Toc357087592"/>
      <w:r w:rsidRPr="008E13E6">
        <w:rPr>
          <w:i/>
          <w:sz w:val="20"/>
          <w:szCs w:val="22"/>
        </w:rPr>
        <w:t>Foreningens navn, adresse m.v.</w:t>
      </w:r>
      <w:bookmarkEnd w:id="29"/>
      <w:bookmarkEnd w:id="30"/>
      <w:bookmarkEnd w:id="31"/>
    </w:p>
    <w:p w14:paraId="064B7F2D" w14:textId="77777777" w:rsidR="00ED0C3F" w:rsidRPr="008E13E6" w:rsidRDefault="00757287" w:rsidP="00ED0C3F">
      <w:pPr>
        <w:rPr>
          <w:spacing w:val="-3"/>
          <w:sz w:val="20"/>
          <w:szCs w:val="22"/>
        </w:rPr>
      </w:pPr>
      <w:r w:rsidRPr="008E13E6">
        <w:rPr>
          <w:spacing w:val="-3"/>
          <w:sz w:val="20"/>
          <w:szCs w:val="22"/>
        </w:rPr>
        <w:t xml:space="preserve">Investeringsforeningen </w:t>
      </w:r>
      <w:proofErr w:type="spellStart"/>
      <w:r w:rsidRPr="008E13E6">
        <w:rPr>
          <w:spacing w:val="-3"/>
          <w:sz w:val="20"/>
          <w:szCs w:val="22"/>
        </w:rPr>
        <w:t>PortfolioManager</w:t>
      </w:r>
      <w:proofErr w:type="spellEnd"/>
    </w:p>
    <w:p w14:paraId="195A8D09" w14:textId="77777777" w:rsidR="00E933C4" w:rsidRPr="008E13E6" w:rsidRDefault="003B47B1" w:rsidP="00ED0C3F">
      <w:pPr>
        <w:rPr>
          <w:spacing w:val="-3"/>
          <w:sz w:val="20"/>
          <w:szCs w:val="22"/>
        </w:rPr>
      </w:pPr>
      <w:r w:rsidRPr="008E13E6">
        <w:rPr>
          <w:spacing w:val="-3"/>
          <w:sz w:val="20"/>
          <w:szCs w:val="22"/>
        </w:rPr>
        <w:t>c/o Fundmarket A/S</w:t>
      </w:r>
    </w:p>
    <w:p w14:paraId="41E141C6" w14:textId="77777777" w:rsidR="00ED0C3F" w:rsidRPr="008E13E6" w:rsidRDefault="00580424" w:rsidP="00ED0C3F">
      <w:pPr>
        <w:rPr>
          <w:spacing w:val="-3"/>
          <w:sz w:val="20"/>
          <w:szCs w:val="22"/>
          <w:lang w:val="en-US"/>
        </w:rPr>
      </w:pPr>
      <w:r w:rsidRPr="008E13E6">
        <w:rPr>
          <w:spacing w:val="-3"/>
          <w:sz w:val="20"/>
          <w:szCs w:val="22"/>
          <w:lang w:val="en-US"/>
        </w:rPr>
        <w:t>Diplomvej 381</w:t>
      </w:r>
    </w:p>
    <w:p w14:paraId="79A528E9" w14:textId="77777777" w:rsidR="00ED0C3F" w:rsidRPr="008E13E6" w:rsidRDefault="00ED0C3F" w:rsidP="00ED0C3F">
      <w:pPr>
        <w:rPr>
          <w:spacing w:val="-3"/>
          <w:sz w:val="20"/>
          <w:szCs w:val="22"/>
          <w:lang w:val="en-US"/>
        </w:rPr>
      </w:pPr>
      <w:r w:rsidRPr="008E13E6">
        <w:rPr>
          <w:spacing w:val="-3"/>
          <w:sz w:val="20"/>
          <w:szCs w:val="22"/>
          <w:lang w:val="en-US"/>
        </w:rPr>
        <w:t>2800 Kgs. Lyngby</w:t>
      </w:r>
    </w:p>
    <w:p w14:paraId="501F66A2" w14:textId="77777777" w:rsidR="00ED0C3F" w:rsidRPr="008E13E6" w:rsidRDefault="00ED0C3F" w:rsidP="00ED0C3F">
      <w:pPr>
        <w:pStyle w:val="Sidehoved"/>
        <w:rPr>
          <w:spacing w:val="-3"/>
          <w:sz w:val="20"/>
          <w:szCs w:val="22"/>
          <w:lang w:val="en-US"/>
        </w:rPr>
      </w:pPr>
      <w:r w:rsidRPr="008E13E6">
        <w:rPr>
          <w:spacing w:val="-3"/>
          <w:sz w:val="20"/>
          <w:szCs w:val="22"/>
          <w:lang w:val="en-US"/>
        </w:rPr>
        <w:t xml:space="preserve">Tlf.: +45 </w:t>
      </w:r>
      <w:r w:rsidR="00580424" w:rsidRPr="008E13E6">
        <w:rPr>
          <w:spacing w:val="-3"/>
          <w:sz w:val="20"/>
          <w:szCs w:val="22"/>
          <w:lang w:val="en-US"/>
        </w:rPr>
        <w:t>38 42 21 42</w:t>
      </w:r>
    </w:p>
    <w:p w14:paraId="5FB13595" w14:textId="77777777" w:rsidR="00ED0C3F" w:rsidRPr="008E13E6" w:rsidRDefault="00580424" w:rsidP="00A91D4B">
      <w:pPr>
        <w:rPr>
          <w:spacing w:val="-3"/>
          <w:sz w:val="20"/>
          <w:szCs w:val="22"/>
          <w:lang w:val="en-US"/>
        </w:rPr>
      </w:pPr>
      <w:r w:rsidRPr="008E13E6">
        <w:rPr>
          <w:spacing w:val="-3"/>
          <w:sz w:val="20"/>
          <w:szCs w:val="22"/>
          <w:lang w:val="en-US"/>
        </w:rPr>
        <w:t>Email: kontakt@</w:t>
      </w:r>
      <w:r w:rsidR="00C1201B" w:rsidRPr="008E13E6">
        <w:rPr>
          <w:spacing w:val="-3"/>
          <w:sz w:val="20"/>
          <w:szCs w:val="22"/>
          <w:lang w:val="en-US"/>
        </w:rPr>
        <w:t>fundmarket</w:t>
      </w:r>
      <w:r w:rsidRPr="008E13E6">
        <w:rPr>
          <w:spacing w:val="-3"/>
          <w:sz w:val="20"/>
          <w:szCs w:val="22"/>
          <w:lang w:val="en-US"/>
        </w:rPr>
        <w:t>.dk</w:t>
      </w:r>
    </w:p>
    <w:p w14:paraId="33C7F0CA" w14:textId="177636CF" w:rsidR="00ED0C3F" w:rsidRPr="008E13E6" w:rsidRDefault="00AF6B85" w:rsidP="0039546E">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uppressAutoHyphens/>
        <w:spacing w:before="120"/>
        <w:rPr>
          <w:b/>
          <w:spacing w:val="-3"/>
          <w:sz w:val="20"/>
          <w:szCs w:val="22"/>
        </w:rPr>
      </w:pPr>
      <w:r w:rsidRPr="00AF6B85">
        <w:rPr>
          <w:sz w:val="20"/>
          <w:szCs w:val="22"/>
        </w:rPr>
        <w:t xml:space="preserve">Foreningen er stiftet af investeringsforvaltningsselskabet Fundmarket A/S den 22. februar 2018. Investeringsforvaltningsselskabet Fundmarket A/S er </w:t>
      </w:r>
      <w:proofErr w:type="gramStart"/>
      <w:r w:rsidRPr="00AF6B85">
        <w:rPr>
          <w:sz w:val="20"/>
          <w:szCs w:val="22"/>
        </w:rPr>
        <w:t>endvidere</w:t>
      </w:r>
      <w:proofErr w:type="gramEnd"/>
      <w:r w:rsidRPr="00AF6B85">
        <w:rPr>
          <w:sz w:val="20"/>
          <w:szCs w:val="22"/>
        </w:rPr>
        <w:t xml:space="preserve"> valgt som investeringsforvaltningsselskab for foreningen, jf. punkt</w:t>
      </w:r>
      <w:r>
        <w:rPr>
          <w:sz w:val="20"/>
          <w:szCs w:val="22"/>
        </w:rPr>
        <w:t xml:space="preserve"> </w:t>
      </w:r>
      <w:r w:rsidRPr="00090E7D">
        <w:rPr>
          <w:i/>
          <w:sz w:val="20"/>
          <w:szCs w:val="22"/>
        </w:rPr>
        <w:fldChar w:fldCharType="begin"/>
      </w:r>
      <w:r w:rsidRPr="00090E7D">
        <w:rPr>
          <w:i/>
          <w:sz w:val="20"/>
          <w:szCs w:val="22"/>
        </w:rPr>
        <w:instrText xml:space="preserve"> REF _Ref5366724 \r \h </w:instrText>
      </w:r>
      <w:r>
        <w:rPr>
          <w:i/>
          <w:sz w:val="20"/>
          <w:szCs w:val="22"/>
        </w:rPr>
        <w:instrText xml:space="preserve"> \* MERGEFORMAT </w:instrText>
      </w:r>
      <w:r w:rsidRPr="00090E7D">
        <w:rPr>
          <w:i/>
          <w:sz w:val="20"/>
          <w:szCs w:val="22"/>
        </w:rPr>
      </w:r>
      <w:r w:rsidRPr="00090E7D">
        <w:rPr>
          <w:i/>
          <w:sz w:val="20"/>
          <w:szCs w:val="22"/>
        </w:rPr>
        <w:fldChar w:fldCharType="separate"/>
      </w:r>
      <w:r w:rsidR="00195831">
        <w:rPr>
          <w:i/>
          <w:sz w:val="20"/>
          <w:szCs w:val="22"/>
        </w:rPr>
        <w:t>25</w:t>
      </w:r>
      <w:r w:rsidRPr="00090E7D">
        <w:rPr>
          <w:i/>
          <w:sz w:val="20"/>
          <w:szCs w:val="22"/>
        </w:rPr>
        <w:fldChar w:fldCharType="end"/>
      </w:r>
      <w:r>
        <w:rPr>
          <w:i/>
          <w:sz w:val="20"/>
          <w:szCs w:val="22"/>
        </w:rPr>
        <w:t xml:space="preserve">. </w:t>
      </w:r>
      <w:r w:rsidRPr="00090E7D">
        <w:rPr>
          <w:i/>
          <w:sz w:val="20"/>
          <w:szCs w:val="22"/>
        </w:rPr>
        <w:fldChar w:fldCharType="begin"/>
      </w:r>
      <w:r w:rsidRPr="00090E7D">
        <w:rPr>
          <w:i/>
          <w:sz w:val="20"/>
          <w:szCs w:val="22"/>
        </w:rPr>
        <w:instrText xml:space="preserve"> REF _Ref5366728 \h </w:instrText>
      </w:r>
      <w:r>
        <w:rPr>
          <w:i/>
          <w:sz w:val="20"/>
          <w:szCs w:val="22"/>
        </w:rPr>
        <w:instrText xml:space="preserve"> \* MERGEFORMAT </w:instrText>
      </w:r>
      <w:r w:rsidRPr="00090E7D">
        <w:rPr>
          <w:i/>
          <w:sz w:val="20"/>
          <w:szCs w:val="22"/>
        </w:rPr>
      </w:r>
      <w:r w:rsidRPr="00090E7D">
        <w:rPr>
          <w:i/>
          <w:sz w:val="20"/>
          <w:szCs w:val="22"/>
        </w:rPr>
        <w:fldChar w:fldCharType="separate"/>
      </w:r>
      <w:r w:rsidR="00195831" w:rsidRPr="008E13E6">
        <w:rPr>
          <w:i/>
          <w:sz w:val="20"/>
          <w:szCs w:val="22"/>
        </w:rPr>
        <w:t>Investeringsforvaltningsselskab</w:t>
      </w:r>
      <w:r w:rsidRPr="00090E7D">
        <w:rPr>
          <w:i/>
          <w:sz w:val="20"/>
          <w:szCs w:val="22"/>
        </w:rPr>
        <w:fldChar w:fldCharType="end"/>
      </w:r>
      <w:r w:rsidRPr="00AF6B85">
        <w:rPr>
          <w:sz w:val="20"/>
          <w:szCs w:val="22"/>
        </w:rPr>
        <w:t xml:space="preserve">. </w:t>
      </w:r>
      <w:r w:rsidR="00ED0C3F" w:rsidRPr="008E13E6">
        <w:rPr>
          <w:spacing w:val="-3"/>
          <w:sz w:val="20"/>
          <w:szCs w:val="22"/>
        </w:rPr>
        <w:t xml:space="preserve">Foreningen er registreret i Finanstilsynet i Danmark under FT-nr. </w:t>
      </w:r>
      <w:r w:rsidR="004A5D5E" w:rsidRPr="008E13E6">
        <w:rPr>
          <w:spacing w:val="-3"/>
          <w:sz w:val="20"/>
          <w:szCs w:val="22"/>
        </w:rPr>
        <w:t>11200</w:t>
      </w:r>
      <w:r w:rsidR="00ED0C3F" w:rsidRPr="008E13E6">
        <w:rPr>
          <w:spacing w:val="-3"/>
          <w:sz w:val="20"/>
          <w:szCs w:val="22"/>
        </w:rPr>
        <w:t xml:space="preserve"> og i Det Centrale Virksomheds</w:t>
      </w:r>
      <w:r w:rsidR="00ED0C3F" w:rsidRPr="008E13E6">
        <w:rPr>
          <w:spacing w:val="-3"/>
          <w:sz w:val="20"/>
          <w:szCs w:val="22"/>
        </w:rPr>
        <w:softHyphen/>
        <w:t>re</w:t>
      </w:r>
      <w:r w:rsidR="00ED0C3F" w:rsidRPr="008E13E6">
        <w:rPr>
          <w:spacing w:val="-3"/>
          <w:sz w:val="20"/>
          <w:szCs w:val="22"/>
        </w:rPr>
        <w:softHyphen/>
        <w:t xml:space="preserve">gister i Danmark under CVR-nr. </w:t>
      </w:r>
      <w:r w:rsidR="004A5D5E" w:rsidRPr="008E13E6">
        <w:rPr>
          <w:spacing w:val="-3"/>
          <w:sz w:val="20"/>
          <w:szCs w:val="22"/>
        </w:rPr>
        <w:t>39 77 84 32</w:t>
      </w:r>
      <w:r w:rsidR="00ED0C3F" w:rsidRPr="008E13E6">
        <w:rPr>
          <w:spacing w:val="-3"/>
          <w:sz w:val="20"/>
          <w:szCs w:val="22"/>
        </w:rPr>
        <w:t>.</w:t>
      </w:r>
      <w:r w:rsidR="00ED0C3F" w:rsidRPr="008E13E6">
        <w:rPr>
          <w:b/>
          <w:spacing w:val="-3"/>
          <w:sz w:val="20"/>
          <w:szCs w:val="22"/>
        </w:rPr>
        <w:t xml:space="preserve"> </w:t>
      </w:r>
    </w:p>
    <w:p w14:paraId="186D3FB7" w14:textId="77777777" w:rsidR="00C04B8F" w:rsidRPr="008E13E6" w:rsidRDefault="00C04B8F" w:rsidP="00C33F3E">
      <w:pPr>
        <w:pStyle w:val="Bo"/>
        <w:numPr>
          <w:ilvl w:val="0"/>
          <w:numId w:val="2"/>
        </w:numPr>
        <w:tabs>
          <w:tab w:val="clear" w:pos="502"/>
          <w:tab w:val="num" w:pos="284"/>
        </w:tabs>
        <w:spacing w:after="120"/>
        <w:ind w:left="142" w:hanging="142"/>
        <w:rPr>
          <w:i/>
          <w:sz w:val="20"/>
          <w:szCs w:val="22"/>
        </w:rPr>
      </w:pPr>
      <w:bookmarkStart w:id="33" w:name="_Toc208144080"/>
      <w:bookmarkStart w:id="34" w:name="_Toc395703403"/>
      <w:bookmarkStart w:id="35" w:name="_Toc413955288"/>
      <w:bookmarkStart w:id="36" w:name="_Toc443370867"/>
      <w:bookmarkStart w:id="37" w:name="_Toc9239897"/>
      <w:bookmarkStart w:id="38" w:name="_Toc208043003"/>
      <w:bookmarkStart w:id="39" w:name="_Ref72036633"/>
      <w:bookmarkEnd w:id="32"/>
      <w:r w:rsidRPr="008E13E6">
        <w:rPr>
          <w:i/>
          <w:sz w:val="20"/>
          <w:szCs w:val="22"/>
        </w:rPr>
        <w:t>Foreningens formål</w:t>
      </w:r>
      <w:bookmarkEnd w:id="33"/>
      <w:bookmarkEnd w:id="34"/>
      <w:bookmarkEnd w:id="35"/>
      <w:bookmarkEnd w:id="36"/>
      <w:bookmarkEnd w:id="37"/>
    </w:p>
    <w:p w14:paraId="32320A27" w14:textId="77777777" w:rsidR="00071FE7" w:rsidRPr="008E13E6" w:rsidRDefault="00071FE7">
      <w:pPr>
        <w:spacing w:after="120"/>
        <w:rPr>
          <w:sz w:val="20"/>
          <w:szCs w:val="22"/>
        </w:rPr>
      </w:pPr>
      <w:r w:rsidRPr="008E13E6">
        <w:rPr>
          <w:sz w:val="20"/>
        </w:rPr>
        <w:t xml:space="preserve">Foreningens formål er fra en videre kreds eller offentligheden at modtage midler, som under iagttagelse af et princip om risikospredning anbringes i finansielle instrumenter i overensstemmelse med lov om investeringsforeninger m.v., og på en investors anmodning at indløse investorens andel af formuen med midler, der hidrører fra formuen. </w:t>
      </w:r>
    </w:p>
    <w:p w14:paraId="44BC3643" w14:textId="77777777" w:rsidR="00C04B8F" w:rsidRPr="008E13E6" w:rsidRDefault="00C04B8F" w:rsidP="00C33F3E">
      <w:pPr>
        <w:pStyle w:val="Bo"/>
        <w:numPr>
          <w:ilvl w:val="0"/>
          <w:numId w:val="2"/>
        </w:numPr>
        <w:tabs>
          <w:tab w:val="clear" w:pos="502"/>
          <w:tab w:val="num" w:pos="284"/>
        </w:tabs>
        <w:spacing w:after="120"/>
        <w:ind w:left="142" w:hanging="142"/>
        <w:rPr>
          <w:i/>
          <w:sz w:val="20"/>
          <w:szCs w:val="22"/>
        </w:rPr>
      </w:pPr>
      <w:bookmarkStart w:id="40" w:name="_Toc413955289"/>
      <w:bookmarkStart w:id="41" w:name="_Toc443370868"/>
      <w:bookmarkStart w:id="42" w:name="_Toc9239898"/>
      <w:bookmarkEnd w:id="38"/>
      <w:r w:rsidRPr="008E13E6">
        <w:rPr>
          <w:i/>
          <w:sz w:val="20"/>
          <w:szCs w:val="22"/>
        </w:rPr>
        <w:t>Foreningens bestyrelse</w:t>
      </w:r>
      <w:bookmarkEnd w:id="40"/>
      <w:bookmarkEnd w:id="41"/>
      <w:bookmarkEnd w:id="42"/>
    </w:p>
    <w:tbl>
      <w:tblPr>
        <w:tblW w:w="8931" w:type="dxa"/>
        <w:tblInd w:w="70" w:type="dxa"/>
        <w:tblCellMar>
          <w:left w:w="70" w:type="dxa"/>
          <w:right w:w="70" w:type="dxa"/>
        </w:tblCellMar>
        <w:tblLook w:val="0000" w:firstRow="0" w:lastRow="0" w:firstColumn="0" w:lastColumn="0" w:noHBand="0" w:noVBand="0"/>
      </w:tblPr>
      <w:tblGrid>
        <w:gridCol w:w="4395"/>
        <w:gridCol w:w="4536"/>
      </w:tblGrid>
      <w:tr w:rsidR="00197077" w:rsidRPr="008E13E6" w14:paraId="07CA0F25" w14:textId="77777777" w:rsidTr="006C1EF1">
        <w:tc>
          <w:tcPr>
            <w:tcW w:w="4395" w:type="dxa"/>
          </w:tcPr>
          <w:p w14:paraId="037A75BF" w14:textId="77777777" w:rsidR="00197077" w:rsidRPr="008E13E6" w:rsidRDefault="00071FE7" w:rsidP="00197077">
            <w:pPr>
              <w:widowControl w:val="0"/>
              <w:ind w:left="-57"/>
              <w:rPr>
                <w:sz w:val="20"/>
                <w:szCs w:val="22"/>
              </w:rPr>
            </w:pPr>
            <w:r w:rsidRPr="008E13E6">
              <w:rPr>
                <w:sz w:val="20"/>
                <w:szCs w:val="22"/>
              </w:rPr>
              <w:t>Direktør</w:t>
            </w:r>
            <w:r w:rsidR="004A5978" w:rsidRPr="008E13E6">
              <w:rPr>
                <w:sz w:val="20"/>
                <w:szCs w:val="22"/>
              </w:rPr>
              <w:t xml:space="preserve"> </w:t>
            </w:r>
            <w:r w:rsidRPr="008E13E6">
              <w:rPr>
                <w:sz w:val="20"/>
                <w:szCs w:val="22"/>
              </w:rPr>
              <w:t>Torben Knappe</w:t>
            </w:r>
            <w:r w:rsidR="00197077" w:rsidRPr="008E13E6">
              <w:rPr>
                <w:sz w:val="20"/>
                <w:szCs w:val="22"/>
              </w:rPr>
              <w:t>, formand</w:t>
            </w:r>
          </w:p>
        </w:tc>
        <w:tc>
          <w:tcPr>
            <w:tcW w:w="4536" w:type="dxa"/>
          </w:tcPr>
          <w:p w14:paraId="0C03C5DB" w14:textId="5F41CC06" w:rsidR="00197077" w:rsidRPr="008E13E6" w:rsidRDefault="00197077" w:rsidP="00197077">
            <w:pPr>
              <w:widowControl w:val="0"/>
              <w:ind w:left="-57"/>
              <w:rPr>
                <w:sz w:val="20"/>
                <w:szCs w:val="22"/>
              </w:rPr>
            </w:pPr>
            <w:r w:rsidRPr="008E13E6">
              <w:rPr>
                <w:sz w:val="20"/>
                <w:szCs w:val="22"/>
              </w:rPr>
              <w:t xml:space="preserve">Direktør </w:t>
            </w:r>
            <w:r w:rsidR="00090E7D">
              <w:rPr>
                <w:sz w:val="20"/>
                <w:szCs w:val="22"/>
              </w:rPr>
              <w:t>Thomas Einfeldt</w:t>
            </w:r>
            <w:r w:rsidRPr="008E13E6">
              <w:rPr>
                <w:sz w:val="20"/>
                <w:szCs w:val="22"/>
              </w:rPr>
              <w:t>, næstformand</w:t>
            </w:r>
          </w:p>
        </w:tc>
      </w:tr>
      <w:tr w:rsidR="00197077" w:rsidRPr="008E13E6" w14:paraId="4454DF32" w14:textId="77777777" w:rsidTr="006C1EF1">
        <w:tc>
          <w:tcPr>
            <w:tcW w:w="4395" w:type="dxa"/>
          </w:tcPr>
          <w:p w14:paraId="5DA29B84" w14:textId="77777777" w:rsidR="0081013F" w:rsidRDefault="008B3485" w:rsidP="001616AD">
            <w:pPr>
              <w:widowControl w:val="0"/>
              <w:ind w:left="-57"/>
              <w:rPr>
                <w:sz w:val="20"/>
                <w:szCs w:val="22"/>
              </w:rPr>
            </w:pPr>
            <w:r w:rsidRPr="008E13E6">
              <w:rPr>
                <w:sz w:val="20"/>
                <w:szCs w:val="22"/>
                <w:lang w:val="de-DE"/>
              </w:rPr>
              <w:t xml:space="preserve">Edvard Thomsens Vej 13, 10. </w:t>
            </w:r>
            <w:r w:rsidR="00D352F0" w:rsidRPr="008E13E6">
              <w:rPr>
                <w:sz w:val="20"/>
                <w:szCs w:val="22"/>
                <w:lang w:val="de-DE"/>
              </w:rPr>
              <w:t>t</w:t>
            </w:r>
            <w:r w:rsidRPr="008E13E6">
              <w:rPr>
                <w:sz w:val="20"/>
                <w:szCs w:val="22"/>
                <w:lang w:val="de-DE"/>
              </w:rPr>
              <w:t>h.</w:t>
            </w:r>
            <w:r w:rsidR="0081013F" w:rsidRPr="008E13E6">
              <w:rPr>
                <w:sz w:val="20"/>
                <w:szCs w:val="22"/>
              </w:rPr>
              <w:t xml:space="preserve"> </w:t>
            </w:r>
          </w:p>
          <w:p w14:paraId="6DB3B4D6" w14:textId="082A6648" w:rsidR="00197077" w:rsidRPr="008E13E6" w:rsidRDefault="0081013F" w:rsidP="001616AD">
            <w:pPr>
              <w:widowControl w:val="0"/>
              <w:ind w:left="-57"/>
              <w:rPr>
                <w:sz w:val="20"/>
                <w:szCs w:val="22"/>
              </w:rPr>
            </w:pPr>
            <w:r w:rsidRPr="008E13E6">
              <w:rPr>
                <w:sz w:val="20"/>
                <w:szCs w:val="22"/>
              </w:rPr>
              <w:t>2300 København S</w:t>
            </w:r>
          </w:p>
        </w:tc>
        <w:tc>
          <w:tcPr>
            <w:tcW w:w="4536" w:type="dxa"/>
          </w:tcPr>
          <w:p w14:paraId="56C2CF78" w14:textId="77777777" w:rsidR="0039546E" w:rsidRPr="0039546E" w:rsidRDefault="0039546E" w:rsidP="0039546E">
            <w:pPr>
              <w:widowControl w:val="0"/>
              <w:ind w:left="-57"/>
              <w:rPr>
                <w:sz w:val="20"/>
                <w:szCs w:val="22"/>
              </w:rPr>
            </w:pPr>
            <w:r w:rsidRPr="0039546E">
              <w:rPr>
                <w:sz w:val="20"/>
                <w:szCs w:val="22"/>
              </w:rPr>
              <w:t>Otto Brandenburgs Vej 2, 5. tv.</w:t>
            </w:r>
          </w:p>
          <w:p w14:paraId="0A9E0D3B" w14:textId="77777777" w:rsidR="0039546E" w:rsidRPr="0039546E" w:rsidRDefault="0039546E" w:rsidP="0039546E">
            <w:pPr>
              <w:widowControl w:val="0"/>
              <w:ind w:left="-57"/>
              <w:rPr>
                <w:sz w:val="20"/>
                <w:szCs w:val="22"/>
              </w:rPr>
            </w:pPr>
            <w:r w:rsidRPr="0039546E">
              <w:rPr>
                <w:sz w:val="20"/>
                <w:szCs w:val="22"/>
              </w:rPr>
              <w:t>2450 København SV</w:t>
            </w:r>
          </w:p>
          <w:p w14:paraId="222D7100" w14:textId="47EC0A11" w:rsidR="00197077" w:rsidRPr="008E13E6" w:rsidRDefault="00197077" w:rsidP="001616AD">
            <w:pPr>
              <w:widowControl w:val="0"/>
              <w:ind w:left="-57"/>
              <w:rPr>
                <w:sz w:val="20"/>
                <w:szCs w:val="22"/>
              </w:rPr>
            </w:pPr>
          </w:p>
        </w:tc>
      </w:tr>
      <w:tr w:rsidR="00197077" w:rsidRPr="008E13E6" w14:paraId="06FAC11F" w14:textId="77777777" w:rsidTr="006C1EF1">
        <w:tc>
          <w:tcPr>
            <w:tcW w:w="4395" w:type="dxa"/>
          </w:tcPr>
          <w:p w14:paraId="070364F9" w14:textId="7F3E1159" w:rsidR="00197077" w:rsidRPr="008E13E6" w:rsidRDefault="00197077" w:rsidP="001616AD">
            <w:pPr>
              <w:widowControl w:val="0"/>
              <w:ind w:left="-57"/>
              <w:rPr>
                <w:sz w:val="20"/>
                <w:szCs w:val="22"/>
                <w:lang w:val="de-DE"/>
              </w:rPr>
            </w:pPr>
          </w:p>
        </w:tc>
        <w:tc>
          <w:tcPr>
            <w:tcW w:w="4536" w:type="dxa"/>
          </w:tcPr>
          <w:p w14:paraId="284555D6" w14:textId="454B0A30" w:rsidR="00197077" w:rsidRPr="008E13E6" w:rsidRDefault="00197077" w:rsidP="001616AD">
            <w:pPr>
              <w:widowControl w:val="0"/>
              <w:ind w:left="-57"/>
              <w:rPr>
                <w:sz w:val="20"/>
                <w:szCs w:val="22"/>
                <w:lang w:val="de-DE"/>
              </w:rPr>
            </w:pPr>
          </w:p>
        </w:tc>
      </w:tr>
      <w:tr w:rsidR="00197077" w:rsidRPr="008E13E6" w14:paraId="168C3B2B" w14:textId="77777777" w:rsidTr="006C1EF1">
        <w:tc>
          <w:tcPr>
            <w:tcW w:w="4395" w:type="dxa"/>
          </w:tcPr>
          <w:p w14:paraId="1A648FE3" w14:textId="77777777" w:rsidR="00197077" w:rsidRPr="008E13E6" w:rsidRDefault="00436305" w:rsidP="001616AD">
            <w:pPr>
              <w:widowControl w:val="0"/>
              <w:ind w:left="-57"/>
              <w:rPr>
                <w:sz w:val="20"/>
                <w:szCs w:val="22"/>
              </w:rPr>
            </w:pPr>
            <w:r w:rsidRPr="008E13E6">
              <w:rPr>
                <w:sz w:val="20"/>
                <w:szCs w:val="22"/>
              </w:rPr>
              <w:t>D</w:t>
            </w:r>
            <w:r w:rsidR="00197077" w:rsidRPr="008E13E6">
              <w:rPr>
                <w:sz w:val="20"/>
                <w:szCs w:val="22"/>
              </w:rPr>
              <w:t>irektør</w:t>
            </w:r>
            <w:r w:rsidR="008B3485" w:rsidRPr="008E13E6">
              <w:rPr>
                <w:sz w:val="20"/>
                <w:szCs w:val="22"/>
              </w:rPr>
              <w:t xml:space="preserve"> Jacob Buss</w:t>
            </w:r>
            <w:r w:rsidR="00197077" w:rsidRPr="008E13E6">
              <w:rPr>
                <w:sz w:val="20"/>
                <w:szCs w:val="22"/>
              </w:rPr>
              <w:t xml:space="preserve"> </w:t>
            </w:r>
          </w:p>
        </w:tc>
        <w:tc>
          <w:tcPr>
            <w:tcW w:w="4536" w:type="dxa"/>
          </w:tcPr>
          <w:p w14:paraId="1EF0CA43" w14:textId="77777777" w:rsidR="00197077" w:rsidRPr="008E13E6" w:rsidRDefault="00197077" w:rsidP="001616AD">
            <w:pPr>
              <w:widowControl w:val="0"/>
              <w:ind w:left="-57"/>
              <w:rPr>
                <w:sz w:val="20"/>
                <w:szCs w:val="22"/>
              </w:rPr>
            </w:pPr>
          </w:p>
        </w:tc>
      </w:tr>
      <w:tr w:rsidR="00197077" w:rsidRPr="008E13E6" w14:paraId="78D67CB0" w14:textId="77777777" w:rsidTr="006C1EF1">
        <w:tc>
          <w:tcPr>
            <w:tcW w:w="4395" w:type="dxa"/>
          </w:tcPr>
          <w:p w14:paraId="1CC69765" w14:textId="77777777" w:rsidR="00197077" w:rsidRPr="008E13E6" w:rsidRDefault="008B3485" w:rsidP="001616AD">
            <w:pPr>
              <w:widowControl w:val="0"/>
              <w:ind w:left="-57"/>
              <w:rPr>
                <w:sz w:val="20"/>
                <w:szCs w:val="22"/>
                <w:lang w:val="en-US"/>
              </w:rPr>
            </w:pPr>
            <w:r w:rsidRPr="008E13E6">
              <w:rPr>
                <w:sz w:val="20"/>
                <w:szCs w:val="22"/>
              </w:rPr>
              <w:t>Lyngbyvej 331</w:t>
            </w:r>
          </w:p>
        </w:tc>
        <w:tc>
          <w:tcPr>
            <w:tcW w:w="4536" w:type="dxa"/>
          </w:tcPr>
          <w:p w14:paraId="09AACF11" w14:textId="77777777" w:rsidR="00197077" w:rsidRPr="008E13E6" w:rsidRDefault="00197077" w:rsidP="001616AD">
            <w:pPr>
              <w:widowControl w:val="0"/>
              <w:ind w:left="-57"/>
              <w:rPr>
                <w:sz w:val="20"/>
                <w:szCs w:val="22"/>
              </w:rPr>
            </w:pPr>
          </w:p>
        </w:tc>
      </w:tr>
      <w:tr w:rsidR="00197077" w:rsidRPr="008E13E6" w14:paraId="4986EC08" w14:textId="77777777" w:rsidTr="006C1EF1">
        <w:tc>
          <w:tcPr>
            <w:tcW w:w="4395" w:type="dxa"/>
          </w:tcPr>
          <w:p w14:paraId="577A7102" w14:textId="77777777" w:rsidR="00197077" w:rsidRPr="008E13E6" w:rsidRDefault="008B3485" w:rsidP="001616AD">
            <w:pPr>
              <w:widowControl w:val="0"/>
              <w:ind w:left="-57"/>
              <w:rPr>
                <w:sz w:val="20"/>
                <w:szCs w:val="22"/>
              </w:rPr>
            </w:pPr>
            <w:r w:rsidRPr="008E13E6">
              <w:rPr>
                <w:sz w:val="20"/>
                <w:szCs w:val="22"/>
              </w:rPr>
              <w:t>2820 Gentofte</w:t>
            </w:r>
          </w:p>
        </w:tc>
        <w:tc>
          <w:tcPr>
            <w:tcW w:w="4536" w:type="dxa"/>
          </w:tcPr>
          <w:p w14:paraId="0F4E4A59" w14:textId="6D5F85D5" w:rsidR="00197077" w:rsidRPr="008D2E3D" w:rsidRDefault="00197077" w:rsidP="001616AD">
            <w:pPr>
              <w:widowControl w:val="0"/>
              <w:ind w:left="-57"/>
              <w:rPr>
                <w:sz w:val="20"/>
                <w:szCs w:val="22"/>
              </w:rPr>
            </w:pPr>
          </w:p>
        </w:tc>
      </w:tr>
    </w:tbl>
    <w:p w14:paraId="5819D57B" w14:textId="77777777" w:rsidR="00C04B8F" w:rsidRPr="008E13E6" w:rsidRDefault="00C04B8F" w:rsidP="00C33F3E">
      <w:pPr>
        <w:pStyle w:val="Bo"/>
        <w:numPr>
          <w:ilvl w:val="0"/>
          <w:numId w:val="2"/>
        </w:numPr>
        <w:tabs>
          <w:tab w:val="clear" w:pos="502"/>
          <w:tab w:val="num" w:pos="284"/>
        </w:tabs>
        <w:spacing w:after="120"/>
        <w:ind w:left="142" w:hanging="142"/>
        <w:rPr>
          <w:i/>
          <w:sz w:val="20"/>
          <w:szCs w:val="22"/>
        </w:rPr>
      </w:pPr>
      <w:bookmarkStart w:id="43" w:name="_Toc443370869"/>
      <w:bookmarkStart w:id="44" w:name="_Toc9239899"/>
      <w:r w:rsidRPr="008E13E6">
        <w:rPr>
          <w:i/>
          <w:sz w:val="20"/>
          <w:szCs w:val="22"/>
        </w:rPr>
        <w:t>Foreningens Investeringsforvaltningsselskab</w:t>
      </w:r>
      <w:bookmarkEnd w:id="43"/>
      <w:bookmarkEnd w:id="44"/>
    </w:p>
    <w:tbl>
      <w:tblPr>
        <w:tblW w:w="0" w:type="auto"/>
        <w:tblLook w:val="01E0" w:firstRow="1" w:lastRow="1" w:firstColumn="1" w:lastColumn="1" w:noHBand="0" w:noVBand="0"/>
      </w:tblPr>
      <w:tblGrid>
        <w:gridCol w:w="4747"/>
        <w:gridCol w:w="4433"/>
      </w:tblGrid>
      <w:tr w:rsidR="00C04B8F" w:rsidRPr="008E13E6" w14:paraId="3357F03C" w14:textId="77777777" w:rsidTr="00C04B8F">
        <w:tc>
          <w:tcPr>
            <w:tcW w:w="4747" w:type="dxa"/>
          </w:tcPr>
          <w:p w14:paraId="721FC312" w14:textId="77777777" w:rsidR="00C04B8F" w:rsidRPr="008E13E6" w:rsidRDefault="00F93EFD" w:rsidP="00C04B8F">
            <w:pPr>
              <w:rPr>
                <w:sz w:val="20"/>
                <w:szCs w:val="22"/>
                <w:lang w:val="en-GB"/>
              </w:rPr>
            </w:pPr>
            <w:r w:rsidRPr="008E13E6">
              <w:rPr>
                <w:sz w:val="20"/>
                <w:szCs w:val="22"/>
                <w:lang w:val="en-US"/>
              </w:rPr>
              <w:t>Fundmarket A/S</w:t>
            </w:r>
          </w:p>
        </w:tc>
        <w:tc>
          <w:tcPr>
            <w:tcW w:w="4433" w:type="dxa"/>
          </w:tcPr>
          <w:p w14:paraId="478B7F40" w14:textId="3F63920A" w:rsidR="00C04B8F" w:rsidRDefault="00C04B8F" w:rsidP="00C04B8F">
            <w:pPr>
              <w:rPr>
                <w:i/>
                <w:sz w:val="20"/>
                <w:szCs w:val="22"/>
              </w:rPr>
            </w:pPr>
            <w:r w:rsidRPr="008E13E6">
              <w:rPr>
                <w:sz w:val="20"/>
                <w:szCs w:val="22"/>
              </w:rPr>
              <w:t xml:space="preserve">Se punkt </w:t>
            </w:r>
            <w:r w:rsidR="00757287" w:rsidRPr="008E13E6">
              <w:rPr>
                <w:sz w:val="20"/>
              </w:rPr>
              <w:fldChar w:fldCharType="begin"/>
            </w:r>
            <w:r w:rsidR="00757287" w:rsidRPr="008E13E6">
              <w:rPr>
                <w:sz w:val="20"/>
              </w:rPr>
              <w:instrText xml:space="preserve"> REF _Ref358903676 \r \h  \* MERGEFORMAT </w:instrText>
            </w:r>
            <w:r w:rsidR="00757287" w:rsidRPr="008E13E6">
              <w:rPr>
                <w:sz w:val="20"/>
              </w:rPr>
            </w:r>
            <w:r w:rsidR="00757287" w:rsidRPr="008E13E6">
              <w:rPr>
                <w:sz w:val="20"/>
              </w:rPr>
              <w:fldChar w:fldCharType="separate"/>
            </w:r>
            <w:r w:rsidR="00195831" w:rsidRPr="00195831">
              <w:rPr>
                <w:i/>
                <w:sz w:val="20"/>
                <w:szCs w:val="22"/>
              </w:rPr>
              <w:t>25</w:t>
            </w:r>
            <w:r w:rsidR="00757287" w:rsidRPr="008E13E6">
              <w:rPr>
                <w:sz w:val="20"/>
              </w:rPr>
              <w:fldChar w:fldCharType="end"/>
            </w:r>
            <w:r w:rsidRPr="008E13E6">
              <w:rPr>
                <w:i/>
                <w:sz w:val="20"/>
                <w:szCs w:val="22"/>
              </w:rPr>
              <w:t xml:space="preserve">. </w:t>
            </w:r>
            <w:r w:rsidR="00757287" w:rsidRPr="008E13E6">
              <w:rPr>
                <w:sz w:val="20"/>
              </w:rPr>
              <w:fldChar w:fldCharType="begin"/>
            </w:r>
            <w:r w:rsidR="00757287" w:rsidRPr="008E13E6">
              <w:rPr>
                <w:sz w:val="20"/>
              </w:rPr>
              <w:instrText xml:space="preserve"> REF _Ref358903679 \h  \* MERGEFORMAT </w:instrText>
            </w:r>
            <w:r w:rsidR="00757287" w:rsidRPr="008E13E6">
              <w:rPr>
                <w:sz w:val="20"/>
              </w:rPr>
            </w:r>
            <w:r w:rsidR="00757287" w:rsidRPr="008E13E6">
              <w:rPr>
                <w:sz w:val="20"/>
              </w:rPr>
              <w:fldChar w:fldCharType="separate"/>
            </w:r>
            <w:r w:rsidR="00195831" w:rsidRPr="008E13E6">
              <w:rPr>
                <w:i/>
                <w:sz w:val="20"/>
                <w:szCs w:val="22"/>
              </w:rPr>
              <w:t>Investeringsforvaltningsselskab</w:t>
            </w:r>
            <w:r w:rsidR="00757287" w:rsidRPr="008E13E6">
              <w:rPr>
                <w:sz w:val="20"/>
              </w:rPr>
              <w:fldChar w:fldCharType="end"/>
            </w:r>
            <w:r w:rsidRPr="008E13E6">
              <w:rPr>
                <w:i/>
                <w:sz w:val="20"/>
                <w:szCs w:val="22"/>
              </w:rPr>
              <w:t>.</w:t>
            </w:r>
          </w:p>
          <w:p w14:paraId="4D9DA1E0" w14:textId="77777777" w:rsidR="008E13E6" w:rsidRPr="008E13E6" w:rsidRDefault="008E13E6" w:rsidP="00C04B8F">
            <w:pPr>
              <w:rPr>
                <w:sz w:val="20"/>
                <w:szCs w:val="22"/>
              </w:rPr>
            </w:pPr>
          </w:p>
        </w:tc>
      </w:tr>
    </w:tbl>
    <w:p w14:paraId="4FA7E9D0" w14:textId="77777777" w:rsidR="00C04B8F" w:rsidRPr="008E13E6" w:rsidRDefault="00C04B8F" w:rsidP="00C33F3E">
      <w:pPr>
        <w:pStyle w:val="Bo"/>
        <w:numPr>
          <w:ilvl w:val="0"/>
          <w:numId w:val="2"/>
        </w:numPr>
        <w:tabs>
          <w:tab w:val="clear" w:pos="502"/>
          <w:tab w:val="num" w:pos="284"/>
        </w:tabs>
        <w:spacing w:after="120"/>
        <w:ind w:left="142" w:hanging="142"/>
        <w:rPr>
          <w:i/>
          <w:sz w:val="20"/>
          <w:szCs w:val="22"/>
        </w:rPr>
      </w:pPr>
      <w:bookmarkStart w:id="45" w:name="_Toc443370870"/>
      <w:bookmarkStart w:id="46" w:name="_Toc9239900"/>
      <w:r w:rsidRPr="008E13E6">
        <w:rPr>
          <w:i/>
          <w:sz w:val="20"/>
          <w:szCs w:val="22"/>
        </w:rPr>
        <w:lastRenderedPageBreak/>
        <w:t>Foreningens revisor</w:t>
      </w:r>
      <w:bookmarkEnd w:id="45"/>
      <w:bookmarkEnd w:id="46"/>
    </w:p>
    <w:tbl>
      <w:tblPr>
        <w:tblW w:w="4677" w:type="dxa"/>
        <w:tblInd w:w="70" w:type="dxa"/>
        <w:tblCellMar>
          <w:left w:w="70" w:type="dxa"/>
          <w:right w:w="70" w:type="dxa"/>
        </w:tblCellMar>
        <w:tblLook w:val="0000" w:firstRow="0" w:lastRow="0" w:firstColumn="0" w:lastColumn="0" w:noHBand="0" w:noVBand="0"/>
      </w:tblPr>
      <w:tblGrid>
        <w:gridCol w:w="4677"/>
      </w:tblGrid>
      <w:tr w:rsidR="001343AA" w:rsidRPr="008E13E6" w14:paraId="79210928" w14:textId="77777777" w:rsidTr="00197077">
        <w:tc>
          <w:tcPr>
            <w:tcW w:w="4677" w:type="dxa"/>
          </w:tcPr>
          <w:p w14:paraId="77C1BD5B" w14:textId="77777777" w:rsidR="00613E06" w:rsidRPr="008E13E6" w:rsidRDefault="00613E06" w:rsidP="00613E06">
            <w:pPr>
              <w:ind w:left="-57"/>
              <w:rPr>
                <w:spacing w:val="-3"/>
                <w:sz w:val="20"/>
                <w:szCs w:val="22"/>
              </w:rPr>
            </w:pPr>
            <w:r w:rsidRPr="008E13E6">
              <w:rPr>
                <w:spacing w:val="-3"/>
                <w:sz w:val="20"/>
                <w:szCs w:val="22"/>
              </w:rPr>
              <w:t>PwC Statsautoriseret Revisionspartnerselskab</w:t>
            </w:r>
          </w:p>
          <w:p w14:paraId="5E8A425E" w14:textId="77777777" w:rsidR="001343AA" w:rsidRPr="008E13E6" w:rsidRDefault="00613E06" w:rsidP="00613E06">
            <w:pPr>
              <w:ind w:left="-57"/>
              <w:rPr>
                <w:spacing w:val="-3"/>
                <w:sz w:val="20"/>
                <w:szCs w:val="22"/>
              </w:rPr>
            </w:pPr>
            <w:r w:rsidRPr="008E13E6">
              <w:rPr>
                <w:spacing w:val="-3"/>
                <w:sz w:val="20"/>
                <w:szCs w:val="22"/>
              </w:rPr>
              <w:t>Strandvejen 44</w:t>
            </w:r>
          </w:p>
        </w:tc>
      </w:tr>
      <w:tr w:rsidR="001343AA" w:rsidRPr="008E13E6" w14:paraId="749B202E" w14:textId="77777777" w:rsidTr="00197077">
        <w:tc>
          <w:tcPr>
            <w:tcW w:w="4677" w:type="dxa"/>
          </w:tcPr>
          <w:p w14:paraId="03692AC9" w14:textId="77777777" w:rsidR="00412672" w:rsidRPr="008E13E6" w:rsidRDefault="001343AA" w:rsidP="000673D4">
            <w:pPr>
              <w:ind w:left="-57"/>
              <w:rPr>
                <w:spacing w:val="-3"/>
                <w:sz w:val="20"/>
                <w:szCs w:val="22"/>
              </w:rPr>
            </w:pPr>
            <w:r w:rsidRPr="008E13E6">
              <w:rPr>
                <w:spacing w:val="-3"/>
                <w:sz w:val="20"/>
                <w:szCs w:val="22"/>
              </w:rPr>
              <w:t>2</w:t>
            </w:r>
            <w:r w:rsidR="00613E06" w:rsidRPr="008E13E6">
              <w:rPr>
                <w:spacing w:val="-3"/>
                <w:sz w:val="20"/>
                <w:szCs w:val="22"/>
              </w:rPr>
              <w:t>9</w:t>
            </w:r>
            <w:r w:rsidRPr="008E13E6">
              <w:rPr>
                <w:spacing w:val="-3"/>
                <w:sz w:val="20"/>
                <w:szCs w:val="22"/>
              </w:rPr>
              <w:t xml:space="preserve">00 </w:t>
            </w:r>
            <w:r w:rsidR="00613E06" w:rsidRPr="008E13E6">
              <w:rPr>
                <w:spacing w:val="-3"/>
                <w:sz w:val="20"/>
                <w:szCs w:val="22"/>
              </w:rPr>
              <w:t>Hellerup</w:t>
            </w:r>
          </w:p>
        </w:tc>
      </w:tr>
      <w:tr w:rsidR="001343AA" w:rsidRPr="008E13E6" w14:paraId="5A62EEAE" w14:textId="77777777" w:rsidTr="00197077">
        <w:tc>
          <w:tcPr>
            <w:tcW w:w="4677" w:type="dxa"/>
          </w:tcPr>
          <w:p w14:paraId="7E2E89A1" w14:textId="77777777" w:rsidR="001343AA" w:rsidRPr="008E13E6" w:rsidRDefault="00613E06" w:rsidP="001343AA">
            <w:pPr>
              <w:ind w:left="-57"/>
              <w:rPr>
                <w:spacing w:val="-3"/>
                <w:sz w:val="20"/>
                <w:szCs w:val="22"/>
              </w:rPr>
            </w:pPr>
            <w:r w:rsidRPr="008E13E6">
              <w:rPr>
                <w:spacing w:val="-3"/>
                <w:sz w:val="20"/>
                <w:szCs w:val="22"/>
              </w:rPr>
              <w:t>CVR-nr. 33 77 12 31</w:t>
            </w:r>
            <w:r w:rsidRPr="008E13E6">
              <w:rPr>
                <w:spacing w:val="-3"/>
                <w:sz w:val="20"/>
                <w:szCs w:val="22"/>
                <w:lang w:val="en-US"/>
              </w:rPr>
              <w:t xml:space="preserve">  </w:t>
            </w:r>
          </w:p>
        </w:tc>
      </w:tr>
    </w:tbl>
    <w:p w14:paraId="206B7988" w14:textId="77777777" w:rsidR="00C04B8F" w:rsidRPr="008E13E6" w:rsidRDefault="00C04B8F" w:rsidP="00C33F3E">
      <w:pPr>
        <w:pStyle w:val="Bo"/>
        <w:numPr>
          <w:ilvl w:val="0"/>
          <w:numId w:val="2"/>
        </w:numPr>
        <w:tabs>
          <w:tab w:val="clear" w:pos="502"/>
          <w:tab w:val="num" w:pos="284"/>
        </w:tabs>
        <w:spacing w:after="120"/>
        <w:ind w:left="142" w:hanging="142"/>
        <w:rPr>
          <w:i/>
          <w:sz w:val="20"/>
          <w:szCs w:val="22"/>
        </w:rPr>
      </w:pPr>
      <w:bookmarkStart w:id="47" w:name="_Toc443370871"/>
      <w:bookmarkStart w:id="48" w:name="_Toc9239901"/>
      <w:r w:rsidRPr="008E13E6">
        <w:rPr>
          <w:i/>
          <w:sz w:val="20"/>
          <w:szCs w:val="22"/>
        </w:rPr>
        <w:t>Foreningens tilsynsmyndighed</w:t>
      </w:r>
      <w:bookmarkEnd w:id="47"/>
      <w:bookmarkEnd w:id="48"/>
    </w:p>
    <w:tbl>
      <w:tblPr>
        <w:tblW w:w="9214" w:type="dxa"/>
        <w:tblInd w:w="108" w:type="dxa"/>
        <w:tblLook w:val="01E0" w:firstRow="1" w:lastRow="1" w:firstColumn="1" w:lastColumn="1" w:noHBand="0" w:noVBand="0"/>
      </w:tblPr>
      <w:tblGrid>
        <w:gridCol w:w="4639"/>
        <w:gridCol w:w="4575"/>
      </w:tblGrid>
      <w:tr w:rsidR="009450C8" w:rsidRPr="008E13E6" w14:paraId="7ACD4FAE" w14:textId="77777777" w:rsidTr="00197077">
        <w:tc>
          <w:tcPr>
            <w:tcW w:w="4639" w:type="dxa"/>
          </w:tcPr>
          <w:p w14:paraId="56221499" w14:textId="77777777" w:rsidR="00BC707D" w:rsidRPr="008E13E6" w:rsidRDefault="009450C8">
            <w:pPr>
              <w:ind w:left="-108"/>
              <w:rPr>
                <w:sz w:val="20"/>
                <w:szCs w:val="22"/>
              </w:rPr>
            </w:pPr>
            <w:r w:rsidRPr="008E13E6">
              <w:rPr>
                <w:sz w:val="20"/>
                <w:szCs w:val="22"/>
              </w:rPr>
              <w:t>Finanstilsynet</w:t>
            </w:r>
          </w:p>
        </w:tc>
        <w:tc>
          <w:tcPr>
            <w:tcW w:w="4575" w:type="dxa"/>
          </w:tcPr>
          <w:p w14:paraId="747D0247" w14:textId="77777777" w:rsidR="009450C8" w:rsidRPr="008E13E6" w:rsidRDefault="009450C8" w:rsidP="00433529">
            <w:pPr>
              <w:rPr>
                <w:sz w:val="20"/>
                <w:szCs w:val="22"/>
              </w:rPr>
            </w:pPr>
            <w:r w:rsidRPr="008E13E6">
              <w:rPr>
                <w:sz w:val="20"/>
                <w:szCs w:val="22"/>
              </w:rPr>
              <w:t xml:space="preserve">Tlf. </w:t>
            </w:r>
            <w:r w:rsidR="00221ED9" w:rsidRPr="008E13E6">
              <w:rPr>
                <w:sz w:val="20"/>
                <w:szCs w:val="22"/>
              </w:rPr>
              <w:t>+</w:t>
            </w:r>
            <w:r w:rsidR="007D6F92" w:rsidRPr="008E13E6">
              <w:rPr>
                <w:sz w:val="20"/>
                <w:szCs w:val="22"/>
              </w:rPr>
              <w:t xml:space="preserve">45 </w:t>
            </w:r>
            <w:r w:rsidRPr="008E13E6">
              <w:rPr>
                <w:sz w:val="20"/>
                <w:szCs w:val="22"/>
              </w:rPr>
              <w:t xml:space="preserve">33 55 82 82 </w:t>
            </w:r>
          </w:p>
        </w:tc>
      </w:tr>
      <w:tr w:rsidR="009450C8" w:rsidRPr="008E13E6" w14:paraId="24DF52BA" w14:textId="77777777" w:rsidTr="00197077">
        <w:tc>
          <w:tcPr>
            <w:tcW w:w="4639" w:type="dxa"/>
          </w:tcPr>
          <w:p w14:paraId="3176CA03" w14:textId="77777777" w:rsidR="00BC707D" w:rsidRPr="008E13E6" w:rsidRDefault="009450C8">
            <w:pPr>
              <w:ind w:left="-108"/>
              <w:rPr>
                <w:sz w:val="20"/>
                <w:szCs w:val="22"/>
              </w:rPr>
            </w:pPr>
            <w:r w:rsidRPr="008E13E6">
              <w:rPr>
                <w:sz w:val="20"/>
                <w:szCs w:val="22"/>
              </w:rPr>
              <w:t>Århusgade 110</w:t>
            </w:r>
          </w:p>
        </w:tc>
        <w:tc>
          <w:tcPr>
            <w:tcW w:w="4575" w:type="dxa"/>
          </w:tcPr>
          <w:p w14:paraId="35309C0C" w14:textId="77777777" w:rsidR="009450C8" w:rsidRPr="008E13E6" w:rsidRDefault="009450C8" w:rsidP="00433529">
            <w:pPr>
              <w:rPr>
                <w:sz w:val="20"/>
                <w:szCs w:val="22"/>
              </w:rPr>
            </w:pPr>
            <w:r w:rsidRPr="008E13E6">
              <w:rPr>
                <w:sz w:val="20"/>
                <w:szCs w:val="22"/>
              </w:rPr>
              <w:t xml:space="preserve">Fax </w:t>
            </w:r>
            <w:r w:rsidR="00221ED9" w:rsidRPr="008E13E6">
              <w:rPr>
                <w:sz w:val="20"/>
                <w:szCs w:val="22"/>
              </w:rPr>
              <w:t>+</w:t>
            </w:r>
            <w:r w:rsidR="007D6F92" w:rsidRPr="008E13E6">
              <w:rPr>
                <w:sz w:val="20"/>
                <w:szCs w:val="22"/>
              </w:rPr>
              <w:t xml:space="preserve">45 </w:t>
            </w:r>
            <w:r w:rsidRPr="008E13E6">
              <w:rPr>
                <w:sz w:val="20"/>
                <w:szCs w:val="22"/>
              </w:rPr>
              <w:t>33 55 82 00</w:t>
            </w:r>
          </w:p>
        </w:tc>
      </w:tr>
      <w:tr w:rsidR="009450C8" w:rsidRPr="008E13E6" w14:paraId="41E0E004" w14:textId="77777777" w:rsidTr="00197077">
        <w:tc>
          <w:tcPr>
            <w:tcW w:w="4639" w:type="dxa"/>
          </w:tcPr>
          <w:p w14:paraId="26755F4C" w14:textId="77777777" w:rsidR="00BC707D" w:rsidRPr="008E13E6" w:rsidRDefault="009450C8">
            <w:pPr>
              <w:ind w:left="-108"/>
              <w:rPr>
                <w:sz w:val="20"/>
                <w:szCs w:val="22"/>
              </w:rPr>
            </w:pPr>
            <w:r w:rsidRPr="008E13E6">
              <w:rPr>
                <w:sz w:val="20"/>
                <w:szCs w:val="22"/>
              </w:rPr>
              <w:t>2100 København Ø</w:t>
            </w:r>
          </w:p>
        </w:tc>
        <w:tc>
          <w:tcPr>
            <w:tcW w:w="4575" w:type="dxa"/>
          </w:tcPr>
          <w:p w14:paraId="7FD5A326" w14:textId="30A44BA2" w:rsidR="009450C8" w:rsidRPr="008E13E6" w:rsidRDefault="00A11101" w:rsidP="00433529">
            <w:pPr>
              <w:rPr>
                <w:sz w:val="20"/>
                <w:szCs w:val="22"/>
              </w:rPr>
            </w:pPr>
            <w:hyperlink r:id="rId9" w:history="1">
              <w:r w:rsidR="009450C8" w:rsidRPr="008E13E6">
                <w:rPr>
                  <w:rStyle w:val="Hyperlink"/>
                  <w:color w:val="auto"/>
                  <w:sz w:val="20"/>
                  <w:szCs w:val="22"/>
                  <w:u w:val="none"/>
                </w:rPr>
                <w:t>www.ftnet.dk</w:t>
              </w:r>
            </w:hyperlink>
          </w:p>
        </w:tc>
      </w:tr>
    </w:tbl>
    <w:p w14:paraId="6AFED2FD" w14:textId="42190C13" w:rsidR="00C04B8F" w:rsidRPr="008E13E6" w:rsidRDefault="00C04B8F" w:rsidP="00C33F3E">
      <w:pPr>
        <w:pStyle w:val="Bo"/>
        <w:numPr>
          <w:ilvl w:val="0"/>
          <w:numId w:val="2"/>
        </w:numPr>
        <w:tabs>
          <w:tab w:val="clear" w:pos="502"/>
          <w:tab w:val="num" w:pos="284"/>
        </w:tabs>
        <w:spacing w:after="120"/>
        <w:ind w:left="142" w:hanging="142"/>
        <w:rPr>
          <w:i/>
          <w:sz w:val="20"/>
          <w:szCs w:val="22"/>
        </w:rPr>
      </w:pPr>
      <w:bookmarkStart w:id="49" w:name="_Toc443370872"/>
      <w:bookmarkStart w:id="50" w:name="_Toc9239902"/>
      <w:bookmarkStart w:id="51" w:name="_Toc170528758"/>
      <w:bookmarkStart w:id="52" w:name="_Toc170528941"/>
      <w:bookmarkStart w:id="53" w:name="_Toc357087593"/>
      <w:bookmarkStart w:id="54" w:name="_Toc413407253"/>
      <w:bookmarkEnd w:id="39"/>
      <w:r w:rsidRPr="008E13E6">
        <w:rPr>
          <w:i/>
          <w:sz w:val="20"/>
          <w:szCs w:val="22"/>
        </w:rPr>
        <w:t xml:space="preserve">Foreningens </w:t>
      </w:r>
      <w:bookmarkEnd w:id="49"/>
      <w:r w:rsidR="00122C13" w:rsidRPr="008E13E6">
        <w:rPr>
          <w:i/>
          <w:sz w:val="20"/>
          <w:szCs w:val="22"/>
        </w:rPr>
        <w:t>finanskalender</w:t>
      </w:r>
      <w:bookmarkEnd w:id="50"/>
    </w:p>
    <w:tbl>
      <w:tblPr>
        <w:tblW w:w="0" w:type="auto"/>
        <w:tblInd w:w="108" w:type="dxa"/>
        <w:tblLook w:val="01E0" w:firstRow="1" w:lastRow="1" w:firstColumn="1" w:lastColumn="1" w:noHBand="0" w:noVBand="0"/>
      </w:tblPr>
      <w:tblGrid>
        <w:gridCol w:w="4568"/>
        <w:gridCol w:w="4679"/>
      </w:tblGrid>
      <w:tr w:rsidR="00D5393E" w:rsidRPr="008E13E6" w14:paraId="1FDF72FF" w14:textId="77777777" w:rsidTr="00A91D4B">
        <w:tc>
          <w:tcPr>
            <w:tcW w:w="4568" w:type="dxa"/>
          </w:tcPr>
          <w:p w14:paraId="4CF1366F" w14:textId="6C0FA764" w:rsidR="00D5393E" w:rsidRPr="008E13E6" w:rsidRDefault="00430B01" w:rsidP="00D5393E">
            <w:pPr>
              <w:ind w:left="-108"/>
              <w:rPr>
                <w:sz w:val="20"/>
                <w:szCs w:val="22"/>
              </w:rPr>
            </w:pPr>
            <w:r>
              <w:rPr>
                <w:sz w:val="20"/>
                <w:szCs w:val="22"/>
              </w:rPr>
              <w:t>7. marts</w:t>
            </w:r>
            <w:r w:rsidRPr="008E13E6">
              <w:rPr>
                <w:sz w:val="20"/>
                <w:szCs w:val="22"/>
              </w:rPr>
              <w:t xml:space="preserve"> </w:t>
            </w:r>
            <w:r w:rsidR="00613E06" w:rsidRPr="008E13E6">
              <w:rPr>
                <w:sz w:val="20"/>
                <w:szCs w:val="22"/>
              </w:rPr>
              <w:t>2019</w:t>
            </w:r>
            <w:r w:rsidR="00D5393E" w:rsidRPr="008E13E6">
              <w:rPr>
                <w:sz w:val="20"/>
                <w:szCs w:val="22"/>
              </w:rPr>
              <w:t>:</w:t>
            </w:r>
          </w:p>
        </w:tc>
        <w:tc>
          <w:tcPr>
            <w:tcW w:w="4679" w:type="dxa"/>
          </w:tcPr>
          <w:p w14:paraId="5CC22A59" w14:textId="77777777" w:rsidR="00D5393E" w:rsidRPr="008E13E6" w:rsidRDefault="00613E06" w:rsidP="00D5393E">
            <w:pPr>
              <w:rPr>
                <w:sz w:val="20"/>
                <w:szCs w:val="22"/>
              </w:rPr>
            </w:pPr>
            <w:r w:rsidRPr="008E13E6">
              <w:rPr>
                <w:sz w:val="20"/>
                <w:szCs w:val="22"/>
              </w:rPr>
              <w:t>Årsrapport 2018</w:t>
            </w:r>
          </w:p>
        </w:tc>
      </w:tr>
      <w:tr w:rsidR="008953D4" w:rsidRPr="008E13E6" w14:paraId="554848B0" w14:textId="77777777" w:rsidTr="008953D4">
        <w:tc>
          <w:tcPr>
            <w:tcW w:w="4568" w:type="dxa"/>
          </w:tcPr>
          <w:p w14:paraId="5A4B723B" w14:textId="30892BB5" w:rsidR="008953D4" w:rsidRPr="008E13E6" w:rsidRDefault="00430B01" w:rsidP="00625A47">
            <w:pPr>
              <w:ind w:left="-108"/>
              <w:rPr>
                <w:sz w:val="20"/>
                <w:szCs w:val="22"/>
              </w:rPr>
            </w:pPr>
            <w:r>
              <w:rPr>
                <w:sz w:val="20"/>
                <w:szCs w:val="22"/>
              </w:rPr>
              <w:t>26. april</w:t>
            </w:r>
            <w:r w:rsidRPr="008E13E6">
              <w:rPr>
                <w:sz w:val="20"/>
                <w:szCs w:val="22"/>
              </w:rPr>
              <w:t xml:space="preserve"> </w:t>
            </w:r>
            <w:r w:rsidR="008953D4" w:rsidRPr="008E13E6">
              <w:rPr>
                <w:sz w:val="20"/>
                <w:szCs w:val="22"/>
              </w:rPr>
              <w:t>2019:</w:t>
            </w:r>
          </w:p>
        </w:tc>
        <w:tc>
          <w:tcPr>
            <w:tcW w:w="4679" w:type="dxa"/>
          </w:tcPr>
          <w:p w14:paraId="1B6A3A38" w14:textId="77777777" w:rsidR="008953D4" w:rsidRPr="008E13E6" w:rsidRDefault="008953D4" w:rsidP="00625A47">
            <w:pPr>
              <w:rPr>
                <w:sz w:val="20"/>
                <w:szCs w:val="22"/>
              </w:rPr>
            </w:pPr>
            <w:r w:rsidRPr="008E13E6">
              <w:rPr>
                <w:sz w:val="20"/>
                <w:szCs w:val="22"/>
              </w:rPr>
              <w:t>Ordinær generalforsamling</w:t>
            </w:r>
          </w:p>
        </w:tc>
      </w:tr>
      <w:tr w:rsidR="00C04B8F" w:rsidRPr="008E13E6" w14:paraId="0029303F" w14:textId="77777777" w:rsidTr="00A91D4B">
        <w:tc>
          <w:tcPr>
            <w:tcW w:w="4568" w:type="dxa"/>
          </w:tcPr>
          <w:p w14:paraId="511979AE" w14:textId="18FEC5CA" w:rsidR="00C04B8F" w:rsidRPr="008E13E6" w:rsidRDefault="00430B01" w:rsidP="00D5393E">
            <w:pPr>
              <w:ind w:left="-108"/>
              <w:rPr>
                <w:sz w:val="20"/>
                <w:szCs w:val="22"/>
              </w:rPr>
            </w:pPr>
            <w:r>
              <w:rPr>
                <w:sz w:val="20"/>
                <w:szCs w:val="22"/>
              </w:rPr>
              <w:t>22. a</w:t>
            </w:r>
            <w:r w:rsidRPr="008E13E6">
              <w:rPr>
                <w:sz w:val="20"/>
                <w:szCs w:val="22"/>
              </w:rPr>
              <w:t xml:space="preserve">ugust </w:t>
            </w:r>
            <w:r w:rsidR="00C04B8F" w:rsidRPr="008E13E6">
              <w:rPr>
                <w:sz w:val="20"/>
                <w:szCs w:val="22"/>
              </w:rPr>
              <w:t>201</w:t>
            </w:r>
            <w:r w:rsidR="00613E06" w:rsidRPr="008E13E6">
              <w:rPr>
                <w:sz w:val="20"/>
                <w:szCs w:val="22"/>
              </w:rPr>
              <w:t>9</w:t>
            </w:r>
            <w:r w:rsidR="00C04B8F" w:rsidRPr="008E13E6">
              <w:rPr>
                <w:sz w:val="20"/>
                <w:szCs w:val="22"/>
              </w:rPr>
              <w:t>:</w:t>
            </w:r>
          </w:p>
        </w:tc>
        <w:tc>
          <w:tcPr>
            <w:tcW w:w="4679" w:type="dxa"/>
          </w:tcPr>
          <w:p w14:paraId="595DD7B5" w14:textId="77777777" w:rsidR="00C04B8F" w:rsidRPr="008E13E6" w:rsidRDefault="00C04B8F" w:rsidP="00C04B8F">
            <w:pPr>
              <w:rPr>
                <w:sz w:val="20"/>
                <w:szCs w:val="22"/>
              </w:rPr>
            </w:pPr>
            <w:r w:rsidRPr="008E13E6">
              <w:rPr>
                <w:sz w:val="20"/>
                <w:szCs w:val="22"/>
              </w:rPr>
              <w:t>Halvårsrapport</w:t>
            </w:r>
          </w:p>
        </w:tc>
      </w:tr>
    </w:tbl>
    <w:p w14:paraId="472C8D2B" w14:textId="77777777" w:rsidR="00D63BD8" w:rsidRPr="008E13E6" w:rsidRDefault="00D63BD8" w:rsidP="000D39B7">
      <w:pPr>
        <w:rPr>
          <w:sz w:val="20"/>
          <w:szCs w:val="22"/>
        </w:rPr>
      </w:pPr>
    </w:p>
    <w:p w14:paraId="133091E0" w14:textId="77777777" w:rsidR="00D63BD8" w:rsidRPr="008E13E6" w:rsidRDefault="00D63BD8" w:rsidP="000D39B7">
      <w:pPr>
        <w:rPr>
          <w:sz w:val="20"/>
          <w:szCs w:val="22"/>
        </w:rPr>
      </w:pPr>
    </w:p>
    <w:p w14:paraId="78259D1E" w14:textId="0D875166" w:rsidR="000D39B7" w:rsidRPr="008E13E6" w:rsidRDefault="000D39B7" w:rsidP="000D39B7">
      <w:pPr>
        <w:rPr>
          <w:sz w:val="20"/>
        </w:rPr>
      </w:pPr>
      <w:r w:rsidRPr="008E13E6">
        <w:rPr>
          <w:sz w:val="20"/>
        </w:rPr>
        <w:br w:type="page"/>
      </w:r>
    </w:p>
    <w:p w14:paraId="56098135" w14:textId="77777777" w:rsidR="009450C8" w:rsidRPr="008E13E6" w:rsidRDefault="009450C8" w:rsidP="00DE7AEF">
      <w:pPr>
        <w:pStyle w:val="Overskrift2"/>
        <w:numPr>
          <w:ilvl w:val="0"/>
          <w:numId w:val="0"/>
        </w:numPr>
        <w:pBdr>
          <w:bottom w:val="single" w:sz="4" w:space="1" w:color="auto"/>
        </w:pBdr>
        <w:spacing w:before="360"/>
        <w:jc w:val="center"/>
        <w:rPr>
          <w:rFonts w:ascii="Times New Roman" w:hAnsi="Times New Roman"/>
          <w:bCs/>
          <w:i w:val="0"/>
          <w:iCs/>
          <w:color w:val="002060"/>
          <w:sz w:val="24"/>
          <w:szCs w:val="28"/>
        </w:rPr>
      </w:pPr>
      <w:bookmarkStart w:id="55" w:name="_Toc443370873"/>
      <w:bookmarkStart w:id="56" w:name="_Toc9239903"/>
      <w:r w:rsidRPr="008E13E6">
        <w:rPr>
          <w:rFonts w:ascii="Times New Roman" w:hAnsi="Times New Roman"/>
          <w:i w:val="0"/>
          <w:color w:val="002060"/>
          <w:sz w:val="24"/>
          <w:szCs w:val="28"/>
        </w:rPr>
        <w:lastRenderedPageBreak/>
        <w:t>Afdelingens investeringsforhold, risici m</w:t>
      </w:r>
      <w:r w:rsidR="00D63BD8" w:rsidRPr="008E13E6">
        <w:rPr>
          <w:rFonts w:ascii="Times New Roman" w:hAnsi="Times New Roman"/>
          <w:i w:val="0"/>
          <w:color w:val="002060"/>
          <w:sz w:val="24"/>
          <w:szCs w:val="28"/>
        </w:rPr>
        <w:t>.v.</w:t>
      </w:r>
      <w:bookmarkEnd w:id="51"/>
      <w:bookmarkEnd w:id="52"/>
      <w:bookmarkEnd w:id="53"/>
      <w:bookmarkEnd w:id="54"/>
      <w:bookmarkEnd w:id="55"/>
      <w:bookmarkEnd w:id="56"/>
    </w:p>
    <w:p w14:paraId="45AEAB17"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57" w:name="_Ref71099222"/>
      <w:bookmarkStart w:id="58" w:name="_Ref85431175"/>
      <w:bookmarkStart w:id="59" w:name="_Ref110764739"/>
      <w:bookmarkStart w:id="60" w:name="_Ref111013919"/>
      <w:bookmarkStart w:id="61" w:name="_Toc208144087"/>
      <w:bookmarkStart w:id="62" w:name="_Ref382321179"/>
      <w:bookmarkStart w:id="63" w:name="_Ref382321183"/>
      <w:bookmarkStart w:id="64" w:name="_Toc395703409"/>
      <w:bookmarkStart w:id="65" w:name="_Toc414000030"/>
      <w:bookmarkStart w:id="66" w:name="_Ref414002809"/>
      <w:bookmarkStart w:id="67" w:name="_Ref414002811"/>
      <w:bookmarkStart w:id="68" w:name="_Toc443370874"/>
      <w:bookmarkStart w:id="69" w:name="_Ref523434089"/>
      <w:bookmarkStart w:id="70" w:name="_Ref523434090"/>
      <w:bookmarkStart w:id="71" w:name="_Toc9239904"/>
      <w:r w:rsidRPr="008E13E6">
        <w:rPr>
          <w:i/>
          <w:sz w:val="20"/>
          <w:szCs w:val="22"/>
        </w:rPr>
        <w:t>Afdeling</w:t>
      </w:r>
      <w:bookmarkEnd w:id="57"/>
      <w:bookmarkEnd w:id="58"/>
      <w:bookmarkEnd w:id="59"/>
      <w:bookmarkEnd w:id="60"/>
      <w:bookmarkEnd w:id="61"/>
      <w:bookmarkEnd w:id="62"/>
      <w:bookmarkEnd w:id="63"/>
      <w:bookmarkEnd w:id="64"/>
      <w:bookmarkEnd w:id="65"/>
      <w:bookmarkEnd w:id="66"/>
      <w:bookmarkEnd w:id="67"/>
      <w:bookmarkEnd w:id="68"/>
      <w:r w:rsidR="009C3621" w:rsidRPr="008E13E6">
        <w:rPr>
          <w:i/>
          <w:sz w:val="20"/>
          <w:szCs w:val="22"/>
        </w:rPr>
        <w:t xml:space="preserve"> og ande</w:t>
      </w:r>
      <w:r w:rsidR="003D49F1" w:rsidRPr="008E13E6">
        <w:rPr>
          <w:i/>
          <w:sz w:val="20"/>
          <w:szCs w:val="22"/>
        </w:rPr>
        <w:t>l</w:t>
      </w:r>
      <w:r w:rsidR="001006B9" w:rsidRPr="008E13E6">
        <w:rPr>
          <w:i/>
          <w:sz w:val="20"/>
          <w:szCs w:val="22"/>
        </w:rPr>
        <w:t>sklasse</w:t>
      </w:r>
      <w:bookmarkEnd w:id="69"/>
      <w:bookmarkEnd w:id="70"/>
      <w:bookmarkEnd w:id="71"/>
    </w:p>
    <w:p w14:paraId="58E66D37" w14:textId="3D4D7375" w:rsidR="000C416B" w:rsidRPr="008E13E6" w:rsidRDefault="009450C8" w:rsidP="007F6B2B">
      <w:pPr>
        <w:rPr>
          <w:sz w:val="20"/>
          <w:szCs w:val="22"/>
        </w:rPr>
      </w:pPr>
      <w:r w:rsidRPr="008E13E6">
        <w:rPr>
          <w:sz w:val="20"/>
          <w:szCs w:val="22"/>
        </w:rPr>
        <w:t>Afdeling</w:t>
      </w:r>
      <w:r w:rsidR="001006B9" w:rsidRPr="008E13E6">
        <w:rPr>
          <w:sz w:val="20"/>
          <w:szCs w:val="22"/>
        </w:rPr>
        <w:t xml:space="preserve"> PP Capital – BASIS KL</w:t>
      </w:r>
      <w:r w:rsidRPr="008E13E6">
        <w:rPr>
          <w:sz w:val="20"/>
          <w:szCs w:val="22"/>
        </w:rPr>
        <w:t xml:space="preserve"> er stiftet</w:t>
      </w:r>
      <w:r w:rsidR="00F76A0D" w:rsidRPr="008E13E6">
        <w:rPr>
          <w:sz w:val="20"/>
          <w:szCs w:val="22"/>
        </w:rPr>
        <w:t xml:space="preserve"> den</w:t>
      </w:r>
      <w:r w:rsidRPr="008E13E6">
        <w:rPr>
          <w:sz w:val="20"/>
          <w:szCs w:val="22"/>
        </w:rPr>
        <w:t xml:space="preserve"> </w:t>
      </w:r>
      <w:r w:rsidR="00613E06" w:rsidRPr="008E13E6">
        <w:rPr>
          <w:sz w:val="20"/>
          <w:szCs w:val="22"/>
        </w:rPr>
        <w:t>22</w:t>
      </w:r>
      <w:r w:rsidRPr="008E13E6">
        <w:rPr>
          <w:sz w:val="20"/>
          <w:szCs w:val="22"/>
        </w:rPr>
        <w:t xml:space="preserve">. </w:t>
      </w:r>
      <w:r w:rsidR="00690386" w:rsidRPr="008E13E6">
        <w:rPr>
          <w:sz w:val="20"/>
          <w:szCs w:val="22"/>
        </w:rPr>
        <w:t>februar</w:t>
      </w:r>
      <w:r w:rsidR="00363888" w:rsidRPr="008E13E6">
        <w:rPr>
          <w:sz w:val="20"/>
          <w:szCs w:val="22"/>
        </w:rPr>
        <w:t xml:space="preserve"> </w:t>
      </w:r>
      <w:r w:rsidRPr="008E13E6">
        <w:rPr>
          <w:sz w:val="20"/>
          <w:szCs w:val="22"/>
        </w:rPr>
        <w:t>201</w:t>
      </w:r>
      <w:r w:rsidR="00690386" w:rsidRPr="008E13E6">
        <w:rPr>
          <w:sz w:val="20"/>
          <w:szCs w:val="22"/>
        </w:rPr>
        <w:t>8</w:t>
      </w:r>
      <w:r w:rsidR="004E7B4B" w:rsidRPr="008E13E6">
        <w:rPr>
          <w:sz w:val="20"/>
          <w:szCs w:val="22"/>
        </w:rPr>
        <w:t xml:space="preserve">. </w:t>
      </w:r>
    </w:p>
    <w:p w14:paraId="1AF8CB59" w14:textId="77777777" w:rsidR="00D26CE8" w:rsidRPr="008E13E6" w:rsidRDefault="00D26CE8" w:rsidP="00D26CE8">
      <w:pPr>
        <w:spacing w:before="120"/>
        <w:rPr>
          <w:sz w:val="20"/>
          <w:szCs w:val="22"/>
        </w:rPr>
      </w:pPr>
      <w:r w:rsidRPr="008E13E6">
        <w:rPr>
          <w:sz w:val="20"/>
          <w:szCs w:val="22"/>
        </w:rPr>
        <w:t>Afdelingens midler skal anbringes i overensstemmelse med reglerne i afsnit IX i lov om investeringsforeninger m.v.</w:t>
      </w:r>
    </w:p>
    <w:p w14:paraId="559DCC2E" w14:textId="77777777" w:rsidR="005D18C4" w:rsidRPr="008E13E6" w:rsidRDefault="005D18C4" w:rsidP="00D45838">
      <w:pPr>
        <w:spacing w:before="120"/>
        <w:rPr>
          <w:sz w:val="20"/>
          <w:szCs w:val="22"/>
        </w:rPr>
      </w:pPr>
      <w:r w:rsidRPr="008E13E6">
        <w:rPr>
          <w:sz w:val="20"/>
          <w:szCs w:val="22"/>
        </w:rPr>
        <w:t xml:space="preserve">Bestyrelsen har den 13. marts 2018 </w:t>
      </w:r>
      <w:r w:rsidR="00B73DA9" w:rsidRPr="008E13E6">
        <w:rPr>
          <w:sz w:val="20"/>
          <w:szCs w:val="22"/>
        </w:rPr>
        <w:t xml:space="preserve">og 7. marts 2019 </w:t>
      </w:r>
      <w:r w:rsidRPr="008E13E6">
        <w:rPr>
          <w:sz w:val="20"/>
          <w:szCs w:val="22"/>
        </w:rPr>
        <w:t>besluttet at oprette</w:t>
      </w:r>
      <w:r w:rsidR="00B73DA9" w:rsidRPr="008E13E6">
        <w:rPr>
          <w:sz w:val="20"/>
          <w:szCs w:val="22"/>
        </w:rPr>
        <w:t xml:space="preserve"> henholdsvis ændre navnet for</w:t>
      </w:r>
      <w:r w:rsidRPr="008E13E6">
        <w:rPr>
          <w:sz w:val="20"/>
          <w:szCs w:val="22"/>
        </w:rPr>
        <w:t xml:space="preserve"> andelsklasse</w:t>
      </w:r>
      <w:r w:rsidR="003B47B1" w:rsidRPr="008E13E6">
        <w:rPr>
          <w:sz w:val="20"/>
          <w:szCs w:val="22"/>
        </w:rPr>
        <w:t xml:space="preserve">n </w:t>
      </w:r>
      <w:r w:rsidR="00B73DA9" w:rsidRPr="008E13E6">
        <w:rPr>
          <w:sz w:val="20"/>
          <w:szCs w:val="22"/>
        </w:rPr>
        <w:t xml:space="preserve">til </w:t>
      </w:r>
      <w:r w:rsidRPr="008E13E6">
        <w:rPr>
          <w:sz w:val="20"/>
          <w:szCs w:val="22"/>
        </w:rPr>
        <w:t xml:space="preserve">PP Capital – </w:t>
      </w:r>
      <w:r w:rsidR="009C3621" w:rsidRPr="008E13E6">
        <w:rPr>
          <w:sz w:val="20"/>
          <w:szCs w:val="22"/>
        </w:rPr>
        <w:t>BASIS, kl n</w:t>
      </w:r>
      <w:r w:rsidR="001006B9" w:rsidRPr="008E13E6">
        <w:rPr>
          <w:sz w:val="20"/>
          <w:szCs w:val="22"/>
        </w:rPr>
        <w:t xml:space="preserve"> EUR</w:t>
      </w:r>
      <w:r w:rsidR="003B47B1" w:rsidRPr="008E13E6">
        <w:rPr>
          <w:sz w:val="20"/>
          <w:szCs w:val="22"/>
        </w:rPr>
        <w:t>.</w:t>
      </w:r>
      <w:r w:rsidR="001E65F9" w:rsidRPr="008E13E6">
        <w:rPr>
          <w:sz w:val="20"/>
          <w:szCs w:val="22"/>
        </w:rPr>
        <w:t xml:space="preserve"> Andelsklassen er denomineret i </w:t>
      </w:r>
      <w:r w:rsidR="003D49F1" w:rsidRPr="008E13E6">
        <w:rPr>
          <w:sz w:val="20"/>
          <w:szCs w:val="22"/>
        </w:rPr>
        <w:t>euro</w:t>
      </w:r>
      <w:r w:rsidR="00FF24E9" w:rsidRPr="008E13E6">
        <w:rPr>
          <w:sz w:val="20"/>
          <w:szCs w:val="22"/>
        </w:rPr>
        <w:t xml:space="preserve"> og vil blive markedsført over for detailinvestorer. </w:t>
      </w:r>
      <w:r w:rsidR="001E65F9" w:rsidRPr="008E13E6">
        <w:rPr>
          <w:sz w:val="20"/>
          <w:szCs w:val="22"/>
        </w:rPr>
        <w:t xml:space="preserve"> </w:t>
      </w:r>
    </w:p>
    <w:p w14:paraId="21AED90E" w14:textId="1B234408" w:rsidR="00EA7E3C" w:rsidRPr="008E13E6" w:rsidRDefault="00565E8F" w:rsidP="00607945">
      <w:pPr>
        <w:autoSpaceDE w:val="0"/>
        <w:autoSpaceDN w:val="0"/>
        <w:adjustRightInd w:val="0"/>
        <w:spacing w:before="120" w:after="120"/>
        <w:rPr>
          <w:sz w:val="20"/>
          <w:szCs w:val="22"/>
        </w:rPr>
      </w:pPr>
      <w:r w:rsidRPr="008E13E6">
        <w:rPr>
          <w:sz w:val="20"/>
          <w:szCs w:val="22"/>
        </w:rPr>
        <w:t>Afdelingen</w:t>
      </w:r>
      <w:r w:rsidR="005D18C4" w:rsidRPr="008E13E6">
        <w:rPr>
          <w:sz w:val="20"/>
          <w:szCs w:val="22"/>
        </w:rPr>
        <w:t xml:space="preserve">/andelsklassen </w:t>
      </w:r>
      <w:r w:rsidRPr="008E13E6">
        <w:rPr>
          <w:sz w:val="20"/>
          <w:szCs w:val="22"/>
        </w:rPr>
        <w:t xml:space="preserve">er akkumulerende og certifikatudstedende. Afdelingen er omfattet af aktieavancebeskatningslovens § 19, hvilket indebærer særlige skatteregler, jf. punkt </w:t>
      </w:r>
      <w:r w:rsidRPr="008E13E6">
        <w:rPr>
          <w:i/>
          <w:sz w:val="20"/>
          <w:szCs w:val="22"/>
        </w:rPr>
        <w:t>14. Beskatning hos investorerne</w:t>
      </w:r>
      <w:r w:rsidRPr="008E13E6">
        <w:rPr>
          <w:sz w:val="20"/>
          <w:szCs w:val="22"/>
        </w:rPr>
        <w:t xml:space="preserve">. </w:t>
      </w:r>
      <w:r w:rsidR="001D187F" w:rsidRPr="008E13E6">
        <w:rPr>
          <w:sz w:val="20"/>
          <w:szCs w:val="22"/>
        </w:rPr>
        <w:t>Afdelinge</w:t>
      </w:r>
      <w:r w:rsidR="00690386" w:rsidRPr="008E13E6">
        <w:rPr>
          <w:sz w:val="20"/>
          <w:szCs w:val="22"/>
        </w:rPr>
        <w:t>n</w:t>
      </w:r>
      <w:r w:rsidR="005D18C4" w:rsidRPr="008E13E6">
        <w:rPr>
          <w:sz w:val="20"/>
          <w:szCs w:val="22"/>
        </w:rPr>
        <w:t xml:space="preserve">/andelsklassen </w:t>
      </w:r>
      <w:r w:rsidR="00690386" w:rsidRPr="008E13E6">
        <w:rPr>
          <w:sz w:val="20"/>
          <w:szCs w:val="22"/>
        </w:rPr>
        <w:t>har intet benchmark</w:t>
      </w:r>
      <w:r w:rsidR="001D187F" w:rsidRPr="008E13E6">
        <w:rPr>
          <w:sz w:val="20"/>
          <w:szCs w:val="22"/>
        </w:rPr>
        <w:t xml:space="preserve">, </w:t>
      </w:r>
      <w:r w:rsidR="00690386" w:rsidRPr="008E13E6">
        <w:rPr>
          <w:sz w:val="20"/>
          <w:szCs w:val="22"/>
        </w:rPr>
        <w:t xml:space="preserve">idet </w:t>
      </w:r>
      <w:r w:rsidR="001D187F" w:rsidRPr="008E13E6">
        <w:rPr>
          <w:sz w:val="20"/>
          <w:szCs w:val="22"/>
        </w:rPr>
        <w:t>der ikke findes et velegnet indeks</w:t>
      </w:r>
      <w:r w:rsidR="00690386" w:rsidRPr="008E13E6">
        <w:rPr>
          <w:sz w:val="20"/>
          <w:szCs w:val="22"/>
        </w:rPr>
        <w:t xml:space="preserve"> for d</w:t>
      </w:r>
      <w:r w:rsidRPr="008E13E6">
        <w:rPr>
          <w:sz w:val="20"/>
          <w:szCs w:val="22"/>
        </w:rPr>
        <w:t>enne</w:t>
      </w:r>
      <w:r w:rsidR="001D187F" w:rsidRPr="008E13E6">
        <w:rPr>
          <w:sz w:val="20"/>
          <w:szCs w:val="22"/>
        </w:rPr>
        <w:t xml:space="preserve">. Målet for </w:t>
      </w:r>
      <w:r w:rsidRPr="008E13E6">
        <w:rPr>
          <w:sz w:val="20"/>
          <w:szCs w:val="22"/>
        </w:rPr>
        <w:t xml:space="preserve">en </w:t>
      </w:r>
      <w:r w:rsidR="001D187F" w:rsidRPr="008E13E6">
        <w:rPr>
          <w:sz w:val="20"/>
          <w:szCs w:val="22"/>
        </w:rPr>
        <w:t xml:space="preserve">afdeling uden benchmark, er </w:t>
      </w:r>
      <w:bookmarkStart w:id="72" w:name="_Hlk3369470"/>
      <w:r w:rsidR="00711863">
        <w:t xml:space="preserve">skabe bedst mulig balance mellem det langsigtede afkast </w:t>
      </w:r>
      <w:bookmarkEnd w:id="72"/>
      <w:r w:rsidR="001D187F" w:rsidRPr="008E13E6">
        <w:rPr>
          <w:sz w:val="20"/>
          <w:szCs w:val="22"/>
        </w:rPr>
        <w:t>under hensyntagen til afdelingens risiko.</w:t>
      </w:r>
    </w:p>
    <w:p w14:paraId="4BC9A77B" w14:textId="6C26C392" w:rsidR="00493AFE" w:rsidRPr="008E13E6" w:rsidRDefault="009450C8" w:rsidP="000673D4">
      <w:pPr>
        <w:spacing w:after="120"/>
        <w:rPr>
          <w:sz w:val="20"/>
          <w:szCs w:val="22"/>
        </w:rPr>
      </w:pPr>
      <w:r w:rsidRPr="008E13E6">
        <w:rPr>
          <w:sz w:val="20"/>
          <w:szCs w:val="22"/>
        </w:rPr>
        <w:t>Yderligere opl</w:t>
      </w:r>
      <w:r w:rsidR="00ED0C3F" w:rsidRPr="008E13E6">
        <w:rPr>
          <w:sz w:val="20"/>
          <w:szCs w:val="22"/>
        </w:rPr>
        <w:t>ysninger om de i afdelingsafsnittet om</w:t>
      </w:r>
      <w:r w:rsidRPr="008E13E6">
        <w:rPr>
          <w:sz w:val="20"/>
          <w:szCs w:val="22"/>
        </w:rPr>
        <w:t xml:space="preserve">talte kvantitative grænser og om de metoder, investeringsforvaltningsselskabet anvender med henblik på at sikre overholdelse af disse grænser, kan rekvireres ved at kontakte </w:t>
      </w:r>
      <w:r w:rsidR="00F93EFD" w:rsidRPr="008E13E6">
        <w:rPr>
          <w:sz w:val="20"/>
          <w:szCs w:val="22"/>
        </w:rPr>
        <w:t>Fundmarket A/S</w:t>
      </w:r>
      <w:r w:rsidRPr="008E13E6">
        <w:rPr>
          <w:sz w:val="20"/>
          <w:szCs w:val="22"/>
        </w:rPr>
        <w:t xml:space="preserve">. </w:t>
      </w:r>
      <w:r w:rsidR="007E5D5A" w:rsidRPr="007E5D5A">
        <w:rPr>
          <w:sz w:val="20"/>
          <w:szCs w:val="22"/>
        </w:rPr>
        <w:t>Informationer som er intern viden skal offentliggøres til markedet og kan derfor ikke rekvireres hos Fundmarket før offentliggørelse.</w:t>
      </w:r>
      <w:r w:rsidR="007E5D5A">
        <w:rPr>
          <w:sz w:val="20"/>
          <w:szCs w:val="22"/>
        </w:rPr>
        <w:t xml:space="preserve"> </w:t>
      </w:r>
      <w:r w:rsidR="00F76A0D" w:rsidRPr="008E13E6">
        <w:rPr>
          <w:sz w:val="20"/>
          <w:szCs w:val="22"/>
        </w:rPr>
        <w:t xml:space="preserve">Investor kan hos </w:t>
      </w:r>
      <w:r w:rsidR="00F93EFD" w:rsidRPr="008E13E6">
        <w:rPr>
          <w:sz w:val="20"/>
          <w:szCs w:val="22"/>
        </w:rPr>
        <w:t>Fundmarket A/S</w:t>
      </w:r>
      <w:r w:rsidR="00F76A0D" w:rsidRPr="008E13E6">
        <w:rPr>
          <w:sz w:val="20"/>
          <w:szCs w:val="22"/>
        </w:rPr>
        <w:t xml:space="preserve"> desuden, når afdelingen har været i drift i en tilstrækkelig periode, få oplyst om den seneste udvikling i de vigtigste risici og afkast for kategorierne af de enkelte instrumenter i afdelingen</w:t>
      </w:r>
      <w:r w:rsidR="00493AFE" w:rsidRPr="008E13E6">
        <w:rPr>
          <w:sz w:val="20"/>
          <w:szCs w:val="22"/>
        </w:rPr>
        <w:t>.</w:t>
      </w:r>
    </w:p>
    <w:p w14:paraId="122AF8C5" w14:textId="77777777" w:rsidR="000C325C" w:rsidRPr="008E13E6" w:rsidRDefault="00945E57" w:rsidP="00B73DA9">
      <w:pPr>
        <w:rPr>
          <w:sz w:val="20"/>
          <w:szCs w:val="22"/>
        </w:rPr>
      </w:pPr>
      <w:r w:rsidRPr="008E13E6">
        <w:rPr>
          <w:sz w:val="20"/>
          <w:szCs w:val="22"/>
        </w:rPr>
        <w:t>For yderligere individuelle forhold omtalt nedenfor henvises til særlig omtale i de efterfølgende dele af prospektet.</w:t>
      </w:r>
      <w:bookmarkStart w:id="73" w:name="_Hlk516837598"/>
      <w:bookmarkStart w:id="74" w:name="_Ref111448431"/>
    </w:p>
    <w:p w14:paraId="1596644D" w14:textId="77777777" w:rsidR="00690386" w:rsidRPr="008E13E6" w:rsidRDefault="00F91801" w:rsidP="00B73DA9">
      <w:pPr>
        <w:spacing w:before="240" w:after="120"/>
        <w:rPr>
          <w:b/>
          <w:i/>
          <w:sz w:val="20"/>
        </w:rPr>
      </w:pPr>
      <w:r w:rsidRPr="008E13E6">
        <w:rPr>
          <w:b/>
          <w:i/>
          <w:sz w:val="20"/>
        </w:rPr>
        <w:t>Vedtægtsbestemt investeringsområde</w:t>
      </w:r>
    </w:p>
    <w:p w14:paraId="4592A36E" w14:textId="77777777" w:rsidR="00B73DA9" w:rsidRPr="008E13E6" w:rsidRDefault="00B73DA9" w:rsidP="00B73DA9">
      <w:pPr>
        <w:rPr>
          <w:sz w:val="20"/>
        </w:rPr>
      </w:pPr>
      <w:bookmarkStart w:id="75" w:name="_Hlk506978142"/>
      <w:r w:rsidRPr="008E13E6">
        <w:rPr>
          <w:sz w:val="20"/>
        </w:rPr>
        <w:t>Afdelingen investerer fortrinsvis i exchange traded funds (ETF</w:t>
      </w:r>
      <w:r w:rsidR="003A5393">
        <w:rPr>
          <w:sz w:val="20"/>
        </w:rPr>
        <w:t>’er</w:t>
      </w:r>
      <w:r w:rsidRPr="008E13E6">
        <w:rPr>
          <w:sz w:val="20"/>
        </w:rPr>
        <w:t xml:space="preserve">), udenlandske investeringsinstitutter eller afdelinger heraf samt andele i danske UCITS eller afdelinger heraf i henhold til bestemmelserne herom i lov om investeringsforeninger m.v.  </w:t>
      </w:r>
    </w:p>
    <w:p w14:paraId="25949B6A" w14:textId="77777777" w:rsidR="00B73DA9" w:rsidRPr="008E13E6" w:rsidRDefault="00B73DA9" w:rsidP="00B73DA9">
      <w:pPr>
        <w:spacing w:before="120"/>
        <w:rPr>
          <w:sz w:val="20"/>
        </w:rPr>
      </w:pPr>
      <w:r w:rsidRPr="008E13E6">
        <w:rPr>
          <w:sz w:val="20"/>
        </w:rPr>
        <w:t>Afdelingen kan for en mindre del investere i øvrige værdipapirer, jf. lov om investeringsforeninger m.v. § 2, stk. 1, herunder f.eks. depotbeviser.</w:t>
      </w:r>
      <w:bookmarkEnd w:id="75"/>
      <w:r w:rsidRPr="008E13E6">
        <w:rPr>
          <w:sz w:val="20"/>
        </w:rPr>
        <w:t xml:space="preserve"> </w:t>
      </w:r>
    </w:p>
    <w:p w14:paraId="511AECED" w14:textId="56B0EDB0" w:rsidR="00B73DA9" w:rsidRPr="008E13E6" w:rsidRDefault="00B73DA9" w:rsidP="00B73DA9">
      <w:pPr>
        <w:spacing w:before="120"/>
        <w:rPr>
          <w:sz w:val="20"/>
        </w:rPr>
      </w:pPr>
      <w:r w:rsidRPr="008E13E6">
        <w:rPr>
          <w:sz w:val="20"/>
        </w:rPr>
        <w:t xml:space="preserve">Afdelingen kan for op til 20 pct. af sin formue foretage investering i pengemarkedsinstrumenter, i korte obligationer, i indskud i kreditinstitutter samt i andre foreninger, afdelinger eller investeringsinstitutter, jf. § 143 i lov om investeringsforeninger m.v., der udelukkende investerer i pengemarkedsinstrumenter, korte obligationer eller indskud i kreditinstitutter. </w:t>
      </w:r>
    </w:p>
    <w:p w14:paraId="11001B83" w14:textId="77777777" w:rsidR="00B73DA9" w:rsidRPr="008E13E6" w:rsidRDefault="00B73DA9" w:rsidP="00B73DA9">
      <w:pPr>
        <w:spacing w:before="120"/>
        <w:rPr>
          <w:sz w:val="20"/>
        </w:rPr>
      </w:pPr>
      <w:r w:rsidRPr="008E13E6">
        <w:rPr>
          <w:sz w:val="20"/>
        </w:rPr>
        <w:t>Afdelingen investerer primært i andele, der er optaget til handel på et reguleret marked eller som handles på et andet marked, der er reguleret, regelmæssigt arbejdende, anerkendt og offentligt i en stat, der er medlem af Den Europæiske Union (EU). Såfremt markedet befinder sig i en stat, der ikke er medlem af EU, skal markedet være medlem af Federation of European Exchanges eller medlem af World Federation of Exhanges, godkendt af Finanstilsynet eller separat godkend af bestyrelsen, jf. bilag 1 til vedtægterne.</w:t>
      </w:r>
    </w:p>
    <w:p w14:paraId="4C2C3B25" w14:textId="77777777" w:rsidR="00B73DA9" w:rsidRPr="008E13E6" w:rsidRDefault="00B73DA9" w:rsidP="00B73DA9">
      <w:pPr>
        <w:spacing w:before="120"/>
        <w:rPr>
          <w:sz w:val="20"/>
        </w:rPr>
      </w:pPr>
      <w:r w:rsidRPr="008E13E6">
        <w:rPr>
          <w:sz w:val="20"/>
        </w:rPr>
        <w:t xml:space="preserve">Afdelingen kan investere op til 10 pct. af sin formue i unoterede aktier, obligationer og pengemarkedsinstrumenter m.v., jf. lov om investeringsforeninger m.v. § 139, stk. 4. </w:t>
      </w:r>
    </w:p>
    <w:p w14:paraId="57E5CA04" w14:textId="77777777" w:rsidR="00B73DA9" w:rsidRPr="008E13E6" w:rsidRDefault="00B73DA9" w:rsidP="00B73DA9">
      <w:pPr>
        <w:spacing w:before="120"/>
        <w:rPr>
          <w:sz w:val="20"/>
        </w:rPr>
      </w:pPr>
      <w:r w:rsidRPr="008E13E6">
        <w:rPr>
          <w:sz w:val="20"/>
        </w:rPr>
        <w:t>Afdelingen må foretage værdipapirudlån mod sikkerhed i værdipapirer.</w:t>
      </w:r>
    </w:p>
    <w:p w14:paraId="2583D18C" w14:textId="77777777" w:rsidR="00690386" w:rsidRPr="008E13E6" w:rsidRDefault="00B73DA9" w:rsidP="00B73DA9">
      <w:pPr>
        <w:spacing w:before="120"/>
        <w:rPr>
          <w:sz w:val="20"/>
        </w:rPr>
      </w:pPr>
      <w:r w:rsidRPr="008E13E6">
        <w:rPr>
          <w:sz w:val="20"/>
        </w:rPr>
        <w:t>Afdelingen kan anvende afledte finansielle instrumenter, jf. bekendtgørelse om danske UCITS’ anvendelse af afledte finansielle instrumenter.</w:t>
      </w:r>
      <w:bookmarkEnd w:id="73"/>
    </w:p>
    <w:p w14:paraId="4D0AB662" w14:textId="77777777" w:rsidR="00B73DA9" w:rsidRPr="008E13E6" w:rsidRDefault="00B73DA9" w:rsidP="0039546E">
      <w:pPr>
        <w:rPr>
          <w:sz w:val="20"/>
        </w:rPr>
      </w:pPr>
    </w:p>
    <w:p w14:paraId="2F03B53B" w14:textId="77777777" w:rsidR="00B73DA9" w:rsidRPr="008E13E6" w:rsidRDefault="00B73DA9" w:rsidP="00B73DA9">
      <w:pPr>
        <w:rPr>
          <w:i/>
          <w:sz w:val="20"/>
        </w:rPr>
      </w:pPr>
      <w:r w:rsidRPr="008E13E6">
        <w:rPr>
          <w:i/>
          <w:sz w:val="20"/>
        </w:rPr>
        <w:t>Investerings</w:t>
      </w:r>
      <w:r w:rsidR="00F75339" w:rsidRPr="008E13E6">
        <w:rPr>
          <w:i/>
          <w:sz w:val="20"/>
        </w:rPr>
        <w:t>strategi</w:t>
      </w:r>
    </w:p>
    <w:p w14:paraId="3C4C53ED" w14:textId="77777777" w:rsidR="00B73DA9" w:rsidRPr="008E13E6" w:rsidRDefault="00B73DA9" w:rsidP="00F75339">
      <w:pPr>
        <w:spacing w:before="120"/>
        <w:rPr>
          <w:sz w:val="20"/>
        </w:rPr>
      </w:pPr>
      <w:r w:rsidRPr="008E13E6">
        <w:rPr>
          <w:sz w:val="20"/>
        </w:rPr>
        <w:t xml:space="preserve">Afdelingens målsætning er på baggrund af </w:t>
      </w:r>
      <w:r w:rsidR="008E13E6" w:rsidRPr="008E13E6">
        <w:rPr>
          <w:sz w:val="20"/>
        </w:rPr>
        <w:t>konjunkturanalyser</w:t>
      </w:r>
      <w:r w:rsidRPr="008E13E6">
        <w:rPr>
          <w:sz w:val="20"/>
        </w:rPr>
        <w:t xml:space="preserve"> at sammensætte en aktivt forvaltet portefølje</w:t>
      </w:r>
      <w:r w:rsidR="003A5393">
        <w:rPr>
          <w:sz w:val="20"/>
        </w:rPr>
        <w:t>,</w:t>
      </w:r>
      <w:r w:rsidRPr="008E13E6">
        <w:rPr>
          <w:sz w:val="20"/>
        </w:rPr>
        <w:t xml:space="preserve"> der opnår den bedst mulig balance mellem langsigtet afkast og risiko.</w:t>
      </w:r>
    </w:p>
    <w:p w14:paraId="573C8D7A" w14:textId="77777777" w:rsidR="00B73DA9" w:rsidRPr="008E13E6" w:rsidRDefault="00B73DA9" w:rsidP="00B73DA9">
      <w:pPr>
        <w:spacing w:before="120"/>
        <w:rPr>
          <w:sz w:val="20"/>
        </w:rPr>
      </w:pPr>
      <w:r w:rsidRPr="008E13E6">
        <w:rPr>
          <w:sz w:val="20"/>
        </w:rPr>
        <w:t>Investeringerne foretages primært gennem udvælgelse af ETF’er og/eller fonde</w:t>
      </w:r>
      <w:r w:rsidR="003A5393">
        <w:rPr>
          <w:sz w:val="20"/>
        </w:rPr>
        <w:t>,</w:t>
      </w:r>
      <w:r w:rsidRPr="008E13E6">
        <w:rPr>
          <w:sz w:val="20"/>
        </w:rPr>
        <w:t xml:space="preserve"> der underliggende består af aktivklasserne; aktier, obligationer og alternativer</w:t>
      </w:r>
      <w:r w:rsidRPr="008E13E6">
        <w:rPr>
          <w:bCs/>
          <w:sz w:val="20"/>
        </w:rPr>
        <w:t>.</w:t>
      </w:r>
    </w:p>
    <w:p w14:paraId="490C6E1E" w14:textId="77777777" w:rsidR="00B85846" w:rsidRPr="008E13E6" w:rsidRDefault="00B85846" w:rsidP="00D45838">
      <w:pPr>
        <w:pStyle w:val="OverskriftBo"/>
        <w:spacing w:after="120"/>
        <w:rPr>
          <w:i/>
          <w:sz w:val="20"/>
          <w:szCs w:val="22"/>
        </w:rPr>
      </w:pPr>
      <w:r w:rsidRPr="008E13E6">
        <w:rPr>
          <w:i/>
          <w:sz w:val="20"/>
          <w:szCs w:val="22"/>
        </w:rPr>
        <w:t>Restriktioner og præciseringer vedrørende porteføljesammensætningen</w:t>
      </w:r>
    </w:p>
    <w:p w14:paraId="7CE944D8" w14:textId="77777777" w:rsidR="00B85846" w:rsidRPr="008E13E6" w:rsidRDefault="00B85846" w:rsidP="00B85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z w:val="20"/>
          <w:szCs w:val="22"/>
        </w:rPr>
      </w:pPr>
      <w:r w:rsidRPr="008E13E6">
        <w:rPr>
          <w:sz w:val="20"/>
          <w:szCs w:val="22"/>
        </w:rPr>
        <w:t xml:space="preserve">Bestyrelsen har p.t. fastsat følgende yderligere restriktioner og præciseringer vedrørende investeringerne: </w:t>
      </w:r>
    </w:p>
    <w:p w14:paraId="1C030B68" w14:textId="32F59D61" w:rsidR="00F75339" w:rsidRPr="008E13E6" w:rsidRDefault="00F75339" w:rsidP="00953E8E">
      <w:pPr>
        <w:pStyle w:val="Listeafsnit"/>
        <w:numPr>
          <w:ilvl w:val="0"/>
          <w:numId w:val="11"/>
        </w:numPr>
        <w:rPr>
          <w:sz w:val="20"/>
        </w:rPr>
      </w:pPr>
      <w:r w:rsidRPr="008E13E6">
        <w:rPr>
          <w:sz w:val="20"/>
        </w:rPr>
        <w:t>Afdelingens investeringer tilstræbes at bestå af minimum 6 UCITS ETF’er</w:t>
      </w:r>
    </w:p>
    <w:p w14:paraId="3BD94EDA" w14:textId="77777777" w:rsidR="00F75339" w:rsidRPr="008E13E6" w:rsidRDefault="00F75339" w:rsidP="00953E8E">
      <w:pPr>
        <w:pStyle w:val="Listeafsnit"/>
        <w:numPr>
          <w:ilvl w:val="0"/>
          <w:numId w:val="11"/>
        </w:numPr>
        <w:rPr>
          <w:sz w:val="20"/>
        </w:rPr>
      </w:pPr>
      <w:r w:rsidRPr="008E13E6">
        <w:rPr>
          <w:sz w:val="20"/>
        </w:rPr>
        <w:t>Afdelingen eksponering mod aktivklasserne:</w:t>
      </w:r>
    </w:p>
    <w:p w14:paraId="1AB2D245" w14:textId="77777777" w:rsidR="00F75339" w:rsidRPr="008E13E6" w:rsidRDefault="00F75339" w:rsidP="00F75339">
      <w:pPr>
        <w:pStyle w:val="Listeafsnit"/>
        <w:numPr>
          <w:ilvl w:val="1"/>
          <w:numId w:val="11"/>
        </w:numPr>
        <w:spacing w:before="120" w:after="120"/>
        <w:rPr>
          <w:sz w:val="20"/>
        </w:rPr>
      </w:pPr>
      <w:r w:rsidRPr="008E13E6">
        <w:rPr>
          <w:sz w:val="20"/>
        </w:rPr>
        <w:t>Udenlandske statsobligationer</w:t>
      </w:r>
    </w:p>
    <w:p w14:paraId="59396912" w14:textId="77777777" w:rsidR="00F75339" w:rsidRPr="008E13E6" w:rsidRDefault="00F75339" w:rsidP="00F75339">
      <w:pPr>
        <w:pStyle w:val="Listeafsnit"/>
        <w:numPr>
          <w:ilvl w:val="1"/>
          <w:numId w:val="11"/>
        </w:numPr>
        <w:spacing w:before="120" w:after="120"/>
        <w:rPr>
          <w:sz w:val="20"/>
        </w:rPr>
      </w:pPr>
      <w:r w:rsidRPr="008E13E6">
        <w:rPr>
          <w:sz w:val="20"/>
        </w:rPr>
        <w:lastRenderedPageBreak/>
        <w:t>Danske og udenlandske virksomhedsobligationer</w:t>
      </w:r>
    </w:p>
    <w:p w14:paraId="0A80C6BC" w14:textId="77777777" w:rsidR="00F75339" w:rsidRPr="008E13E6" w:rsidRDefault="008E13E6" w:rsidP="00F75339">
      <w:pPr>
        <w:pStyle w:val="Listeafsnit"/>
        <w:numPr>
          <w:ilvl w:val="2"/>
          <w:numId w:val="11"/>
        </w:numPr>
        <w:spacing w:before="120" w:after="120"/>
        <w:rPr>
          <w:sz w:val="20"/>
        </w:rPr>
      </w:pPr>
      <w:r w:rsidRPr="008E13E6">
        <w:rPr>
          <w:sz w:val="20"/>
        </w:rPr>
        <w:t>Investment grade</w:t>
      </w:r>
    </w:p>
    <w:p w14:paraId="0954E30E" w14:textId="77777777" w:rsidR="00F75339" w:rsidRPr="008E13E6" w:rsidRDefault="00F75339" w:rsidP="00F75339">
      <w:pPr>
        <w:pStyle w:val="Listeafsnit"/>
        <w:numPr>
          <w:ilvl w:val="2"/>
          <w:numId w:val="11"/>
        </w:numPr>
        <w:spacing w:before="120" w:after="120"/>
        <w:rPr>
          <w:sz w:val="20"/>
        </w:rPr>
      </w:pPr>
      <w:r w:rsidRPr="008E13E6">
        <w:rPr>
          <w:sz w:val="20"/>
        </w:rPr>
        <w:t>High Yield</w:t>
      </w:r>
    </w:p>
    <w:p w14:paraId="189751E0" w14:textId="13A36E1A" w:rsidR="00C5557F" w:rsidRPr="008E13E6" w:rsidRDefault="00F75339" w:rsidP="008E13E6">
      <w:pPr>
        <w:pStyle w:val="Listeafsnit"/>
        <w:numPr>
          <w:ilvl w:val="0"/>
          <w:numId w:val="11"/>
        </w:numPr>
        <w:spacing w:before="120" w:after="120"/>
        <w:rPr>
          <w:sz w:val="20"/>
        </w:rPr>
      </w:pPr>
      <w:r w:rsidRPr="008E13E6">
        <w:rPr>
          <w:sz w:val="20"/>
        </w:rPr>
        <w:t>Danske og udenlandske børsnoterede aktier må udelukkende foretages gennem UCITS ETF’er eller investeringsforeningsafdelinger</w:t>
      </w:r>
    </w:p>
    <w:p w14:paraId="66C60732" w14:textId="77777777" w:rsidR="00953E8E" w:rsidRDefault="00F75339" w:rsidP="00953E8E">
      <w:pPr>
        <w:pStyle w:val="Listeafsnit"/>
        <w:numPr>
          <w:ilvl w:val="0"/>
          <w:numId w:val="11"/>
        </w:numPr>
        <w:rPr>
          <w:sz w:val="20"/>
        </w:rPr>
      </w:pPr>
      <w:r w:rsidRPr="00953E8E">
        <w:rPr>
          <w:sz w:val="20"/>
        </w:rPr>
        <w:t>Afdelingen kan dog investere op til 100%, direkte eller via UCITS ETF’er, i danske realkredit-og statsobligationer</w:t>
      </w:r>
    </w:p>
    <w:p w14:paraId="5072EA0D" w14:textId="173BA8C3" w:rsidR="00F75339" w:rsidRPr="00953E8E" w:rsidRDefault="00F75339" w:rsidP="00953E8E">
      <w:pPr>
        <w:pStyle w:val="Listeafsnit"/>
        <w:numPr>
          <w:ilvl w:val="0"/>
          <w:numId w:val="11"/>
        </w:numPr>
        <w:rPr>
          <w:sz w:val="20"/>
        </w:rPr>
      </w:pPr>
      <w:r w:rsidRPr="00953E8E">
        <w:rPr>
          <w:sz w:val="20"/>
        </w:rPr>
        <w:t xml:space="preserve">Afdelingens investeringer i UCITS ETF’er eller investeringsforeningsafdelinger, hvor de underliggende aktiver udgøres af:   </w:t>
      </w:r>
    </w:p>
    <w:p w14:paraId="6389E424" w14:textId="77777777" w:rsidR="00F75339" w:rsidRPr="008E13E6" w:rsidRDefault="00F75339" w:rsidP="00F75339">
      <w:pPr>
        <w:numPr>
          <w:ilvl w:val="1"/>
          <w:numId w:val="9"/>
        </w:numPr>
        <w:spacing w:line="259" w:lineRule="auto"/>
        <w:rPr>
          <w:sz w:val="20"/>
        </w:rPr>
      </w:pPr>
      <w:r w:rsidRPr="008E13E6">
        <w:rPr>
          <w:sz w:val="20"/>
        </w:rPr>
        <w:t>Råvarer</w:t>
      </w:r>
    </w:p>
    <w:p w14:paraId="3C022520" w14:textId="77777777" w:rsidR="00F75339" w:rsidRPr="008E13E6" w:rsidRDefault="00F75339" w:rsidP="00F75339">
      <w:pPr>
        <w:numPr>
          <w:ilvl w:val="1"/>
          <w:numId w:val="9"/>
        </w:numPr>
        <w:spacing w:line="259" w:lineRule="auto"/>
        <w:rPr>
          <w:sz w:val="20"/>
        </w:rPr>
      </w:pPr>
      <w:r w:rsidRPr="008E13E6">
        <w:rPr>
          <w:sz w:val="20"/>
        </w:rPr>
        <w:t>Private Equity</w:t>
      </w:r>
    </w:p>
    <w:p w14:paraId="3957139E" w14:textId="77777777" w:rsidR="00F75339" w:rsidRPr="008E13E6" w:rsidRDefault="00F75339" w:rsidP="00F75339">
      <w:pPr>
        <w:numPr>
          <w:ilvl w:val="1"/>
          <w:numId w:val="9"/>
        </w:numPr>
        <w:spacing w:line="259" w:lineRule="auto"/>
        <w:rPr>
          <w:sz w:val="20"/>
        </w:rPr>
      </w:pPr>
      <w:r w:rsidRPr="008E13E6">
        <w:rPr>
          <w:sz w:val="20"/>
        </w:rPr>
        <w:t>Ejendomme (REITS)</w:t>
      </w:r>
    </w:p>
    <w:p w14:paraId="5C9869D1" w14:textId="77777777" w:rsidR="00F75339" w:rsidRPr="008E13E6" w:rsidRDefault="00F75339" w:rsidP="008E13E6">
      <w:pPr>
        <w:numPr>
          <w:ilvl w:val="1"/>
          <w:numId w:val="9"/>
        </w:numPr>
        <w:spacing w:line="259" w:lineRule="auto"/>
        <w:rPr>
          <w:sz w:val="20"/>
        </w:rPr>
      </w:pPr>
      <w:r w:rsidRPr="008E13E6">
        <w:rPr>
          <w:sz w:val="20"/>
        </w:rPr>
        <w:t>Øvrige alternative investeringer</w:t>
      </w:r>
    </w:p>
    <w:p w14:paraId="5E205376" w14:textId="77777777" w:rsidR="00F75339" w:rsidRPr="008E13E6" w:rsidRDefault="00F75339" w:rsidP="00F75339">
      <w:pPr>
        <w:pStyle w:val="Listeafsnit"/>
        <w:spacing w:before="120"/>
        <w:rPr>
          <w:sz w:val="20"/>
        </w:rPr>
      </w:pPr>
      <w:r w:rsidRPr="008E13E6">
        <w:rPr>
          <w:sz w:val="20"/>
        </w:rPr>
        <w:t>må samlet, maksimalt udgøre 35 pct. af formen.</w:t>
      </w:r>
    </w:p>
    <w:p w14:paraId="30F78ED4" w14:textId="104857A1" w:rsidR="00C5557F" w:rsidRPr="008E13E6" w:rsidRDefault="00C5557F" w:rsidP="00953E8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rPr>
          <w:sz w:val="20"/>
        </w:rPr>
      </w:pPr>
      <w:r w:rsidRPr="008E13E6">
        <w:rPr>
          <w:sz w:val="20"/>
        </w:rPr>
        <w:t>Afdelingen udnytter ikke vedtægternes mulighed for at foretage værdipapirudlån</w:t>
      </w:r>
    </w:p>
    <w:p w14:paraId="242F36BB" w14:textId="42566D77" w:rsidR="00625D7B" w:rsidRPr="008E13E6" w:rsidRDefault="00625D7B" w:rsidP="00953E8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rPr>
          <w:sz w:val="20"/>
        </w:rPr>
      </w:pPr>
      <w:r w:rsidRPr="008E13E6">
        <w:rPr>
          <w:sz w:val="20"/>
        </w:rPr>
        <w:t>Afledte finansielle instrumenter må kun anvendes på dækket basis</w:t>
      </w:r>
    </w:p>
    <w:p w14:paraId="425363FF" w14:textId="08B24DFE" w:rsidR="00625D7B" w:rsidRPr="008E13E6" w:rsidRDefault="00625D7B" w:rsidP="00D352F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z w:val="20"/>
        </w:rPr>
      </w:pPr>
      <w:r w:rsidRPr="008E13E6">
        <w:rPr>
          <w:sz w:val="20"/>
        </w:rPr>
        <w:t>Der investeres ikke aktivt i unoterede værdipapirer, men tildelte unoterede værdipapirer og afnoterede værdipapirer kan beholdes</w:t>
      </w:r>
    </w:p>
    <w:p w14:paraId="14301318" w14:textId="77777777" w:rsidR="00B85846" w:rsidRPr="008E13E6" w:rsidRDefault="00B85846" w:rsidP="00B85846">
      <w:pPr>
        <w:pStyle w:val="Sidehoved"/>
        <w:tabs>
          <w:tab w:val="clear" w:pos="4819"/>
          <w:tab w:val="clear" w:pos="963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rPr>
          <w:sz w:val="20"/>
          <w:szCs w:val="22"/>
        </w:rPr>
      </w:pPr>
      <w:r w:rsidRPr="008E13E6">
        <w:rPr>
          <w:spacing w:val="-3"/>
          <w:sz w:val="20"/>
          <w:szCs w:val="22"/>
        </w:rPr>
        <w:t>R</w:t>
      </w:r>
      <w:r w:rsidRPr="008E13E6">
        <w:rPr>
          <w:sz w:val="20"/>
          <w:szCs w:val="22"/>
        </w:rPr>
        <w:t xml:space="preserve">estriktioner og præciseringer kan ske efter bestyrelsens beslutning og vurderes jævnligt med henblik på at sikre, at risikoprofilen fastholdes. </w:t>
      </w:r>
    </w:p>
    <w:p w14:paraId="135930F3" w14:textId="77777777" w:rsidR="00CE4C51" w:rsidRPr="008E13E6" w:rsidRDefault="00CE4C51" w:rsidP="002A3CA1">
      <w:pPr>
        <w:spacing w:before="240"/>
        <w:rPr>
          <w:i/>
          <w:sz w:val="20"/>
          <w:szCs w:val="22"/>
          <w:u w:val="single"/>
        </w:rPr>
      </w:pPr>
      <w:bookmarkStart w:id="76" w:name="_Toc364858347"/>
      <w:bookmarkStart w:id="77" w:name="_Toc377545307"/>
      <w:bookmarkStart w:id="78" w:name="_Toc377545563"/>
      <w:r w:rsidRPr="008E13E6">
        <w:rPr>
          <w:sz w:val="20"/>
          <w:szCs w:val="22"/>
          <w:u w:val="single"/>
        </w:rPr>
        <w:t xml:space="preserve">Specielt for andelsklasse PP Capital – </w:t>
      </w:r>
      <w:bookmarkEnd w:id="76"/>
      <w:bookmarkEnd w:id="77"/>
      <w:bookmarkEnd w:id="78"/>
      <w:r w:rsidR="009C3621" w:rsidRPr="008E13E6">
        <w:rPr>
          <w:sz w:val="20"/>
          <w:szCs w:val="22"/>
          <w:u w:val="single"/>
        </w:rPr>
        <w:t>BASIS, kl n</w:t>
      </w:r>
      <w:r w:rsidR="00C5557F" w:rsidRPr="008E13E6">
        <w:rPr>
          <w:sz w:val="20"/>
          <w:szCs w:val="22"/>
          <w:u w:val="single"/>
        </w:rPr>
        <w:t xml:space="preserve"> EUR</w:t>
      </w:r>
    </w:p>
    <w:p w14:paraId="5FB79AB7" w14:textId="77777777" w:rsidR="00CE4C51" w:rsidRPr="008E13E6" w:rsidRDefault="00CE4C51" w:rsidP="00CE4C51">
      <w:pPr>
        <w:spacing w:before="240" w:after="60"/>
        <w:rPr>
          <w:i/>
          <w:sz w:val="20"/>
          <w:szCs w:val="22"/>
        </w:rPr>
      </w:pPr>
      <w:r w:rsidRPr="008E13E6">
        <w:rPr>
          <w:i/>
          <w:sz w:val="20"/>
          <w:szCs w:val="22"/>
        </w:rPr>
        <w:t>Klassespecifikke restriktioner og præciseringer vedrørende porteføljesammensætningen</w:t>
      </w:r>
      <w:r w:rsidR="003A5393">
        <w:rPr>
          <w:i/>
          <w:sz w:val="20"/>
          <w:szCs w:val="22"/>
        </w:rPr>
        <w:t>.</w:t>
      </w:r>
    </w:p>
    <w:p w14:paraId="21B7406A" w14:textId="77777777" w:rsidR="00CE4C51" w:rsidRPr="008E13E6" w:rsidRDefault="00CE4C51" w:rsidP="00CE4C51">
      <w:pPr>
        <w:spacing w:before="240" w:after="60"/>
        <w:rPr>
          <w:sz w:val="20"/>
          <w:szCs w:val="22"/>
        </w:rPr>
      </w:pPr>
      <w:r w:rsidRPr="008E13E6">
        <w:rPr>
          <w:sz w:val="20"/>
          <w:szCs w:val="22"/>
        </w:rPr>
        <w:t>Bestyrelsen har p.t. fastsat følgende klassespecifikke restriktioner og præciseringer vedrørende investeringerne foretaget af andelsklassen:</w:t>
      </w:r>
    </w:p>
    <w:p w14:paraId="0E2EE57F" w14:textId="77777777" w:rsidR="00CE4C51" w:rsidRPr="008E13E6" w:rsidRDefault="00BA10C9" w:rsidP="00CE4C51">
      <w:pPr>
        <w:numPr>
          <w:ilvl w:val="0"/>
          <w:numId w:val="7"/>
        </w:numPr>
        <w:spacing w:before="240" w:after="60"/>
        <w:rPr>
          <w:sz w:val="20"/>
          <w:szCs w:val="22"/>
        </w:rPr>
      </w:pPr>
      <w:r w:rsidRPr="008E13E6">
        <w:rPr>
          <w:bCs/>
          <w:sz w:val="20"/>
          <w:szCs w:val="22"/>
        </w:rPr>
        <w:t>Henvender sig til investorer, der ønsker investering i et værdipapir, som er optaget til handel på Nasdaq Copenhagen</w:t>
      </w:r>
      <w:r w:rsidR="00AE71FA" w:rsidRPr="008E13E6">
        <w:rPr>
          <w:bCs/>
          <w:sz w:val="20"/>
          <w:szCs w:val="22"/>
        </w:rPr>
        <w:t xml:space="preserve"> A/S</w:t>
      </w:r>
      <w:r w:rsidR="000B6C4F" w:rsidRPr="008E13E6">
        <w:rPr>
          <w:bCs/>
          <w:sz w:val="20"/>
          <w:szCs w:val="22"/>
        </w:rPr>
        <w:t xml:space="preserve">. </w:t>
      </w:r>
      <w:r w:rsidRPr="008E13E6">
        <w:rPr>
          <w:bCs/>
          <w:sz w:val="20"/>
          <w:szCs w:val="22"/>
        </w:rPr>
        <w:t>(afdelingens andelsklasser varierer indbyrdes på løbende omkostninger, jf. ”Bekendtgørelse om andelsklasser i danske UCITS”, § 3, nr. 3). </w:t>
      </w:r>
    </w:p>
    <w:p w14:paraId="3826FB73" w14:textId="77777777" w:rsidR="00CE4C51" w:rsidRPr="008E13E6" w:rsidRDefault="00CE4C51" w:rsidP="000C325C">
      <w:pPr>
        <w:spacing w:before="240"/>
        <w:rPr>
          <w:sz w:val="20"/>
          <w:szCs w:val="22"/>
        </w:rPr>
      </w:pPr>
      <w:r w:rsidRPr="008E13E6">
        <w:rPr>
          <w:sz w:val="20"/>
          <w:szCs w:val="22"/>
        </w:rPr>
        <w:t>Restriktionerne og præciseringerne kan ændres efter bestyrelsens beslutning og vurderes jævnligt med henblik på at sikre, at risikoprofilen fastholdes.</w:t>
      </w:r>
    </w:p>
    <w:p w14:paraId="4A893B1A" w14:textId="77777777" w:rsidR="000C325C" w:rsidRPr="008E13E6" w:rsidRDefault="000C325C" w:rsidP="000C325C">
      <w:pPr>
        <w:rPr>
          <w:sz w:val="20"/>
          <w:szCs w:val="22"/>
        </w:rPr>
      </w:pPr>
    </w:p>
    <w:p w14:paraId="0DAD2380" w14:textId="77777777" w:rsidR="00B85846" w:rsidRPr="008E13E6" w:rsidRDefault="00B85846" w:rsidP="000C325C">
      <w:pPr>
        <w:spacing w:after="120"/>
        <w:rPr>
          <w:i/>
          <w:sz w:val="20"/>
          <w:szCs w:val="22"/>
        </w:rPr>
      </w:pPr>
      <w:r w:rsidRPr="008E13E6">
        <w:rPr>
          <w:i/>
          <w:sz w:val="20"/>
          <w:szCs w:val="22"/>
        </w:rPr>
        <w:t>Risikofaktorer</w:t>
      </w:r>
    </w:p>
    <w:p w14:paraId="46378AD0" w14:textId="1A1B0193" w:rsidR="00B85846" w:rsidRPr="008E13E6" w:rsidRDefault="00C5557F" w:rsidP="00B85846">
      <w:pPr>
        <w:rPr>
          <w:sz w:val="20"/>
          <w:szCs w:val="22"/>
        </w:rPr>
      </w:pPr>
      <w:r w:rsidRPr="008E13E6">
        <w:rPr>
          <w:sz w:val="20"/>
          <w:szCs w:val="22"/>
        </w:rPr>
        <w:t>Investor skal i særlig grad være opmærksom på, at k</w:t>
      </w:r>
      <w:r w:rsidRPr="008E13E6">
        <w:rPr>
          <w:sz w:val="20"/>
        </w:rPr>
        <w:t>reditrisiko, m</w:t>
      </w:r>
      <w:r w:rsidRPr="008E13E6">
        <w:rPr>
          <w:sz w:val="20"/>
          <w:szCs w:val="22"/>
        </w:rPr>
        <w:t>odpartsrisiko, o</w:t>
      </w:r>
      <w:r w:rsidRPr="008E13E6">
        <w:rPr>
          <w:sz w:val="20"/>
        </w:rPr>
        <w:t>bligationsmarkedsrisiko, renterisiko,</w:t>
      </w:r>
      <w:r w:rsidR="00251310" w:rsidRPr="008E13E6">
        <w:rPr>
          <w:sz w:val="20"/>
        </w:rPr>
        <w:t xml:space="preserve"> risiko vedrørende investeringsområdet</w:t>
      </w:r>
      <w:r w:rsidRPr="008E13E6">
        <w:rPr>
          <w:sz w:val="20"/>
          <w:szCs w:val="22"/>
        </w:rPr>
        <w:t>, risiko vedr</w:t>
      </w:r>
      <w:r w:rsidR="00251310" w:rsidRPr="008E13E6">
        <w:rPr>
          <w:sz w:val="20"/>
          <w:szCs w:val="22"/>
        </w:rPr>
        <w:t>ørende</w:t>
      </w:r>
      <w:r w:rsidRPr="008E13E6">
        <w:rPr>
          <w:sz w:val="20"/>
          <w:szCs w:val="22"/>
        </w:rPr>
        <w:t xml:space="preserve"> kontantindestående, </w:t>
      </w:r>
      <w:r w:rsidR="00251310" w:rsidRPr="008E13E6">
        <w:rPr>
          <w:sz w:val="20"/>
          <w:szCs w:val="22"/>
        </w:rPr>
        <w:t xml:space="preserve">risiko vedrørende nye markeder/emerging markets, </w:t>
      </w:r>
      <w:r w:rsidRPr="008E13E6">
        <w:rPr>
          <w:sz w:val="20"/>
          <w:szCs w:val="22"/>
        </w:rPr>
        <w:t>risiko vedr</w:t>
      </w:r>
      <w:r w:rsidR="00251310" w:rsidRPr="008E13E6">
        <w:rPr>
          <w:sz w:val="20"/>
          <w:szCs w:val="22"/>
        </w:rPr>
        <w:t>ørende</w:t>
      </w:r>
      <w:r w:rsidRPr="008E13E6">
        <w:rPr>
          <w:sz w:val="20"/>
          <w:szCs w:val="22"/>
        </w:rPr>
        <w:t xml:space="preserve"> udsving på aktiemarkedet, risiko vedr. selskabsspecifikke forhold og valutakursrisiko, som nærmere beskrevet under punkt </w:t>
      </w:r>
      <w:r w:rsidR="00757287" w:rsidRPr="008E13E6">
        <w:rPr>
          <w:sz w:val="20"/>
        </w:rPr>
        <w:fldChar w:fldCharType="begin"/>
      </w:r>
      <w:r w:rsidR="00757287" w:rsidRPr="008E13E6">
        <w:rPr>
          <w:sz w:val="20"/>
        </w:rPr>
        <w:instrText xml:space="preserve"> REF _Ref414004867 \r \h  \* MERGEFORMAT </w:instrText>
      </w:r>
      <w:r w:rsidR="00757287" w:rsidRPr="008E13E6">
        <w:rPr>
          <w:sz w:val="20"/>
        </w:rPr>
      </w:r>
      <w:r w:rsidR="00757287" w:rsidRPr="008E13E6">
        <w:rPr>
          <w:sz w:val="20"/>
        </w:rPr>
        <w:fldChar w:fldCharType="separate"/>
      </w:r>
      <w:r w:rsidR="00195831">
        <w:rPr>
          <w:sz w:val="20"/>
        </w:rPr>
        <w:t>9</w:t>
      </w:r>
      <w:r w:rsidR="00757287" w:rsidRPr="008E13E6">
        <w:rPr>
          <w:sz w:val="20"/>
        </w:rPr>
        <w:fldChar w:fldCharType="end"/>
      </w:r>
      <w:r w:rsidR="00B85846" w:rsidRPr="008E13E6">
        <w:rPr>
          <w:i/>
          <w:sz w:val="20"/>
          <w:szCs w:val="22"/>
        </w:rPr>
        <w:t xml:space="preserve">. </w:t>
      </w:r>
      <w:r w:rsidR="00757287" w:rsidRPr="008E13E6">
        <w:rPr>
          <w:sz w:val="20"/>
        </w:rPr>
        <w:fldChar w:fldCharType="begin"/>
      </w:r>
      <w:r w:rsidR="00757287" w:rsidRPr="008E13E6">
        <w:rPr>
          <w:sz w:val="20"/>
        </w:rPr>
        <w:instrText xml:space="preserve"> REF _Ref414004869 \h  \* MERGEFORMAT </w:instrText>
      </w:r>
      <w:r w:rsidR="00757287" w:rsidRPr="008E13E6">
        <w:rPr>
          <w:sz w:val="20"/>
        </w:rPr>
      </w:r>
      <w:r w:rsidR="00757287" w:rsidRPr="008E13E6">
        <w:rPr>
          <w:sz w:val="20"/>
        </w:rPr>
        <w:fldChar w:fldCharType="separate"/>
      </w:r>
      <w:r w:rsidR="00195831" w:rsidRPr="008E13E6">
        <w:rPr>
          <w:i/>
          <w:sz w:val="20"/>
          <w:szCs w:val="22"/>
        </w:rPr>
        <w:t>Risikoforhold og risikofaktorer</w:t>
      </w:r>
      <w:r w:rsidR="00757287" w:rsidRPr="008E13E6">
        <w:rPr>
          <w:sz w:val="20"/>
        </w:rPr>
        <w:fldChar w:fldCharType="end"/>
      </w:r>
      <w:r w:rsidR="00B85846" w:rsidRPr="008E13E6">
        <w:rPr>
          <w:sz w:val="20"/>
          <w:szCs w:val="22"/>
        </w:rPr>
        <w:t xml:space="preserve"> har indflydelse på investeringernes værdi.</w:t>
      </w:r>
    </w:p>
    <w:p w14:paraId="5BD538EF" w14:textId="77777777" w:rsidR="00B85846" w:rsidRPr="008E13E6" w:rsidRDefault="00B85846" w:rsidP="00B85846">
      <w:pPr>
        <w:spacing w:before="120" w:after="120"/>
        <w:rPr>
          <w:sz w:val="20"/>
          <w:szCs w:val="22"/>
        </w:rPr>
      </w:pPr>
      <w:r w:rsidRPr="008E13E6">
        <w:rPr>
          <w:sz w:val="20"/>
          <w:szCs w:val="22"/>
        </w:rPr>
        <w:t xml:space="preserve">For yderligere individuelle forhold for </w:t>
      </w:r>
      <w:r w:rsidR="00BA10C9" w:rsidRPr="008E13E6">
        <w:rPr>
          <w:sz w:val="20"/>
          <w:szCs w:val="22"/>
        </w:rPr>
        <w:t>andelsklassen</w:t>
      </w:r>
      <w:r w:rsidRPr="008E13E6">
        <w:rPr>
          <w:sz w:val="20"/>
          <w:szCs w:val="22"/>
        </w:rPr>
        <w:t xml:space="preserve"> henvises til særlig omtale i de efterfølgende dele af prospektet. </w:t>
      </w:r>
    </w:p>
    <w:p w14:paraId="1DF60DD4"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79" w:name="_Toc208144088"/>
      <w:bookmarkStart w:id="80" w:name="_Ref336505966"/>
      <w:bookmarkStart w:id="81" w:name="_Ref336505968"/>
      <w:bookmarkStart w:id="82" w:name="_Ref337193600"/>
      <w:bookmarkStart w:id="83" w:name="_Ref340151637"/>
      <w:bookmarkStart w:id="84" w:name="_Toc395703410"/>
      <w:bookmarkStart w:id="85" w:name="_Toc414000031"/>
      <w:bookmarkStart w:id="86" w:name="_Ref414004867"/>
      <w:bookmarkStart w:id="87" w:name="_Ref414004869"/>
      <w:bookmarkStart w:id="88" w:name="_Toc443370875"/>
      <w:bookmarkStart w:id="89" w:name="_Toc9239905"/>
      <w:bookmarkEnd w:id="74"/>
      <w:r w:rsidRPr="008E13E6">
        <w:rPr>
          <w:i/>
          <w:sz w:val="20"/>
          <w:szCs w:val="22"/>
        </w:rPr>
        <w:t>Risikoforhold og risikofaktorer</w:t>
      </w:r>
      <w:bookmarkEnd w:id="79"/>
      <w:bookmarkEnd w:id="80"/>
      <w:bookmarkEnd w:id="81"/>
      <w:bookmarkEnd w:id="82"/>
      <w:bookmarkEnd w:id="83"/>
      <w:bookmarkEnd w:id="84"/>
      <w:bookmarkEnd w:id="85"/>
      <w:bookmarkEnd w:id="86"/>
      <w:bookmarkEnd w:id="87"/>
      <w:bookmarkEnd w:id="88"/>
      <w:bookmarkEnd w:id="89"/>
      <w:r w:rsidRPr="008E13E6">
        <w:rPr>
          <w:i/>
          <w:sz w:val="20"/>
          <w:szCs w:val="22"/>
        </w:rPr>
        <w:t xml:space="preserve"> </w:t>
      </w:r>
    </w:p>
    <w:p w14:paraId="037D522A" w14:textId="77777777" w:rsidR="00F613A7" w:rsidRPr="008E13E6" w:rsidRDefault="00F613A7" w:rsidP="00F613A7">
      <w:pPr>
        <w:widowControl w:val="0"/>
        <w:spacing w:after="120"/>
        <w:rPr>
          <w:sz w:val="20"/>
          <w:szCs w:val="22"/>
        </w:rPr>
      </w:pPr>
      <w:r w:rsidRPr="008E13E6">
        <w:rPr>
          <w:sz w:val="20"/>
          <w:szCs w:val="22"/>
        </w:rPr>
        <w:t>Som ved enhver investering indebærer investering i andele i a</w:t>
      </w:r>
      <w:r w:rsidR="00BA10C9" w:rsidRPr="008E13E6">
        <w:rPr>
          <w:sz w:val="20"/>
          <w:szCs w:val="22"/>
        </w:rPr>
        <w:t>ndelsklassen</w:t>
      </w:r>
      <w:r w:rsidRPr="008E13E6">
        <w:rPr>
          <w:sz w:val="20"/>
          <w:szCs w:val="22"/>
        </w:rPr>
        <w:t xml:space="preserve"> en risiko for, at investor lider et tab. Investor skal være opmærksom på, at investering i foreningsandele ikke svarer til en kontantplacering, og at værdien ikke er garanteret. Andele i </w:t>
      </w:r>
      <w:r w:rsidR="00BA10C9" w:rsidRPr="008E13E6">
        <w:rPr>
          <w:sz w:val="20"/>
          <w:szCs w:val="22"/>
        </w:rPr>
        <w:t>andelsklassen</w:t>
      </w:r>
      <w:r w:rsidRPr="008E13E6">
        <w:rPr>
          <w:sz w:val="20"/>
          <w:szCs w:val="22"/>
        </w:rPr>
        <w:t xml:space="preserve"> kan derfor på et vilkårligt tidspunkt være enten mindre, det samme eller mere værd end på investeringstids</w:t>
      </w:r>
      <w:r w:rsidRPr="008E13E6">
        <w:rPr>
          <w:sz w:val="20"/>
          <w:szCs w:val="22"/>
        </w:rPr>
        <w:softHyphen/>
        <w:t>punkt</w:t>
      </w:r>
      <w:r w:rsidRPr="008E13E6">
        <w:rPr>
          <w:sz w:val="20"/>
          <w:szCs w:val="22"/>
        </w:rPr>
        <w:softHyphen/>
        <w:t>et.</w:t>
      </w:r>
    </w:p>
    <w:p w14:paraId="79C5C80E" w14:textId="77777777" w:rsidR="00F613A7" w:rsidRPr="008E13E6" w:rsidRDefault="00F613A7" w:rsidP="00F613A7">
      <w:pPr>
        <w:widowControl w:val="0"/>
        <w:spacing w:after="120"/>
        <w:rPr>
          <w:sz w:val="20"/>
          <w:szCs w:val="22"/>
        </w:rPr>
      </w:pPr>
      <w:r w:rsidRPr="008E13E6">
        <w:rPr>
          <w:sz w:val="20"/>
          <w:szCs w:val="22"/>
        </w:rPr>
        <w:t xml:space="preserve">Af nedenstående skema fremgår </w:t>
      </w:r>
      <w:r w:rsidR="00BA10C9" w:rsidRPr="008E13E6">
        <w:rPr>
          <w:sz w:val="20"/>
          <w:szCs w:val="22"/>
        </w:rPr>
        <w:t>andelsklassens</w:t>
      </w:r>
      <w:r w:rsidRPr="008E13E6">
        <w:rPr>
          <w:sz w:val="20"/>
          <w:szCs w:val="22"/>
        </w:rPr>
        <w:t xml:space="preserve"> risikoklasse angivet på en skala fra 1 til 7. Risikoklassen angiver den typiske sammenhæng mellem risikoen og afkastmulighederne ved investering i a</w:t>
      </w:r>
      <w:r w:rsidR="00BA10C9" w:rsidRPr="008E13E6">
        <w:rPr>
          <w:sz w:val="20"/>
          <w:szCs w:val="22"/>
        </w:rPr>
        <w:t>ndelsklassen</w:t>
      </w:r>
      <w:r w:rsidRPr="008E13E6">
        <w:rPr>
          <w:sz w:val="20"/>
          <w:szCs w:val="22"/>
        </w:rPr>
        <w:t xml:space="preserve"> og er bestemt ud fra udsvingene i </w:t>
      </w:r>
      <w:r w:rsidR="00BA10C9" w:rsidRPr="008E13E6">
        <w:rPr>
          <w:sz w:val="20"/>
          <w:szCs w:val="22"/>
        </w:rPr>
        <w:t>andelsklassens</w:t>
      </w:r>
      <w:r w:rsidRPr="008E13E6">
        <w:rPr>
          <w:sz w:val="20"/>
          <w:szCs w:val="22"/>
        </w:rPr>
        <w:t xml:space="preserve"> indre værdi de seneste fem år og/eller repræsentative data. Placering i risikoklasse 1 indikerer små kursudsving og dermed lav risiko, typisk kombineret med lavere afkast. Placering i risikoklasse 7 indikerer store kursudsving og dermed høj risiko, typisk kombineret med mulighed for højere afkast</w:t>
      </w:r>
      <w:r w:rsidR="00897940" w:rsidRPr="008E13E6">
        <w:rPr>
          <w:sz w:val="20"/>
          <w:szCs w:val="22"/>
        </w:rPr>
        <w:t>.</w:t>
      </w:r>
    </w:p>
    <w:p w14:paraId="3398C722" w14:textId="77777777" w:rsidR="00F613A7" w:rsidRPr="008E13E6" w:rsidRDefault="00E96EE8" w:rsidP="00F613A7">
      <w:pPr>
        <w:widowControl w:val="0"/>
        <w:spacing w:after="120"/>
        <w:rPr>
          <w:sz w:val="20"/>
          <w:szCs w:val="22"/>
        </w:rPr>
      </w:pPr>
      <w:r w:rsidRPr="008E13E6">
        <w:rPr>
          <w:sz w:val="20"/>
          <w:szCs w:val="22"/>
        </w:rPr>
        <w:t>V</w:t>
      </w:r>
      <w:r w:rsidR="00F613A7" w:rsidRPr="008E13E6">
        <w:rPr>
          <w:sz w:val="20"/>
          <w:szCs w:val="22"/>
        </w:rPr>
        <w:t xml:space="preserve">ær opmærksom på, at en </w:t>
      </w:r>
      <w:r w:rsidR="00BA10C9" w:rsidRPr="008E13E6">
        <w:rPr>
          <w:sz w:val="20"/>
          <w:szCs w:val="22"/>
        </w:rPr>
        <w:t>andelsklasses</w:t>
      </w:r>
      <w:r w:rsidR="00F613A7" w:rsidRPr="008E13E6">
        <w:rPr>
          <w:sz w:val="20"/>
          <w:szCs w:val="22"/>
        </w:rPr>
        <w:t xml:space="preserve"> placering i en risikoklasse ikke er konstant, men kan ændre sig med tiden, og at de historiske data, der ligger bag indplaceringen i en risikoklasse, ikke nødvendigvis giver et pålideligt billede af den fremtidige risikoprofil.</w:t>
      </w:r>
    </w:p>
    <w:p w14:paraId="071C3B8C" w14:textId="77777777" w:rsidR="00F613A7" w:rsidRPr="008E13E6" w:rsidRDefault="00F613A7" w:rsidP="00F613A7">
      <w:pPr>
        <w:widowControl w:val="0"/>
        <w:spacing w:after="120"/>
        <w:rPr>
          <w:sz w:val="20"/>
          <w:szCs w:val="22"/>
        </w:rPr>
      </w:pPr>
      <w:r w:rsidRPr="008E13E6">
        <w:rPr>
          <w:sz w:val="20"/>
          <w:szCs w:val="22"/>
        </w:rPr>
        <w:lastRenderedPageBreak/>
        <w:t xml:space="preserve">Den til enhver tid senest beregnede risikoklasse fremgår af </w:t>
      </w:r>
      <w:r w:rsidR="00BA10C9" w:rsidRPr="008E13E6">
        <w:rPr>
          <w:sz w:val="20"/>
          <w:szCs w:val="22"/>
        </w:rPr>
        <w:t>andelsklassens</w:t>
      </w:r>
      <w:r w:rsidRPr="008E13E6">
        <w:rPr>
          <w:sz w:val="20"/>
          <w:szCs w:val="22"/>
        </w:rPr>
        <w:t xml:space="preserve"> centrale investorinformation, der er tilgængelig på </w:t>
      </w:r>
      <w:r w:rsidR="005D18C4" w:rsidRPr="008E13E6">
        <w:rPr>
          <w:sz w:val="20"/>
        </w:rPr>
        <w:t>www.</w:t>
      </w:r>
      <w:r w:rsidR="005D18C4" w:rsidRPr="008E13E6">
        <w:rPr>
          <w:sz w:val="20"/>
          <w:szCs w:val="22"/>
        </w:rPr>
        <w:t>portfoliomanager.dk</w:t>
      </w:r>
      <w:r w:rsidRPr="008E13E6">
        <w:rPr>
          <w:sz w:val="20"/>
          <w:szCs w:val="22"/>
        </w:rPr>
        <w:t xml:space="preserve">. </w:t>
      </w: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2268"/>
      </w:tblGrid>
      <w:tr w:rsidR="00960E71" w:rsidRPr="008E13E6" w14:paraId="7C5CD118" w14:textId="77777777" w:rsidTr="00960E71">
        <w:trPr>
          <w:trHeight w:val="454"/>
          <w:tblHeader/>
        </w:trPr>
        <w:tc>
          <w:tcPr>
            <w:tcW w:w="5245" w:type="dxa"/>
            <w:vAlign w:val="center"/>
          </w:tcPr>
          <w:p w14:paraId="61251551" w14:textId="77777777" w:rsidR="00960E71" w:rsidRPr="008E13E6" w:rsidRDefault="00960E71" w:rsidP="00960E71">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before="60" w:after="60"/>
              <w:jc w:val="center"/>
              <w:rPr>
                <w:b/>
                <w:bCs/>
                <w:spacing w:val="-3"/>
                <w:sz w:val="20"/>
                <w:szCs w:val="22"/>
              </w:rPr>
            </w:pPr>
            <w:r w:rsidRPr="008E13E6">
              <w:rPr>
                <w:b/>
                <w:bCs/>
                <w:spacing w:val="-3"/>
                <w:sz w:val="20"/>
                <w:szCs w:val="22"/>
              </w:rPr>
              <w:t>Andelsklasse</w:t>
            </w:r>
          </w:p>
        </w:tc>
        <w:tc>
          <w:tcPr>
            <w:tcW w:w="2268" w:type="dxa"/>
            <w:vAlign w:val="center"/>
          </w:tcPr>
          <w:p w14:paraId="66AFABC0" w14:textId="77777777" w:rsidR="00960E71" w:rsidRPr="008E13E6" w:rsidRDefault="00960E71" w:rsidP="00960E71">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before="60" w:after="60"/>
              <w:jc w:val="center"/>
              <w:rPr>
                <w:b/>
                <w:bCs/>
                <w:spacing w:val="-3"/>
                <w:sz w:val="20"/>
                <w:szCs w:val="22"/>
              </w:rPr>
            </w:pPr>
            <w:r w:rsidRPr="008E13E6">
              <w:rPr>
                <w:b/>
                <w:bCs/>
                <w:spacing w:val="-3"/>
                <w:sz w:val="20"/>
                <w:szCs w:val="22"/>
              </w:rPr>
              <w:t>Aktuel risikoklasse</w:t>
            </w:r>
            <w:r w:rsidRPr="008E13E6">
              <w:rPr>
                <w:b/>
                <w:bCs/>
                <w:spacing w:val="-3"/>
                <w:sz w:val="20"/>
                <w:szCs w:val="22"/>
              </w:rPr>
              <w:br/>
            </w:r>
            <w:r w:rsidRPr="008E13E6">
              <w:rPr>
                <w:bCs/>
                <w:spacing w:val="-3"/>
                <w:sz w:val="20"/>
                <w:szCs w:val="22"/>
              </w:rPr>
              <w:t>(skala 1 - 7)</w:t>
            </w:r>
          </w:p>
        </w:tc>
      </w:tr>
      <w:tr w:rsidR="00960E71" w:rsidRPr="008E13E6" w14:paraId="11FC2E82" w14:textId="77777777" w:rsidTr="00960E71">
        <w:trPr>
          <w:trHeight w:val="454"/>
        </w:trPr>
        <w:tc>
          <w:tcPr>
            <w:tcW w:w="5245" w:type="dxa"/>
            <w:vAlign w:val="center"/>
          </w:tcPr>
          <w:p w14:paraId="0FCE7896" w14:textId="77777777" w:rsidR="00960E71" w:rsidRPr="008E13E6" w:rsidRDefault="005D18C4" w:rsidP="00960E71">
            <w:pPr>
              <w:pStyle w:val="Sidehoved"/>
              <w:keepNext/>
              <w:keepLines/>
              <w:tabs>
                <w:tab w:val="clear" w:pos="4819"/>
                <w:tab w:val="clear" w:pos="9638"/>
              </w:tabs>
              <w:rPr>
                <w:bCs/>
                <w:sz w:val="20"/>
                <w:szCs w:val="22"/>
              </w:rPr>
            </w:pPr>
            <w:r w:rsidRPr="008E13E6">
              <w:rPr>
                <w:bCs/>
                <w:sz w:val="20"/>
                <w:szCs w:val="22"/>
              </w:rPr>
              <w:t xml:space="preserve">PP Capital – </w:t>
            </w:r>
            <w:r w:rsidR="009C3621" w:rsidRPr="008E13E6">
              <w:rPr>
                <w:bCs/>
                <w:sz w:val="20"/>
                <w:szCs w:val="22"/>
              </w:rPr>
              <w:t>BASIS, kl n</w:t>
            </w:r>
            <w:r w:rsidR="00C5557F" w:rsidRPr="008E13E6">
              <w:rPr>
                <w:bCs/>
                <w:sz w:val="20"/>
                <w:szCs w:val="22"/>
              </w:rPr>
              <w:t xml:space="preserve"> EUR</w:t>
            </w:r>
          </w:p>
        </w:tc>
        <w:tc>
          <w:tcPr>
            <w:tcW w:w="2268" w:type="dxa"/>
            <w:vAlign w:val="center"/>
          </w:tcPr>
          <w:p w14:paraId="7EF4D77F" w14:textId="77777777" w:rsidR="00960E71" w:rsidRPr="008E13E6" w:rsidRDefault="00C76EA7" w:rsidP="00960E71">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before="60" w:after="60"/>
              <w:jc w:val="center"/>
              <w:rPr>
                <w:spacing w:val="-3"/>
                <w:sz w:val="20"/>
                <w:szCs w:val="22"/>
                <w:lang w:val="en-US"/>
              </w:rPr>
            </w:pPr>
            <w:r>
              <w:rPr>
                <w:spacing w:val="-3"/>
                <w:sz w:val="20"/>
                <w:szCs w:val="22"/>
                <w:lang w:val="en-US"/>
              </w:rPr>
              <w:t>4</w:t>
            </w:r>
          </w:p>
        </w:tc>
      </w:tr>
    </w:tbl>
    <w:p w14:paraId="1290DF03" w14:textId="7067BDD4" w:rsidR="00F613A7" w:rsidRPr="008E13E6" w:rsidRDefault="00084BDC" w:rsidP="00096802">
      <w:pPr>
        <w:widowControl w:val="0"/>
        <w:spacing w:before="120" w:after="120"/>
        <w:rPr>
          <w:i/>
          <w:sz w:val="20"/>
          <w:szCs w:val="22"/>
        </w:rPr>
      </w:pPr>
      <w:r w:rsidRPr="008E13E6">
        <w:rPr>
          <w:sz w:val="20"/>
          <w:szCs w:val="22"/>
        </w:rPr>
        <w:t>I</w:t>
      </w:r>
      <w:r w:rsidR="00F613A7" w:rsidRPr="008E13E6">
        <w:rPr>
          <w:sz w:val="20"/>
          <w:szCs w:val="22"/>
        </w:rPr>
        <w:t xml:space="preserve">nvestor </w:t>
      </w:r>
      <w:r w:rsidRPr="008E13E6">
        <w:rPr>
          <w:sz w:val="20"/>
          <w:szCs w:val="22"/>
        </w:rPr>
        <w:t xml:space="preserve">skal </w:t>
      </w:r>
      <w:r w:rsidR="00F613A7" w:rsidRPr="008E13E6">
        <w:rPr>
          <w:sz w:val="20"/>
          <w:szCs w:val="22"/>
        </w:rPr>
        <w:t xml:space="preserve">i relation til investering være særligt opmærksom på nedenstående risikofaktorer (i uprioriteret rækkefølge), jf. angivelsen for </w:t>
      </w:r>
      <w:proofErr w:type="spellStart"/>
      <w:r w:rsidR="00F613A7" w:rsidRPr="008E13E6">
        <w:rPr>
          <w:sz w:val="20"/>
          <w:szCs w:val="22"/>
        </w:rPr>
        <w:t>a</w:t>
      </w:r>
      <w:r w:rsidR="00BA10C9" w:rsidRPr="008E13E6">
        <w:rPr>
          <w:sz w:val="20"/>
          <w:szCs w:val="22"/>
        </w:rPr>
        <w:t>ndelsklassen</w:t>
      </w:r>
      <w:proofErr w:type="spellEnd"/>
      <w:r w:rsidR="00F613A7" w:rsidRPr="008E13E6">
        <w:rPr>
          <w:sz w:val="20"/>
          <w:szCs w:val="22"/>
        </w:rPr>
        <w:t xml:space="preserve"> i punkt </w:t>
      </w:r>
      <w:r w:rsidR="00BA10C9" w:rsidRPr="008E13E6">
        <w:rPr>
          <w:i/>
          <w:sz w:val="20"/>
          <w:szCs w:val="22"/>
        </w:rPr>
        <w:fldChar w:fldCharType="begin"/>
      </w:r>
      <w:r w:rsidR="00BA10C9" w:rsidRPr="008E13E6">
        <w:rPr>
          <w:i/>
          <w:sz w:val="20"/>
          <w:szCs w:val="22"/>
        </w:rPr>
        <w:instrText xml:space="preserve"> REF _Ref523434089 \r \h </w:instrText>
      </w:r>
      <w:r w:rsidR="008E13E6">
        <w:rPr>
          <w:i/>
          <w:sz w:val="20"/>
          <w:szCs w:val="22"/>
        </w:rPr>
        <w:instrText xml:space="preserve"> \* MERGEFORMAT </w:instrText>
      </w:r>
      <w:r w:rsidR="00BA10C9" w:rsidRPr="008E13E6">
        <w:rPr>
          <w:i/>
          <w:sz w:val="20"/>
          <w:szCs w:val="22"/>
        </w:rPr>
      </w:r>
      <w:r w:rsidR="00BA10C9" w:rsidRPr="008E13E6">
        <w:rPr>
          <w:i/>
          <w:sz w:val="20"/>
          <w:szCs w:val="22"/>
        </w:rPr>
        <w:fldChar w:fldCharType="separate"/>
      </w:r>
      <w:r w:rsidR="00195831">
        <w:rPr>
          <w:i/>
          <w:sz w:val="20"/>
          <w:szCs w:val="22"/>
        </w:rPr>
        <w:t>8</w:t>
      </w:r>
      <w:r w:rsidR="00BA10C9" w:rsidRPr="008E13E6">
        <w:rPr>
          <w:i/>
          <w:sz w:val="20"/>
          <w:szCs w:val="22"/>
        </w:rPr>
        <w:fldChar w:fldCharType="end"/>
      </w:r>
      <w:r w:rsidR="00BA10C9" w:rsidRPr="008E13E6">
        <w:rPr>
          <w:i/>
          <w:sz w:val="20"/>
          <w:szCs w:val="22"/>
        </w:rPr>
        <w:t xml:space="preserve">. </w:t>
      </w:r>
      <w:r w:rsidR="00BA10C9" w:rsidRPr="008E13E6">
        <w:rPr>
          <w:i/>
          <w:sz w:val="20"/>
          <w:szCs w:val="22"/>
        </w:rPr>
        <w:fldChar w:fldCharType="begin"/>
      </w:r>
      <w:r w:rsidR="00BA10C9" w:rsidRPr="008E13E6">
        <w:rPr>
          <w:i/>
          <w:sz w:val="20"/>
          <w:szCs w:val="22"/>
        </w:rPr>
        <w:instrText xml:space="preserve"> REF _Ref523434090 \h </w:instrText>
      </w:r>
      <w:r w:rsidR="008E13E6">
        <w:rPr>
          <w:i/>
          <w:sz w:val="20"/>
          <w:szCs w:val="22"/>
        </w:rPr>
        <w:instrText xml:space="preserve"> \* MERGEFORMAT </w:instrText>
      </w:r>
      <w:r w:rsidR="00BA10C9" w:rsidRPr="008E13E6">
        <w:rPr>
          <w:i/>
          <w:sz w:val="20"/>
          <w:szCs w:val="22"/>
        </w:rPr>
      </w:r>
      <w:r w:rsidR="00BA10C9" w:rsidRPr="008E13E6">
        <w:rPr>
          <w:i/>
          <w:sz w:val="20"/>
          <w:szCs w:val="22"/>
        </w:rPr>
        <w:fldChar w:fldCharType="separate"/>
      </w:r>
      <w:r w:rsidR="00195831" w:rsidRPr="008E13E6">
        <w:rPr>
          <w:i/>
          <w:sz w:val="20"/>
          <w:szCs w:val="22"/>
        </w:rPr>
        <w:t xml:space="preserve">Afdeling og </w:t>
      </w:r>
      <w:proofErr w:type="spellStart"/>
      <w:r w:rsidR="00195831" w:rsidRPr="008E13E6">
        <w:rPr>
          <w:i/>
          <w:sz w:val="20"/>
          <w:szCs w:val="22"/>
        </w:rPr>
        <w:t>andelsklasse</w:t>
      </w:r>
      <w:proofErr w:type="spellEnd"/>
      <w:r w:rsidR="00BA10C9" w:rsidRPr="008E13E6">
        <w:rPr>
          <w:i/>
          <w:sz w:val="20"/>
          <w:szCs w:val="22"/>
        </w:rPr>
        <w:fldChar w:fldCharType="end"/>
      </w:r>
      <w:r w:rsidR="00F613A7" w:rsidRPr="008E13E6">
        <w:rPr>
          <w:i/>
          <w:sz w:val="20"/>
          <w:szCs w:val="22"/>
        </w:rPr>
        <w:t>.</w:t>
      </w:r>
    </w:p>
    <w:p w14:paraId="5AC828E4" w14:textId="77777777" w:rsidR="00C5557F" w:rsidRPr="008E13E6" w:rsidRDefault="00C5557F" w:rsidP="00C5557F">
      <w:pPr>
        <w:spacing w:after="120"/>
        <w:rPr>
          <w:sz w:val="20"/>
        </w:rPr>
      </w:pPr>
      <w:r w:rsidRPr="008E13E6">
        <w:rPr>
          <w:sz w:val="20"/>
          <w:u w:val="single"/>
        </w:rPr>
        <w:t>Kreditrisiko</w:t>
      </w:r>
      <w:r w:rsidRPr="008E13E6">
        <w:rPr>
          <w:sz w:val="20"/>
        </w:rPr>
        <w:t xml:space="preserve">: Inden for forskellige obligationstyper – statsobligationer, realkreditobligationer, emerging markets-obligationer, virksomhedsobligationer, kreditobligationer osv. – er der en kreditrisiko relateret til, om obligationerne modsvarer reelle værdier, om udsteder får forringet sin kreditrating, og/eller hvorvidt udstederen vil være i stand til at honorere sine betalingsforpligtelser. </w:t>
      </w:r>
    </w:p>
    <w:p w14:paraId="4BD59283" w14:textId="77777777" w:rsidR="00C5557F" w:rsidRPr="008E13E6" w:rsidRDefault="00C5557F" w:rsidP="00C5557F">
      <w:pPr>
        <w:spacing w:after="120"/>
        <w:rPr>
          <w:sz w:val="20"/>
          <w:szCs w:val="22"/>
        </w:rPr>
      </w:pPr>
      <w:r w:rsidRPr="008E13E6">
        <w:rPr>
          <w:sz w:val="20"/>
          <w:szCs w:val="22"/>
          <w:u w:val="single"/>
        </w:rPr>
        <w:t>Modpartsrisiko:</w:t>
      </w:r>
      <w:r w:rsidRPr="008E13E6">
        <w:rPr>
          <w:sz w:val="20"/>
        </w:rPr>
        <w:t xml:space="preserve"> Der kan være tilfælde, hvor afdelingens depotbank ikke kan gennemføre eller afvikle handler i de underliggende værdipapirer som aftalt. Dette omfatter, men er ikke begrænset til, handler, hvor modparten ikke lever op til de aftalte handelsbetingelser, eller hvis modparten på anden vis forsømmer sine forpligtelser.</w:t>
      </w:r>
    </w:p>
    <w:p w14:paraId="5B6283B4" w14:textId="77777777" w:rsidR="00C5557F" w:rsidRPr="008E13E6" w:rsidRDefault="00C5557F" w:rsidP="00C5557F">
      <w:pPr>
        <w:spacing w:after="120"/>
        <w:rPr>
          <w:sz w:val="20"/>
        </w:rPr>
      </w:pPr>
      <w:r w:rsidRPr="008E13E6">
        <w:rPr>
          <w:sz w:val="20"/>
          <w:u w:val="single"/>
        </w:rPr>
        <w:t>Obligationsmarkedsrisiko</w:t>
      </w:r>
      <w:r w:rsidRPr="008E13E6">
        <w:rPr>
          <w:sz w:val="20"/>
        </w:rPr>
        <w:t xml:space="preserve">: Obligationsmarkedet kan blive udsat for specielle politiske eller reguleringsmæssige tiltag, som kan påvirke værdien af afdelingens investeringer. Desuden vil markedsmæssige eller generelle økonomiske forhold, herunder renteudviklingen globalt, påvirke investeringernes værdi. </w:t>
      </w:r>
    </w:p>
    <w:p w14:paraId="6D63819B" w14:textId="77777777" w:rsidR="00C5557F" w:rsidRPr="008E13E6" w:rsidRDefault="00C5557F" w:rsidP="00C5557F">
      <w:pPr>
        <w:spacing w:after="120"/>
        <w:rPr>
          <w:sz w:val="20"/>
        </w:rPr>
      </w:pPr>
      <w:r w:rsidRPr="008E13E6">
        <w:rPr>
          <w:sz w:val="20"/>
          <w:u w:val="single"/>
        </w:rPr>
        <w:t>Renterisiko</w:t>
      </w:r>
      <w:r w:rsidRPr="008E13E6">
        <w:rPr>
          <w:sz w:val="20"/>
        </w:rPr>
        <w:t xml:space="preserve">: Renteudviklingen varierer fra region til region og skal ses i sammenhæng med blandt andet inflationsniveauet. Renteniveauet spiller en stor rolle for, hvor attraktivt det er at investere i blandt andet obligationer, samtidig med at ændringer i renteniveauet kan give kursfald/-stigninger. Når renteniveauet stiger, kan det betyde kursfald. Begrebet varighed udtrykker blandt andet kursrisikoen på de obligationer, der investeres i. Jo lavere varighed, desto mere kursstabile er obligationerne, hvis renten ændrer sig. </w:t>
      </w:r>
    </w:p>
    <w:p w14:paraId="1D7002C2" w14:textId="77777777" w:rsidR="00C5557F" w:rsidRPr="008E13E6" w:rsidRDefault="00C5557F" w:rsidP="00C5557F">
      <w:pPr>
        <w:rPr>
          <w:sz w:val="20"/>
          <w:szCs w:val="22"/>
        </w:rPr>
      </w:pPr>
      <w:r w:rsidRPr="008E13E6">
        <w:rPr>
          <w:sz w:val="20"/>
          <w:szCs w:val="22"/>
          <w:u w:val="single"/>
        </w:rPr>
        <w:t>Risiko vedrørende investeringsområdet</w:t>
      </w:r>
      <w:r w:rsidRPr="008E13E6">
        <w:rPr>
          <w:sz w:val="20"/>
          <w:szCs w:val="22"/>
        </w:rPr>
        <w:t>: Hvis der er mange investeringer inden for en bestemt sektor,</w:t>
      </w:r>
    </w:p>
    <w:p w14:paraId="6D26923B" w14:textId="77777777" w:rsidR="00C5557F" w:rsidRPr="008E13E6" w:rsidRDefault="00C5557F" w:rsidP="00C5557F">
      <w:pPr>
        <w:rPr>
          <w:sz w:val="20"/>
          <w:szCs w:val="22"/>
        </w:rPr>
      </w:pPr>
      <w:r w:rsidRPr="008E13E6">
        <w:rPr>
          <w:sz w:val="20"/>
          <w:szCs w:val="22"/>
        </w:rPr>
        <w:t xml:space="preserve">f.eks. </w:t>
      </w:r>
      <w:r w:rsidR="00251310" w:rsidRPr="008E13E6">
        <w:rPr>
          <w:sz w:val="20"/>
          <w:szCs w:val="22"/>
        </w:rPr>
        <w:t xml:space="preserve">alternativer, </w:t>
      </w:r>
      <w:r w:rsidRPr="008E13E6">
        <w:rPr>
          <w:sz w:val="20"/>
          <w:szCs w:val="22"/>
        </w:rPr>
        <w:t xml:space="preserve">bioteknologi </w:t>
      </w:r>
      <w:r w:rsidR="008E13E6" w:rsidRPr="008E13E6">
        <w:rPr>
          <w:sz w:val="20"/>
          <w:szCs w:val="22"/>
        </w:rPr>
        <w:t>m.fl.</w:t>
      </w:r>
      <w:r w:rsidRPr="008E13E6">
        <w:rPr>
          <w:sz w:val="20"/>
          <w:szCs w:val="22"/>
        </w:rPr>
        <w:t>, er afkastet meget afhængig af udviklingen inden for netop denne</w:t>
      </w:r>
    </w:p>
    <w:p w14:paraId="7BC4E5C1" w14:textId="77777777" w:rsidR="00C5557F" w:rsidRPr="008E13E6" w:rsidRDefault="00C5557F" w:rsidP="00C5557F">
      <w:pPr>
        <w:rPr>
          <w:sz w:val="20"/>
          <w:szCs w:val="22"/>
        </w:rPr>
      </w:pPr>
      <w:r w:rsidRPr="008E13E6">
        <w:rPr>
          <w:sz w:val="20"/>
          <w:szCs w:val="22"/>
        </w:rPr>
        <w:t>sektor.</w:t>
      </w:r>
    </w:p>
    <w:p w14:paraId="4BAF14EC" w14:textId="77777777" w:rsidR="00C5557F" w:rsidRPr="008E13E6" w:rsidRDefault="00C5557F" w:rsidP="00C5557F">
      <w:pPr>
        <w:spacing w:before="120"/>
        <w:rPr>
          <w:sz w:val="20"/>
          <w:szCs w:val="22"/>
        </w:rPr>
      </w:pPr>
      <w:r w:rsidRPr="008E13E6">
        <w:rPr>
          <w:sz w:val="20"/>
          <w:szCs w:val="22"/>
          <w:u w:val="single"/>
        </w:rPr>
        <w:t>Risiko vedrørende nye markeder/emerging markets</w:t>
      </w:r>
      <w:r w:rsidRPr="008E13E6">
        <w:rPr>
          <w:sz w:val="20"/>
          <w:szCs w:val="22"/>
        </w:rPr>
        <w:t>: Begrebet ”nye markeder” omfatter stort set alle</w:t>
      </w:r>
    </w:p>
    <w:p w14:paraId="16C28CA9" w14:textId="77777777" w:rsidR="00C5557F" w:rsidRPr="008E13E6" w:rsidRDefault="00C5557F" w:rsidP="00C5557F">
      <w:pPr>
        <w:rPr>
          <w:sz w:val="20"/>
          <w:szCs w:val="22"/>
        </w:rPr>
      </w:pPr>
      <w:r w:rsidRPr="008E13E6">
        <w:rPr>
          <w:sz w:val="20"/>
          <w:szCs w:val="22"/>
        </w:rPr>
        <w:t>lande i Latinamerika, Asien (ekskl. Japan, Hongkong og Singapore), Østeuropa og Afrika. Landene kan</w:t>
      </w:r>
    </w:p>
    <w:p w14:paraId="409AEA97" w14:textId="77777777" w:rsidR="00C5557F" w:rsidRPr="008E13E6" w:rsidRDefault="00C5557F" w:rsidP="00C5557F">
      <w:pPr>
        <w:rPr>
          <w:sz w:val="20"/>
          <w:szCs w:val="22"/>
        </w:rPr>
      </w:pPr>
      <w:r w:rsidRPr="008E13E6">
        <w:rPr>
          <w:sz w:val="20"/>
          <w:szCs w:val="22"/>
        </w:rPr>
        <w:t>være kendetegnet ved politisk ustabilitet, relativt usikre finansmarkeder, relativ usikker økonomisk</w:t>
      </w:r>
    </w:p>
    <w:p w14:paraId="1226695E" w14:textId="77777777" w:rsidR="00C5557F" w:rsidRPr="008E13E6" w:rsidRDefault="00C5557F" w:rsidP="00C5557F">
      <w:pPr>
        <w:rPr>
          <w:sz w:val="20"/>
          <w:szCs w:val="22"/>
        </w:rPr>
      </w:pPr>
      <w:r w:rsidRPr="008E13E6">
        <w:rPr>
          <w:sz w:val="20"/>
          <w:szCs w:val="22"/>
        </w:rPr>
        <w:t>udvikling samt aktie- og obligationsmarkeder, som er under udvikling. Investeringer på de nye</w:t>
      </w:r>
    </w:p>
    <w:p w14:paraId="66A4EBB3" w14:textId="77777777" w:rsidR="00C5557F" w:rsidRPr="008E13E6" w:rsidRDefault="00C5557F" w:rsidP="00C5557F">
      <w:pPr>
        <w:rPr>
          <w:sz w:val="20"/>
          <w:szCs w:val="22"/>
        </w:rPr>
      </w:pPr>
      <w:r w:rsidRPr="008E13E6">
        <w:rPr>
          <w:sz w:val="20"/>
          <w:szCs w:val="22"/>
        </w:rPr>
        <w:t>markeder kan være forbundet med særlige risici, der ikke forekommer på de udviklede markeder. Et</w:t>
      </w:r>
    </w:p>
    <w:p w14:paraId="5FF326D7" w14:textId="77777777" w:rsidR="00C5557F" w:rsidRPr="008E13E6" w:rsidRDefault="00C5557F" w:rsidP="00C5557F">
      <w:pPr>
        <w:rPr>
          <w:sz w:val="20"/>
          <w:szCs w:val="22"/>
        </w:rPr>
      </w:pPr>
      <w:r w:rsidRPr="008E13E6">
        <w:rPr>
          <w:sz w:val="20"/>
          <w:szCs w:val="22"/>
        </w:rPr>
        <w:t>ustabilt politisk system indebærer en øget risiko for pludselige og grundlæggende omvæltninger inden</w:t>
      </w:r>
    </w:p>
    <w:p w14:paraId="0E25E6C4" w14:textId="77777777" w:rsidR="00C5557F" w:rsidRPr="008E13E6" w:rsidRDefault="00C5557F" w:rsidP="00C5557F">
      <w:pPr>
        <w:rPr>
          <w:sz w:val="20"/>
          <w:szCs w:val="22"/>
        </w:rPr>
      </w:pPr>
      <w:r w:rsidRPr="008E13E6">
        <w:rPr>
          <w:sz w:val="20"/>
          <w:szCs w:val="22"/>
        </w:rPr>
        <w:t>for økonomi og politik. For investorer kan dette eksempelvis bevirke, at aktiver nationaliseres, at</w:t>
      </w:r>
    </w:p>
    <w:p w14:paraId="5F12ACD1" w14:textId="77777777" w:rsidR="00C5557F" w:rsidRPr="008E13E6" w:rsidRDefault="00C5557F" w:rsidP="00C5557F">
      <w:pPr>
        <w:rPr>
          <w:sz w:val="20"/>
          <w:szCs w:val="22"/>
        </w:rPr>
      </w:pPr>
      <w:r w:rsidRPr="008E13E6">
        <w:rPr>
          <w:sz w:val="20"/>
          <w:szCs w:val="22"/>
        </w:rPr>
        <w:t>rådigheden over aktiver begrænses, eller at der indføres statslige overvågnings- og kontrolmekanismer.</w:t>
      </w:r>
    </w:p>
    <w:p w14:paraId="6A7CAFEE" w14:textId="77777777" w:rsidR="00C5557F" w:rsidRPr="008E13E6" w:rsidRDefault="00C5557F" w:rsidP="00C5557F">
      <w:pPr>
        <w:rPr>
          <w:sz w:val="20"/>
          <w:szCs w:val="22"/>
        </w:rPr>
      </w:pPr>
      <w:r w:rsidRPr="008E13E6">
        <w:rPr>
          <w:sz w:val="20"/>
          <w:szCs w:val="22"/>
        </w:rPr>
        <w:t>Valutaerne er ofte udsat for store og uforudsete udsving. Nogle lande har enten allerede indført</w:t>
      </w:r>
    </w:p>
    <w:p w14:paraId="4C762DC7" w14:textId="77777777" w:rsidR="00C5557F" w:rsidRPr="008E13E6" w:rsidRDefault="00C5557F" w:rsidP="00C5557F">
      <w:pPr>
        <w:rPr>
          <w:sz w:val="20"/>
          <w:szCs w:val="22"/>
        </w:rPr>
      </w:pPr>
      <w:r w:rsidRPr="008E13E6">
        <w:rPr>
          <w:sz w:val="20"/>
          <w:szCs w:val="22"/>
        </w:rPr>
        <w:t>restriktioner med hensyn til udførsel af valuta eller kan gøre det med kort varsel. Markedslikviditeten</w:t>
      </w:r>
    </w:p>
    <w:p w14:paraId="6CC70FD8" w14:textId="77777777" w:rsidR="00C5557F" w:rsidRPr="008E13E6" w:rsidRDefault="00C5557F" w:rsidP="00C5557F">
      <w:pPr>
        <w:rPr>
          <w:sz w:val="20"/>
          <w:szCs w:val="22"/>
        </w:rPr>
      </w:pPr>
      <w:r w:rsidRPr="008E13E6">
        <w:rPr>
          <w:sz w:val="20"/>
          <w:szCs w:val="22"/>
        </w:rPr>
        <w:t>på de nye markeder kan være faldende som følge af økonomiske og politiske ændringer. Effekten kan</w:t>
      </w:r>
    </w:p>
    <w:p w14:paraId="2BB7C888" w14:textId="77777777" w:rsidR="00C5557F" w:rsidRPr="008E13E6" w:rsidRDefault="00C5557F" w:rsidP="00C5557F">
      <w:pPr>
        <w:rPr>
          <w:sz w:val="20"/>
          <w:szCs w:val="22"/>
        </w:rPr>
      </w:pPr>
      <w:r w:rsidRPr="008E13E6">
        <w:rPr>
          <w:sz w:val="20"/>
          <w:szCs w:val="22"/>
        </w:rPr>
        <w:t>også være mere vedvarende.</w:t>
      </w:r>
    </w:p>
    <w:p w14:paraId="4494D502" w14:textId="77777777" w:rsidR="00C5557F" w:rsidRPr="008E13E6" w:rsidRDefault="00C5557F" w:rsidP="00C5557F">
      <w:pPr>
        <w:spacing w:before="120"/>
        <w:rPr>
          <w:sz w:val="20"/>
          <w:szCs w:val="22"/>
        </w:rPr>
      </w:pPr>
      <w:r w:rsidRPr="008E13E6">
        <w:rPr>
          <w:sz w:val="20"/>
          <w:szCs w:val="22"/>
          <w:u w:val="single"/>
        </w:rPr>
        <w:t>Risiko vedr. kontantindestående</w:t>
      </w:r>
      <w:r w:rsidRPr="008E13E6">
        <w:rPr>
          <w:sz w:val="20"/>
          <w:szCs w:val="22"/>
        </w:rPr>
        <w:t>: En afdeling kan have et større eller mindre del af sin formue som kontantindestående eller som aftale indskud i et pengeinstitut, herunder foreningens depotselskab. Det giver afdelingen en risiko for tab, hvis pengeinstituttet går konkurs.</w:t>
      </w:r>
    </w:p>
    <w:p w14:paraId="1CBC9222" w14:textId="77777777" w:rsidR="00C5557F" w:rsidRPr="008E13E6" w:rsidRDefault="00C5557F" w:rsidP="00C5557F">
      <w:pPr>
        <w:spacing w:before="120" w:after="120"/>
        <w:rPr>
          <w:sz w:val="20"/>
          <w:szCs w:val="22"/>
        </w:rPr>
      </w:pPr>
      <w:r w:rsidRPr="008E13E6">
        <w:rPr>
          <w:sz w:val="20"/>
          <w:szCs w:val="22"/>
          <w:u w:val="single"/>
        </w:rPr>
        <w:t>Risiko vedr. udsving på aktiemarkedet:</w:t>
      </w:r>
      <w:r w:rsidRPr="008E13E6">
        <w:rPr>
          <w:sz w:val="20"/>
          <w:szCs w:val="22"/>
        </w:rPr>
        <w:t xml:space="preserve"> Aktiemarkeder kan svinge meget og kan falde væsentligt. Udsving kan blandt andet være en reaktion på selskabsspecifikke, politiske og reguleringsmæssige forhold eller som en konsekvens af sektormæssige, regionale, lokale eller generelle markedsmæssige og økonomiske forhold. </w:t>
      </w:r>
    </w:p>
    <w:p w14:paraId="093EE51E" w14:textId="77777777" w:rsidR="00C5557F" w:rsidRPr="008E13E6" w:rsidRDefault="00C5557F" w:rsidP="00C5557F">
      <w:pPr>
        <w:spacing w:after="120"/>
        <w:rPr>
          <w:sz w:val="20"/>
          <w:szCs w:val="22"/>
        </w:rPr>
      </w:pPr>
      <w:r w:rsidRPr="008E13E6">
        <w:rPr>
          <w:sz w:val="20"/>
          <w:szCs w:val="22"/>
          <w:u w:val="single"/>
        </w:rPr>
        <w:t>Risiko vedr. selskabsspecifikke forhold:</w:t>
      </w:r>
      <w:r w:rsidRPr="008E13E6">
        <w:rPr>
          <w:sz w:val="20"/>
          <w:szCs w:val="22"/>
        </w:rPr>
        <w:t xml:space="preserve"> Værdien af et enkelt værdipapir kan svinge mere end det samlede marked og kan derved give et afkast, som er meget forskelligt fra markedets. Forskydninger på valutamarkedet samt lovgivningsmæssige, konkurrencemæssige, markedsmæssige og likviditetsmæssige forhold vil kunne påvirke selskabernes indtjening. Afhængig af det enkelte værdipapirs vægt i porteføljen kan værdien af afdelingen variere i større eller mindre omfang som følge af kursudsving i værdipapiret. Selskaber kan gå konkurs, hvorved investeringen heri vil være tabt.</w:t>
      </w:r>
    </w:p>
    <w:p w14:paraId="4CE85D4E" w14:textId="77777777" w:rsidR="00C5557F" w:rsidRPr="008E13E6" w:rsidRDefault="00C5557F" w:rsidP="00C5557F">
      <w:pPr>
        <w:spacing w:after="120"/>
        <w:rPr>
          <w:sz w:val="20"/>
          <w:szCs w:val="22"/>
        </w:rPr>
      </w:pPr>
      <w:r w:rsidRPr="008E13E6">
        <w:rPr>
          <w:sz w:val="20"/>
          <w:szCs w:val="22"/>
          <w:u w:val="single"/>
        </w:rPr>
        <w:t>Valutakursrisiko:</w:t>
      </w:r>
      <w:r w:rsidRPr="008E13E6">
        <w:rPr>
          <w:sz w:val="20"/>
          <w:szCs w:val="22"/>
        </w:rPr>
        <w:t xml:space="preserve"> Investeringer i udenlandske værdipapirer giver eksponering mod valutaer, som kan have større eller mindre udsving i forhold til danske kroner. Derfor vil afdelingens kurs blive påvirket af udsving i valutakurserne mellem disse valutaer og afdelingens basisvaluta. Afdelinger, som investerer i danske værdipapirer, har ingen direkte valutarisiko, mens afdelinger som investerer i europæiske værdipapirer, har begrænset valutarisiko.</w:t>
      </w:r>
    </w:p>
    <w:p w14:paraId="09505607" w14:textId="77777777" w:rsidR="00566604" w:rsidRPr="008E13E6" w:rsidRDefault="00C5557F" w:rsidP="00C5557F">
      <w:pPr>
        <w:spacing w:after="120"/>
        <w:rPr>
          <w:sz w:val="20"/>
          <w:szCs w:val="22"/>
        </w:rPr>
      </w:pPr>
      <w:r w:rsidRPr="008E13E6">
        <w:rPr>
          <w:sz w:val="20"/>
          <w:szCs w:val="22"/>
        </w:rPr>
        <w:lastRenderedPageBreak/>
        <w:t>Ovenstående omtale af risikofaktorer er ikke udtømmende, idet andre faktorer ligeledes kan have indflydelse på fastsættelsen af aktiernes/obligationernes værdi. Desuden kan forskellige dele af markederne reagere forskelligt på disse forhold.</w:t>
      </w:r>
      <w:r w:rsidR="00E96EE8" w:rsidRPr="008E13E6">
        <w:rPr>
          <w:sz w:val="20"/>
          <w:szCs w:val="22"/>
        </w:rPr>
        <w:t xml:space="preserve"> </w:t>
      </w:r>
    </w:p>
    <w:p w14:paraId="6A00F21A"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90" w:name="_Toc395703411"/>
      <w:bookmarkStart w:id="91" w:name="_Toc9239906"/>
      <w:bookmarkStart w:id="92" w:name="_Toc414000032"/>
      <w:bookmarkStart w:id="93" w:name="_Toc443370882"/>
      <w:r w:rsidRPr="008E13E6">
        <w:rPr>
          <w:i/>
          <w:sz w:val="20"/>
          <w:szCs w:val="22"/>
        </w:rPr>
        <w:t>Den typiske investor</w:t>
      </w:r>
      <w:bookmarkEnd w:id="90"/>
      <w:bookmarkEnd w:id="91"/>
      <w:r w:rsidRPr="008E13E6">
        <w:rPr>
          <w:i/>
          <w:sz w:val="20"/>
          <w:szCs w:val="22"/>
        </w:rPr>
        <w:t xml:space="preserve"> </w:t>
      </w:r>
      <w:bookmarkEnd w:id="92"/>
      <w:bookmarkEnd w:id="93"/>
    </w:p>
    <w:p w14:paraId="4154CC0D" w14:textId="77777777" w:rsidR="00F613A7" w:rsidRPr="008E13E6" w:rsidRDefault="00F613A7" w:rsidP="00F613A7">
      <w:pPr>
        <w:spacing w:after="120"/>
        <w:rPr>
          <w:sz w:val="20"/>
        </w:rPr>
      </w:pPr>
      <w:bookmarkStart w:id="94" w:name="_Ref261362110"/>
      <w:bookmarkStart w:id="95" w:name="_Toc395703412"/>
      <w:bookmarkStart w:id="96" w:name="_Toc414000033"/>
      <w:r w:rsidRPr="008E13E6">
        <w:rPr>
          <w:sz w:val="20"/>
        </w:rPr>
        <w:t xml:space="preserve">Den typiske investor i </w:t>
      </w:r>
      <w:r w:rsidR="00084BDC" w:rsidRPr="008E13E6">
        <w:rPr>
          <w:sz w:val="20"/>
        </w:rPr>
        <w:t>andelsklassen</w:t>
      </w:r>
      <w:r w:rsidRPr="008E13E6">
        <w:rPr>
          <w:sz w:val="20"/>
        </w:rPr>
        <w:t xml:space="preserve"> ønsker at drage fordel af den indbyggede risikospredning inden for </w:t>
      </w:r>
      <w:r w:rsidR="00084BDC" w:rsidRPr="008E13E6">
        <w:rPr>
          <w:sz w:val="20"/>
        </w:rPr>
        <w:t>andelsklassens</w:t>
      </w:r>
      <w:r w:rsidRPr="008E13E6">
        <w:rPr>
          <w:sz w:val="20"/>
        </w:rPr>
        <w:t xml:space="preserve"> investeringsområde frem for selv at foretage enkeltinvesteringer og opbygge en individuel værdipapirportefølje. Den typiske investor i </w:t>
      </w:r>
      <w:r w:rsidR="0077494B" w:rsidRPr="008E13E6">
        <w:rPr>
          <w:sz w:val="20"/>
        </w:rPr>
        <w:t>andelsklassen</w:t>
      </w:r>
      <w:r w:rsidRPr="008E13E6">
        <w:rPr>
          <w:sz w:val="20"/>
        </w:rPr>
        <w:t xml:space="preserve"> betragter investeringen som et element, der indgår i en samlet portefølje.  </w:t>
      </w:r>
    </w:p>
    <w:p w14:paraId="6D24EB2F" w14:textId="77777777" w:rsidR="00F613A7" w:rsidRPr="008E13E6" w:rsidRDefault="00F613A7" w:rsidP="000B6C4F">
      <w:pPr>
        <w:spacing w:before="120" w:after="240"/>
        <w:rPr>
          <w:sz w:val="20"/>
        </w:rPr>
      </w:pPr>
      <w:r w:rsidRPr="008E13E6">
        <w:rPr>
          <w:sz w:val="20"/>
        </w:rPr>
        <w:t>Se endvidere skemaet nedenfor vedrørende andre typiske forhold.</w:t>
      </w:r>
    </w:p>
    <w:tbl>
      <w:tblPr>
        <w:tblStyle w:val="Tabel-Gitter"/>
        <w:tblW w:w="9355" w:type="dxa"/>
        <w:tblInd w:w="108" w:type="dxa"/>
        <w:tblLook w:val="04A0" w:firstRow="1" w:lastRow="0" w:firstColumn="1" w:lastColumn="0" w:noHBand="0" w:noVBand="1"/>
      </w:tblPr>
      <w:tblGrid>
        <w:gridCol w:w="3715"/>
        <w:gridCol w:w="3118"/>
        <w:gridCol w:w="2522"/>
      </w:tblGrid>
      <w:tr w:rsidR="00F613A7" w:rsidRPr="008E13E6" w14:paraId="454BF811" w14:textId="77777777" w:rsidTr="00B868CD">
        <w:trPr>
          <w:trHeight w:val="454"/>
        </w:trPr>
        <w:tc>
          <w:tcPr>
            <w:tcW w:w="3715" w:type="dxa"/>
            <w:vAlign w:val="center"/>
          </w:tcPr>
          <w:p w14:paraId="3C5F4975" w14:textId="77777777" w:rsidR="00F613A7" w:rsidRPr="008E13E6" w:rsidRDefault="00F613A7" w:rsidP="00960E71">
            <w:pPr>
              <w:pStyle w:val="Sidehoved"/>
              <w:keepNext/>
              <w:keepLines/>
              <w:tabs>
                <w:tab w:val="clear" w:pos="4819"/>
                <w:tab w:val="clear" w:pos="9638"/>
              </w:tabs>
              <w:jc w:val="center"/>
              <w:rPr>
                <w:b/>
                <w:bCs/>
                <w:szCs w:val="22"/>
              </w:rPr>
            </w:pPr>
            <w:r w:rsidRPr="008E13E6">
              <w:rPr>
                <w:b/>
                <w:bCs/>
                <w:szCs w:val="22"/>
              </w:rPr>
              <w:t>Afdeling</w:t>
            </w:r>
          </w:p>
        </w:tc>
        <w:tc>
          <w:tcPr>
            <w:tcW w:w="3118" w:type="dxa"/>
            <w:vAlign w:val="center"/>
          </w:tcPr>
          <w:p w14:paraId="2E91F030" w14:textId="77777777" w:rsidR="00F613A7" w:rsidRPr="008E13E6" w:rsidRDefault="00F613A7" w:rsidP="00E96EE8">
            <w:pPr>
              <w:spacing w:before="60" w:after="60"/>
              <w:jc w:val="center"/>
              <w:rPr>
                <w:b/>
                <w:szCs w:val="22"/>
              </w:rPr>
            </w:pPr>
            <w:r w:rsidRPr="008E13E6">
              <w:rPr>
                <w:b/>
                <w:szCs w:val="22"/>
              </w:rPr>
              <w:t xml:space="preserve">Typisk </w:t>
            </w:r>
            <w:r w:rsidR="00E96EE8" w:rsidRPr="008E13E6">
              <w:rPr>
                <w:b/>
                <w:szCs w:val="22"/>
              </w:rPr>
              <w:t>investor og midler</w:t>
            </w:r>
          </w:p>
        </w:tc>
        <w:tc>
          <w:tcPr>
            <w:tcW w:w="2522" w:type="dxa"/>
            <w:vAlign w:val="center"/>
          </w:tcPr>
          <w:p w14:paraId="2FB81D62" w14:textId="77777777" w:rsidR="00F613A7" w:rsidRPr="008E13E6" w:rsidRDefault="00F613A7" w:rsidP="00F613A7">
            <w:pPr>
              <w:spacing w:before="60" w:after="60"/>
              <w:jc w:val="center"/>
              <w:rPr>
                <w:b/>
                <w:szCs w:val="22"/>
              </w:rPr>
            </w:pPr>
            <w:r w:rsidRPr="008E13E6">
              <w:rPr>
                <w:b/>
                <w:szCs w:val="22"/>
              </w:rPr>
              <w:t xml:space="preserve">Typisk </w:t>
            </w:r>
            <w:r w:rsidRPr="008E13E6">
              <w:rPr>
                <w:b/>
                <w:szCs w:val="22"/>
              </w:rPr>
              <w:br/>
              <w:t xml:space="preserve">investeringshorisont, </w:t>
            </w:r>
            <w:r w:rsidRPr="008E13E6">
              <w:rPr>
                <w:b/>
                <w:szCs w:val="22"/>
              </w:rPr>
              <w:br/>
              <w:t>minimum</w:t>
            </w:r>
          </w:p>
        </w:tc>
      </w:tr>
      <w:tr w:rsidR="0077494B" w:rsidRPr="008E13E6" w14:paraId="5052B211" w14:textId="77777777" w:rsidTr="00B868CD">
        <w:trPr>
          <w:trHeight w:val="454"/>
        </w:trPr>
        <w:tc>
          <w:tcPr>
            <w:tcW w:w="3715" w:type="dxa"/>
            <w:vAlign w:val="center"/>
          </w:tcPr>
          <w:p w14:paraId="0E787840" w14:textId="77777777" w:rsidR="0077494B" w:rsidRPr="008E13E6" w:rsidRDefault="0077494B" w:rsidP="00BF3A00">
            <w:pPr>
              <w:pStyle w:val="Sidehoved"/>
              <w:keepNext/>
              <w:keepLines/>
              <w:tabs>
                <w:tab w:val="clear" w:pos="4819"/>
                <w:tab w:val="clear" w:pos="9638"/>
              </w:tabs>
              <w:spacing w:before="60" w:after="60"/>
              <w:jc w:val="center"/>
              <w:rPr>
                <w:bCs/>
                <w:szCs w:val="22"/>
                <w:lang w:val="en-US"/>
              </w:rPr>
            </w:pPr>
            <w:bookmarkStart w:id="97" w:name="_Toc443370794"/>
            <w:bookmarkStart w:id="98" w:name="_Toc443370884"/>
            <w:r w:rsidRPr="008E13E6">
              <w:rPr>
                <w:bCs/>
                <w:szCs w:val="22"/>
                <w:lang w:val="en-US"/>
              </w:rPr>
              <w:t xml:space="preserve">PP Capital – </w:t>
            </w:r>
            <w:r w:rsidR="009C3621" w:rsidRPr="008E13E6">
              <w:rPr>
                <w:bCs/>
                <w:szCs w:val="22"/>
                <w:lang w:val="en-US"/>
              </w:rPr>
              <w:t>BASIS, kl n</w:t>
            </w:r>
            <w:bookmarkEnd w:id="97"/>
            <w:bookmarkEnd w:id="98"/>
            <w:r w:rsidR="00251310" w:rsidRPr="008E13E6">
              <w:rPr>
                <w:bCs/>
                <w:szCs w:val="22"/>
                <w:lang w:val="en-US"/>
              </w:rPr>
              <w:t xml:space="preserve"> EUR</w:t>
            </w:r>
          </w:p>
        </w:tc>
        <w:tc>
          <w:tcPr>
            <w:tcW w:w="3118" w:type="dxa"/>
          </w:tcPr>
          <w:p w14:paraId="3EA9DB15" w14:textId="77777777" w:rsidR="0077494B" w:rsidRPr="008E13E6" w:rsidRDefault="00C27CAD" w:rsidP="004A5978">
            <w:pPr>
              <w:spacing w:before="60" w:after="60"/>
              <w:jc w:val="center"/>
              <w:rPr>
                <w:szCs w:val="22"/>
              </w:rPr>
            </w:pPr>
            <w:r w:rsidRPr="008E13E6">
              <w:rPr>
                <w:szCs w:val="22"/>
              </w:rPr>
              <w:t>Investor med frie midler, p</w:t>
            </w:r>
            <w:r w:rsidR="0077494B" w:rsidRPr="008E13E6">
              <w:rPr>
                <w:szCs w:val="22"/>
              </w:rPr>
              <w:t>ensionsinvestor eller investor under virksomhedsskatteordningen</w:t>
            </w:r>
          </w:p>
        </w:tc>
        <w:tc>
          <w:tcPr>
            <w:tcW w:w="2522" w:type="dxa"/>
          </w:tcPr>
          <w:p w14:paraId="15469870" w14:textId="77777777" w:rsidR="0077494B" w:rsidRPr="008E13E6" w:rsidRDefault="0077494B" w:rsidP="00BF3A00">
            <w:pPr>
              <w:spacing w:before="240" w:after="60"/>
              <w:jc w:val="center"/>
              <w:rPr>
                <w:szCs w:val="22"/>
              </w:rPr>
            </w:pPr>
            <w:r w:rsidRPr="008E13E6">
              <w:rPr>
                <w:szCs w:val="22"/>
              </w:rPr>
              <w:t>5 år</w:t>
            </w:r>
          </w:p>
        </w:tc>
      </w:tr>
    </w:tbl>
    <w:p w14:paraId="0F86048E"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99" w:name="_Toc443370885"/>
      <w:bookmarkStart w:id="100" w:name="_Toc9239907"/>
      <w:r w:rsidRPr="008E13E6">
        <w:rPr>
          <w:i/>
          <w:sz w:val="20"/>
          <w:szCs w:val="22"/>
        </w:rPr>
        <w:t>FT-nr., SE-nr.</w:t>
      </w:r>
      <w:bookmarkEnd w:id="94"/>
      <w:r w:rsidRPr="008E13E6">
        <w:rPr>
          <w:i/>
          <w:sz w:val="20"/>
          <w:szCs w:val="22"/>
        </w:rPr>
        <w:t xml:space="preserve"> og ISIN-kode</w:t>
      </w:r>
      <w:bookmarkEnd w:id="95"/>
      <w:bookmarkEnd w:id="96"/>
      <w:bookmarkEnd w:id="99"/>
      <w:bookmarkEnd w:id="100"/>
    </w:p>
    <w:p w14:paraId="23696EEA" w14:textId="77777777" w:rsidR="00567C65" w:rsidRPr="008E13E6" w:rsidRDefault="00947D04" w:rsidP="000B6C4F">
      <w:pPr>
        <w:spacing w:after="240"/>
        <w:rPr>
          <w:sz w:val="20"/>
          <w:szCs w:val="22"/>
        </w:rPr>
      </w:pPr>
      <w:r w:rsidRPr="008E13E6">
        <w:rPr>
          <w:sz w:val="20"/>
          <w:szCs w:val="22"/>
        </w:rPr>
        <w:t>A</w:t>
      </w:r>
      <w:r w:rsidR="0073481B" w:rsidRPr="008E13E6">
        <w:rPr>
          <w:sz w:val="20"/>
          <w:szCs w:val="22"/>
        </w:rPr>
        <w:t>ndelsklassens</w:t>
      </w:r>
      <w:r w:rsidR="00567C65" w:rsidRPr="008E13E6">
        <w:rPr>
          <w:sz w:val="20"/>
          <w:szCs w:val="22"/>
        </w:rPr>
        <w:t xml:space="preserve"> </w:t>
      </w:r>
      <w:r w:rsidR="00E96EE8" w:rsidRPr="008E13E6">
        <w:rPr>
          <w:sz w:val="20"/>
          <w:szCs w:val="22"/>
        </w:rPr>
        <w:t xml:space="preserve">FT-nr., ISIN-kode og </w:t>
      </w:r>
      <w:r w:rsidRPr="008E13E6">
        <w:rPr>
          <w:sz w:val="20"/>
          <w:szCs w:val="22"/>
        </w:rPr>
        <w:t xml:space="preserve">SE-nummer </w:t>
      </w:r>
      <w:r w:rsidR="00567C65" w:rsidRPr="008E13E6">
        <w:rPr>
          <w:sz w:val="20"/>
          <w:szCs w:val="22"/>
        </w:rPr>
        <w:t>fremgår af nedenstående skema:</w:t>
      </w:r>
    </w:p>
    <w:tbl>
      <w:tblPr>
        <w:tblW w:w="9353" w:type="dxa"/>
        <w:tblInd w:w="67" w:type="dxa"/>
        <w:tblBorders>
          <w:top w:val="single" w:sz="2" w:space="0" w:color="000000"/>
          <w:left w:val="single" w:sz="6"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41"/>
        <w:gridCol w:w="1985"/>
        <w:gridCol w:w="1750"/>
        <w:gridCol w:w="1577"/>
      </w:tblGrid>
      <w:tr w:rsidR="00F613A7" w:rsidRPr="008E13E6" w14:paraId="0F9B0102" w14:textId="77777777" w:rsidTr="000B6C4F">
        <w:trPr>
          <w:trHeight w:val="454"/>
        </w:trPr>
        <w:tc>
          <w:tcPr>
            <w:tcW w:w="4041" w:type="dxa"/>
            <w:tcBorders>
              <w:top w:val="single" w:sz="6" w:space="0" w:color="000000"/>
              <w:left w:val="single" w:sz="2" w:space="0" w:color="000000"/>
              <w:bottom w:val="single" w:sz="2" w:space="0" w:color="000000"/>
              <w:right w:val="single" w:sz="6" w:space="0" w:color="000000"/>
            </w:tcBorders>
            <w:tcMar>
              <w:top w:w="67" w:type="dxa"/>
              <w:left w:w="67" w:type="dxa"/>
              <w:bottom w:w="67" w:type="dxa"/>
              <w:right w:w="67" w:type="dxa"/>
            </w:tcMar>
            <w:vAlign w:val="center"/>
            <w:hideMark/>
          </w:tcPr>
          <w:p w14:paraId="1ED0CABF" w14:textId="77777777" w:rsidR="00F613A7" w:rsidRPr="008E13E6" w:rsidRDefault="000B6C4F" w:rsidP="00960E71">
            <w:pPr>
              <w:pStyle w:val="Sidehoved"/>
              <w:keepNext/>
              <w:keepLines/>
              <w:tabs>
                <w:tab w:val="clear" w:pos="4819"/>
                <w:tab w:val="clear" w:pos="9638"/>
              </w:tabs>
              <w:jc w:val="center"/>
              <w:rPr>
                <w:b/>
                <w:bCs/>
                <w:sz w:val="20"/>
                <w:szCs w:val="22"/>
              </w:rPr>
            </w:pPr>
            <w:r w:rsidRPr="008E13E6">
              <w:rPr>
                <w:b/>
                <w:bCs/>
                <w:sz w:val="20"/>
                <w:szCs w:val="22"/>
              </w:rPr>
              <w:t>Andelsklasse</w:t>
            </w:r>
          </w:p>
        </w:tc>
        <w:tc>
          <w:tcPr>
            <w:tcW w:w="1985" w:type="dxa"/>
            <w:tcBorders>
              <w:top w:val="single" w:sz="6" w:space="0" w:color="000000"/>
              <w:left w:val="single" w:sz="2" w:space="0" w:color="000000"/>
              <w:bottom w:val="single" w:sz="2" w:space="0" w:color="000000"/>
              <w:right w:val="single" w:sz="6" w:space="0" w:color="000000"/>
            </w:tcBorders>
            <w:tcMar>
              <w:top w:w="67" w:type="dxa"/>
              <w:left w:w="67" w:type="dxa"/>
              <w:bottom w:w="67" w:type="dxa"/>
              <w:right w:w="67" w:type="dxa"/>
            </w:tcMar>
            <w:vAlign w:val="center"/>
            <w:hideMark/>
          </w:tcPr>
          <w:p w14:paraId="4AFEBCA8" w14:textId="77777777" w:rsidR="00F613A7" w:rsidRPr="008E13E6" w:rsidRDefault="00F613A7" w:rsidP="00F613A7">
            <w:pPr>
              <w:widowControl w:val="0"/>
              <w:spacing w:before="60" w:after="60"/>
              <w:jc w:val="center"/>
              <w:rPr>
                <w:sz w:val="20"/>
                <w:szCs w:val="22"/>
              </w:rPr>
            </w:pPr>
            <w:r w:rsidRPr="008E13E6">
              <w:rPr>
                <w:b/>
                <w:bCs/>
                <w:sz w:val="20"/>
                <w:szCs w:val="22"/>
              </w:rPr>
              <w:t>FT-nr.</w:t>
            </w:r>
          </w:p>
        </w:tc>
        <w:tc>
          <w:tcPr>
            <w:tcW w:w="1750" w:type="dxa"/>
            <w:tcBorders>
              <w:top w:val="single" w:sz="6" w:space="0" w:color="000000"/>
              <w:left w:val="single" w:sz="2" w:space="0" w:color="000000"/>
              <w:bottom w:val="single" w:sz="2" w:space="0" w:color="000000"/>
              <w:right w:val="single" w:sz="6" w:space="0" w:color="000000"/>
            </w:tcBorders>
            <w:tcMar>
              <w:top w:w="67" w:type="dxa"/>
              <w:left w:w="67" w:type="dxa"/>
              <w:bottom w:w="67" w:type="dxa"/>
              <w:right w:w="67" w:type="dxa"/>
            </w:tcMar>
            <w:vAlign w:val="center"/>
            <w:hideMark/>
          </w:tcPr>
          <w:p w14:paraId="29984682" w14:textId="77777777" w:rsidR="00F613A7" w:rsidRPr="008E13E6" w:rsidRDefault="00F613A7" w:rsidP="00F613A7">
            <w:pPr>
              <w:widowControl w:val="0"/>
              <w:spacing w:before="60" w:after="60"/>
              <w:jc w:val="center"/>
              <w:rPr>
                <w:sz w:val="20"/>
                <w:szCs w:val="22"/>
              </w:rPr>
            </w:pPr>
            <w:r w:rsidRPr="008E13E6">
              <w:rPr>
                <w:b/>
                <w:bCs/>
                <w:sz w:val="20"/>
                <w:szCs w:val="22"/>
              </w:rPr>
              <w:t>ISIN-kode</w:t>
            </w:r>
          </w:p>
        </w:tc>
        <w:tc>
          <w:tcPr>
            <w:tcW w:w="1577" w:type="dxa"/>
            <w:tcBorders>
              <w:top w:val="single" w:sz="6" w:space="0" w:color="000000"/>
              <w:left w:val="single" w:sz="2" w:space="0" w:color="000000"/>
              <w:bottom w:val="single" w:sz="2" w:space="0" w:color="000000"/>
              <w:right w:val="single" w:sz="6" w:space="0" w:color="000000"/>
            </w:tcBorders>
            <w:tcMar>
              <w:top w:w="67" w:type="dxa"/>
              <w:left w:w="67" w:type="dxa"/>
              <w:bottom w:w="67" w:type="dxa"/>
              <w:right w:w="67" w:type="dxa"/>
            </w:tcMar>
            <w:vAlign w:val="center"/>
            <w:hideMark/>
          </w:tcPr>
          <w:p w14:paraId="51D5BC06" w14:textId="77777777" w:rsidR="00F613A7" w:rsidRPr="008E13E6" w:rsidRDefault="00F613A7" w:rsidP="00F613A7">
            <w:pPr>
              <w:widowControl w:val="0"/>
              <w:spacing w:before="60" w:after="60"/>
              <w:jc w:val="center"/>
              <w:rPr>
                <w:sz w:val="20"/>
                <w:szCs w:val="22"/>
              </w:rPr>
            </w:pPr>
            <w:r w:rsidRPr="008E13E6">
              <w:rPr>
                <w:b/>
                <w:bCs/>
                <w:sz w:val="20"/>
                <w:szCs w:val="22"/>
              </w:rPr>
              <w:t>SE-nr.</w:t>
            </w:r>
          </w:p>
        </w:tc>
      </w:tr>
      <w:tr w:rsidR="00271EB1" w:rsidRPr="008E13E6" w14:paraId="0A675664" w14:textId="77777777" w:rsidTr="000B6C4F">
        <w:trPr>
          <w:trHeight w:val="324"/>
        </w:trPr>
        <w:tc>
          <w:tcPr>
            <w:tcW w:w="4041" w:type="dxa"/>
            <w:tcBorders>
              <w:top w:val="single" w:sz="6" w:space="0" w:color="000000"/>
              <w:left w:val="single" w:sz="2" w:space="0" w:color="000000"/>
              <w:bottom w:val="single" w:sz="2" w:space="0" w:color="000000"/>
              <w:right w:val="single" w:sz="6" w:space="0" w:color="000000"/>
            </w:tcBorders>
            <w:tcMar>
              <w:top w:w="67" w:type="dxa"/>
              <w:left w:w="67" w:type="dxa"/>
              <w:bottom w:w="67" w:type="dxa"/>
              <w:right w:w="67" w:type="dxa"/>
            </w:tcMar>
            <w:hideMark/>
          </w:tcPr>
          <w:p w14:paraId="48826080" w14:textId="77777777" w:rsidR="00271EB1" w:rsidRPr="008E13E6" w:rsidRDefault="00271EB1" w:rsidP="000B6C4F">
            <w:pPr>
              <w:widowControl w:val="0"/>
              <w:jc w:val="center"/>
              <w:rPr>
                <w:bCs/>
                <w:sz w:val="20"/>
                <w:szCs w:val="22"/>
              </w:rPr>
            </w:pPr>
            <w:bookmarkStart w:id="101" w:name="_Toc443370797"/>
            <w:bookmarkStart w:id="102" w:name="_Toc443370887"/>
            <w:r w:rsidRPr="008E13E6">
              <w:rPr>
                <w:sz w:val="20"/>
                <w:szCs w:val="22"/>
              </w:rPr>
              <w:t xml:space="preserve">PP Capital – </w:t>
            </w:r>
            <w:r w:rsidR="009C3621" w:rsidRPr="008E13E6">
              <w:rPr>
                <w:sz w:val="20"/>
                <w:szCs w:val="22"/>
              </w:rPr>
              <w:t>BASIS, kl n</w:t>
            </w:r>
            <w:bookmarkEnd w:id="101"/>
            <w:bookmarkEnd w:id="102"/>
            <w:r w:rsidR="00251310" w:rsidRPr="008E13E6">
              <w:rPr>
                <w:sz w:val="20"/>
                <w:szCs w:val="22"/>
              </w:rPr>
              <w:t xml:space="preserve"> EUR</w:t>
            </w:r>
          </w:p>
        </w:tc>
        <w:tc>
          <w:tcPr>
            <w:tcW w:w="1985" w:type="dxa"/>
            <w:tcBorders>
              <w:top w:val="single" w:sz="6" w:space="0" w:color="000000"/>
              <w:left w:val="single" w:sz="2" w:space="0" w:color="000000"/>
              <w:bottom w:val="single" w:sz="2" w:space="0" w:color="000000"/>
              <w:right w:val="single" w:sz="6" w:space="0" w:color="000000"/>
            </w:tcBorders>
            <w:tcMar>
              <w:top w:w="67" w:type="dxa"/>
              <w:left w:w="67" w:type="dxa"/>
              <w:bottom w:w="67" w:type="dxa"/>
              <w:right w:w="67" w:type="dxa"/>
            </w:tcMar>
            <w:vAlign w:val="center"/>
            <w:hideMark/>
          </w:tcPr>
          <w:p w14:paraId="4CBCDFDF" w14:textId="77777777" w:rsidR="00271EB1" w:rsidRPr="008E13E6" w:rsidRDefault="00B97CC3" w:rsidP="000B6C4F">
            <w:pPr>
              <w:widowControl w:val="0"/>
              <w:jc w:val="center"/>
              <w:rPr>
                <w:sz w:val="20"/>
                <w:szCs w:val="22"/>
              </w:rPr>
            </w:pPr>
            <w:r w:rsidRPr="008E13E6">
              <w:rPr>
                <w:sz w:val="20"/>
                <w:szCs w:val="22"/>
              </w:rPr>
              <w:t>11200.00</w:t>
            </w:r>
            <w:r w:rsidR="00251310" w:rsidRPr="008E13E6">
              <w:rPr>
                <w:sz w:val="20"/>
                <w:szCs w:val="22"/>
              </w:rPr>
              <w:t>3</w:t>
            </w:r>
            <w:r w:rsidRPr="008E13E6">
              <w:rPr>
                <w:sz w:val="20"/>
                <w:szCs w:val="22"/>
              </w:rPr>
              <w:t>.0</w:t>
            </w:r>
            <w:r w:rsidR="00C27CAD" w:rsidRPr="008E13E6">
              <w:rPr>
                <w:sz w:val="20"/>
                <w:szCs w:val="22"/>
              </w:rPr>
              <w:t>0</w:t>
            </w:r>
            <w:r w:rsidRPr="008E13E6">
              <w:rPr>
                <w:sz w:val="20"/>
                <w:szCs w:val="22"/>
              </w:rPr>
              <w:t>1</w:t>
            </w:r>
          </w:p>
        </w:tc>
        <w:tc>
          <w:tcPr>
            <w:tcW w:w="1750" w:type="dxa"/>
            <w:tcBorders>
              <w:top w:val="single" w:sz="6" w:space="0" w:color="000000"/>
              <w:left w:val="single" w:sz="2" w:space="0" w:color="000000"/>
              <w:bottom w:val="single" w:sz="2" w:space="0" w:color="000000"/>
              <w:right w:val="single" w:sz="6" w:space="0" w:color="000000"/>
            </w:tcBorders>
            <w:tcMar>
              <w:top w:w="67" w:type="dxa"/>
              <w:left w:w="67" w:type="dxa"/>
              <w:bottom w:w="67" w:type="dxa"/>
              <w:right w:w="67" w:type="dxa"/>
            </w:tcMar>
            <w:vAlign w:val="center"/>
          </w:tcPr>
          <w:p w14:paraId="04E551E5" w14:textId="77777777" w:rsidR="00271EB1" w:rsidRPr="008E13E6" w:rsidRDefault="00251310" w:rsidP="000B6C4F">
            <w:pPr>
              <w:widowControl w:val="0"/>
              <w:jc w:val="center"/>
              <w:rPr>
                <w:sz w:val="20"/>
                <w:szCs w:val="22"/>
              </w:rPr>
            </w:pPr>
            <w:r w:rsidRPr="008E13E6">
              <w:rPr>
                <w:sz w:val="20"/>
                <w:szCs w:val="22"/>
              </w:rPr>
              <w:t>DK0061137452</w:t>
            </w:r>
          </w:p>
        </w:tc>
        <w:tc>
          <w:tcPr>
            <w:tcW w:w="1577" w:type="dxa"/>
            <w:tcBorders>
              <w:top w:val="single" w:sz="6" w:space="0" w:color="000000"/>
              <w:left w:val="single" w:sz="2" w:space="0" w:color="000000"/>
              <w:bottom w:val="single" w:sz="2" w:space="0" w:color="000000"/>
              <w:right w:val="single" w:sz="6" w:space="0" w:color="000000"/>
            </w:tcBorders>
            <w:tcMar>
              <w:top w:w="67" w:type="dxa"/>
              <w:left w:w="67" w:type="dxa"/>
              <w:bottom w:w="67" w:type="dxa"/>
              <w:right w:w="67" w:type="dxa"/>
            </w:tcMar>
            <w:vAlign w:val="center"/>
          </w:tcPr>
          <w:p w14:paraId="6C837689" w14:textId="77777777" w:rsidR="00271EB1" w:rsidRPr="008E13E6" w:rsidRDefault="00251310" w:rsidP="000B6C4F">
            <w:pPr>
              <w:widowControl w:val="0"/>
              <w:jc w:val="center"/>
              <w:rPr>
                <w:sz w:val="20"/>
                <w:szCs w:val="22"/>
                <w:highlight w:val="yellow"/>
              </w:rPr>
            </w:pPr>
            <w:r w:rsidRPr="008E13E6">
              <w:rPr>
                <w:sz w:val="20"/>
                <w:szCs w:val="22"/>
              </w:rPr>
              <w:t>40 33 84 70</w:t>
            </w:r>
          </w:p>
        </w:tc>
      </w:tr>
    </w:tbl>
    <w:p w14:paraId="3969EE1B" w14:textId="77777777" w:rsidR="009450C8" w:rsidRPr="008E13E6" w:rsidRDefault="009450C8" w:rsidP="00DE7AEF">
      <w:pPr>
        <w:pStyle w:val="Overskrift2"/>
        <w:numPr>
          <w:ilvl w:val="0"/>
          <w:numId w:val="0"/>
        </w:numPr>
        <w:pBdr>
          <w:bottom w:val="single" w:sz="4" w:space="1" w:color="auto"/>
        </w:pBdr>
        <w:spacing w:before="360"/>
        <w:jc w:val="center"/>
        <w:rPr>
          <w:rFonts w:ascii="Times New Roman" w:hAnsi="Times New Roman"/>
          <w:bCs/>
          <w:i w:val="0"/>
          <w:iCs/>
          <w:color w:val="002060"/>
          <w:sz w:val="24"/>
          <w:szCs w:val="28"/>
        </w:rPr>
      </w:pPr>
      <w:bookmarkStart w:id="103" w:name="_Toc170528759"/>
      <w:bookmarkStart w:id="104" w:name="_Toc170528942"/>
      <w:bookmarkStart w:id="105" w:name="_Toc357087604"/>
      <w:bookmarkStart w:id="106" w:name="_Toc413407262"/>
      <w:bookmarkStart w:id="107" w:name="_Toc9239908"/>
      <w:r w:rsidRPr="008E13E6">
        <w:rPr>
          <w:rFonts w:ascii="Times New Roman" w:hAnsi="Times New Roman"/>
          <w:bCs/>
          <w:i w:val="0"/>
          <w:iCs/>
          <w:color w:val="002060"/>
          <w:sz w:val="24"/>
          <w:szCs w:val="28"/>
        </w:rPr>
        <w:t>Afkast, udbytte</w:t>
      </w:r>
      <w:r w:rsidR="00D1720D" w:rsidRPr="008E13E6">
        <w:rPr>
          <w:rFonts w:ascii="Times New Roman" w:hAnsi="Times New Roman"/>
          <w:bCs/>
          <w:i w:val="0"/>
          <w:iCs/>
          <w:color w:val="002060"/>
          <w:sz w:val="24"/>
          <w:szCs w:val="28"/>
        </w:rPr>
        <w:t xml:space="preserve"> og</w:t>
      </w:r>
      <w:r w:rsidRPr="008E13E6">
        <w:rPr>
          <w:rFonts w:ascii="Times New Roman" w:hAnsi="Times New Roman"/>
          <w:bCs/>
          <w:i w:val="0"/>
          <w:iCs/>
          <w:color w:val="002060"/>
          <w:sz w:val="24"/>
          <w:szCs w:val="28"/>
        </w:rPr>
        <w:t xml:space="preserve"> skatteforhold m.v.</w:t>
      </w:r>
      <w:bookmarkEnd w:id="103"/>
      <w:bookmarkEnd w:id="104"/>
      <w:bookmarkEnd w:id="105"/>
      <w:bookmarkEnd w:id="106"/>
      <w:bookmarkEnd w:id="107"/>
    </w:p>
    <w:p w14:paraId="2FE048FE"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108" w:name="_Hlt501346363"/>
      <w:bookmarkStart w:id="109" w:name="_Ref520721421"/>
      <w:bookmarkStart w:id="110" w:name="_Toc208144092"/>
      <w:bookmarkStart w:id="111" w:name="_Toc395703413"/>
      <w:bookmarkStart w:id="112" w:name="_Toc414000035"/>
      <w:bookmarkStart w:id="113" w:name="_Toc9239909"/>
      <w:bookmarkStart w:id="114" w:name="_Toc170528760"/>
      <w:bookmarkStart w:id="115" w:name="_Toc170528943"/>
      <w:bookmarkEnd w:id="108"/>
      <w:r w:rsidRPr="008E13E6">
        <w:rPr>
          <w:i/>
          <w:sz w:val="20"/>
          <w:szCs w:val="22"/>
        </w:rPr>
        <w:t>Afkast, udbytte</w:t>
      </w:r>
      <w:bookmarkEnd w:id="109"/>
      <w:r w:rsidRPr="008E13E6">
        <w:rPr>
          <w:i/>
          <w:sz w:val="20"/>
          <w:szCs w:val="22"/>
        </w:rPr>
        <w:t xml:space="preserve"> og kursændringer</w:t>
      </w:r>
      <w:bookmarkEnd w:id="110"/>
      <w:bookmarkEnd w:id="111"/>
      <w:bookmarkEnd w:id="112"/>
      <w:bookmarkEnd w:id="113"/>
      <w:r w:rsidRPr="008E13E6">
        <w:rPr>
          <w:i/>
          <w:sz w:val="20"/>
          <w:szCs w:val="22"/>
        </w:rPr>
        <w:t xml:space="preserve"> </w:t>
      </w:r>
    </w:p>
    <w:p w14:paraId="4A5D012E" w14:textId="77777777" w:rsidR="00342F87" w:rsidRPr="008E13E6" w:rsidRDefault="00342F87" w:rsidP="00E0342F">
      <w:pPr>
        <w:widowControl w:val="0"/>
        <w:spacing w:after="120"/>
        <w:rPr>
          <w:sz w:val="20"/>
          <w:szCs w:val="22"/>
        </w:rPr>
      </w:pPr>
      <w:bookmarkStart w:id="116" w:name="_Toc395703414"/>
      <w:bookmarkStart w:id="117" w:name="_Toc414000036"/>
      <w:r w:rsidRPr="008E13E6">
        <w:rPr>
          <w:sz w:val="20"/>
          <w:szCs w:val="22"/>
        </w:rPr>
        <w:t>Andelsklassen</w:t>
      </w:r>
      <w:r w:rsidRPr="008E13E6">
        <w:rPr>
          <w:i/>
          <w:sz w:val="20"/>
          <w:szCs w:val="22"/>
        </w:rPr>
        <w:t xml:space="preserve"> </w:t>
      </w:r>
      <w:r w:rsidRPr="008E13E6">
        <w:rPr>
          <w:sz w:val="20"/>
          <w:szCs w:val="22"/>
        </w:rPr>
        <w:t>udbetaler ikke udbytte, men henlægger årets resultat til formuen. Afkast af investering i andelsklasse</w:t>
      </w:r>
      <w:r w:rsidR="000B6C4F" w:rsidRPr="008E13E6">
        <w:rPr>
          <w:sz w:val="20"/>
          <w:szCs w:val="22"/>
        </w:rPr>
        <w:t>n</w:t>
      </w:r>
      <w:r w:rsidRPr="008E13E6">
        <w:rPr>
          <w:i/>
          <w:sz w:val="20"/>
          <w:szCs w:val="22"/>
        </w:rPr>
        <w:t xml:space="preserve"> </w:t>
      </w:r>
      <w:r w:rsidRPr="008E13E6">
        <w:rPr>
          <w:sz w:val="20"/>
          <w:szCs w:val="22"/>
        </w:rPr>
        <w:t>vil forekomme som kursændring (positiv eller negativ) på foreningsandelene.</w:t>
      </w:r>
    </w:p>
    <w:p w14:paraId="6D03116F"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118" w:name="_Toc9239910"/>
      <w:r w:rsidRPr="008E13E6">
        <w:rPr>
          <w:i/>
          <w:sz w:val="20"/>
          <w:szCs w:val="22"/>
        </w:rPr>
        <w:t>Skatteregler for afdelingen</w:t>
      </w:r>
      <w:bookmarkEnd w:id="116"/>
      <w:bookmarkEnd w:id="117"/>
      <w:bookmarkEnd w:id="118"/>
    </w:p>
    <w:p w14:paraId="29C0B35B" w14:textId="77777777" w:rsidR="00E77C88" w:rsidRPr="008E13E6" w:rsidRDefault="00342F87" w:rsidP="00E77C88">
      <w:pPr>
        <w:spacing w:after="120"/>
        <w:rPr>
          <w:spacing w:val="-3"/>
          <w:sz w:val="20"/>
          <w:szCs w:val="22"/>
        </w:rPr>
      </w:pPr>
      <w:bookmarkStart w:id="119" w:name="_Ref359569326"/>
      <w:bookmarkStart w:id="120" w:name="_Ref359569330"/>
      <w:bookmarkStart w:id="121" w:name="_Toc395703415"/>
      <w:bookmarkStart w:id="122" w:name="_Toc414000037"/>
      <w:r w:rsidRPr="008E13E6">
        <w:rPr>
          <w:spacing w:val="-3"/>
          <w:sz w:val="20"/>
          <w:szCs w:val="22"/>
        </w:rPr>
        <w:t>Afdelingen er som udgangspunkt ikke skattepligtig, da den</w:t>
      </w:r>
      <w:r w:rsidR="004A2297" w:rsidRPr="008E13E6">
        <w:rPr>
          <w:spacing w:val="-3"/>
          <w:sz w:val="20"/>
          <w:szCs w:val="22"/>
        </w:rPr>
        <w:t xml:space="preserve"> </w:t>
      </w:r>
      <w:r w:rsidRPr="008E13E6">
        <w:rPr>
          <w:spacing w:val="-3"/>
          <w:sz w:val="20"/>
          <w:szCs w:val="22"/>
        </w:rPr>
        <w:t>er akkumulerende, jf. selskabsskattelovens § 3, stk. 1, nr. 19.</w:t>
      </w:r>
    </w:p>
    <w:p w14:paraId="60AD706A" w14:textId="77777777" w:rsidR="00342F87" w:rsidRPr="008E13E6" w:rsidRDefault="00342F87" w:rsidP="00342F87">
      <w:pPr>
        <w:spacing w:after="120"/>
        <w:rPr>
          <w:spacing w:val="-3"/>
          <w:sz w:val="20"/>
          <w:szCs w:val="22"/>
        </w:rPr>
      </w:pPr>
      <w:r w:rsidRPr="008E13E6">
        <w:rPr>
          <w:spacing w:val="-3"/>
          <w:sz w:val="20"/>
          <w:szCs w:val="22"/>
        </w:rPr>
        <w:t xml:space="preserve">Danske </w:t>
      </w:r>
      <w:proofErr w:type="spellStart"/>
      <w:r w:rsidRPr="008E13E6">
        <w:rPr>
          <w:spacing w:val="-3"/>
          <w:sz w:val="20"/>
          <w:szCs w:val="22"/>
        </w:rPr>
        <w:t>aktieudbytter</w:t>
      </w:r>
      <w:proofErr w:type="spellEnd"/>
      <w:r w:rsidRPr="008E13E6">
        <w:rPr>
          <w:spacing w:val="-3"/>
          <w:sz w:val="20"/>
          <w:szCs w:val="22"/>
        </w:rPr>
        <w:t xml:space="preserve"> beskattes dog med 15 pct. </w:t>
      </w:r>
    </w:p>
    <w:p w14:paraId="78BE81D9" w14:textId="77777777" w:rsidR="00342F87" w:rsidRPr="008E13E6" w:rsidRDefault="00342F87" w:rsidP="00E77C88">
      <w:pPr>
        <w:spacing w:after="120"/>
        <w:rPr>
          <w:spacing w:val="-3"/>
          <w:sz w:val="20"/>
          <w:szCs w:val="22"/>
        </w:rPr>
      </w:pPr>
      <w:r w:rsidRPr="008E13E6">
        <w:rPr>
          <w:spacing w:val="-3"/>
          <w:sz w:val="20"/>
          <w:szCs w:val="22"/>
        </w:rPr>
        <w:t>Ligeledes beskattes udenlandske udbytter typisk med 15 pct. i kildelandet. Beskatningen afhænger dog af skattereglerne i kildelandet og af en eventuel dobbeltbeskatningsoverenskomst indgået mellem Danmark og det pågældende land.</w:t>
      </w:r>
    </w:p>
    <w:p w14:paraId="3F885EE3"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123" w:name="_Toc9239911"/>
      <w:r w:rsidRPr="008E13E6">
        <w:rPr>
          <w:i/>
          <w:sz w:val="20"/>
          <w:szCs w:val="22"/>
        </w:rPr>
        <w:t>Beskatning hos investorerne</w:t>
      </w:r>
      <w:bookmarkEnd w:id="119"/>
      <w:bookmarkEnd w:id="120"/>
      <w:bookmarkEnd w:id="121"/>
      <w:bookmarkEnd w:id="122"/>
      <w:bookmarkEnd w:id="123"/>
    </w:p>
    <w:p w14:paraId="6DAD0A72" w14:textId="77777777" w:rsidR="00E77C88" w:rsidRPr="008E13E6" w:rsidRDefault="00E77C88" w:rsidP="00E77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rPr>
        <w:t xml:space="preserve">Nedenfor gives en kort beskrivelse af de skatteforhold, der ved underskrivelsen af dette prospekt er gældende for forskellige investortyper. </w:t>
      </w:r>
    </w:p>
    <w:p w14:paraId="2276AB68" w14:textId="77777777" w:rsidR="00E77C88" w:rsidRPr="008E13E6" w:rsidRDefault="00E77C88" w:rsidP="00E77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rPr>
        <w:t>Oplysningerne er af generel karakter, hvorfor særregler og detaljer ikke omtales.</w:t>
      </w:r>
      <w:r w:rsidR="00B922D2" w:rsidRPr="008E13E6">
        <w:rPr>
          <w:spacing w:val="-3"/>
          <w:sz w:val="20"/>
          <w:szCs w:val="22"/>
        </w:rPr>
        <w:t xml:space="preserve"> </w:t>
      </w:r>
      <w:r w:rsidRPr="008E13E6">
        <w:rPr>
          <w:spacing w:val="-3"/>
          <w:sz w:val="20"/>
          <w:szCs w:val="22"/>
        </w:rPr>
        <w:t>Den skattemæssige behandling afhænger af den enkelte investors situation og kan ændre sig fremover som følge af ændringer i lovgivningen eller investors forhold.</w:t>
      </w:r>
    </w:p>
    <w:p w14:paraId="3D9A6F27" w14:textId="77777777" w:rsidR="00342F87" w:rsidRPr="008E13E6" w:rsidRDefault="00342F87" w:rsidP="0034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rPr>
        <w:t xml:space="preserve">Såfremt der er tale om </w:t>
      </w:r>
      <w:r w:rsidRPr="008E13E6">
        <w:rPr>
          <w:spacing w:val="-3"/>
          <w:sz w:val="20"/>
          <w:szCs w:val="22"/>
          <w:u w:val="single"/>
        </w:rPr>
        <w:t>personers frie midler</w:t>
      </w:r>
      <w:r w:rsidRPr="008E13E6">
        <w:rPr>
          <w:spacing w:val="-3"/>
          <w:sz w:val="20"/>
          <w:szCs w:val="22"/>
        </w:rPr>
        <w:t>, beskattes afkastet af andelene efter lagerprincippet, jf. aktieavancebeskatningslovens § 23. Lagerbeskatningen sker på grundlag af forskellen mellem værdien ved årets slutning og begyndelse.</w:t>
      </w:r>
      <w:r w:rsidR="003C7407" w:rsidRPr="008E13E6">
        <w:rPr>
          <w:spacing w:val="-3"/>
          <w:sz w:val="20"/>
          <w:szCs w:val="22"/>
        </w:rPr>
        <w:t xml:space="preserve"> </w:t>
      </w:r>
      <w:r w:rsidRPr="008E13E6">
        <w:rPr>
          <w:spacing w:val="-3"/>
          <w:sz w:val="20"/>
          <w:szCs w:val="22"/>
        </w:rPr>
        <w:t>Gevinst og tab samt eventuelle udbytter for hvert år medregnes i kapitalindkomsten. Tab kan kun fradrages, hvis investor har indberettet erhvervelsen til S</w:t>
      </w:r>
      <w:r w:rsidR="00C27CAD" w:rsidRPr="008E13E6">
        <w:rPr>
          <w:spacing w:val="-3"/>
          <w:sz w:val="20"/>
          <w:szCs w:val="22"/>
        </w:rPr>
        <w:t>kattestyrelsen.</w:t>
      </w:r>
      <w:r w:rsidRPr="008E13E6">
        <w:rPr>
          <w:spacing w:val="-3"/>
          <w:sz w:val="20"/>
          <w:szCs w:val="22"/>
        </w:rPr>
        <w:t xml:space="preserve"> Der indeholdes a conto udbytteskat af eventuelle udbytteudlodninger.</w:t>
      </w:r>
    </w:p>
    <w:p w14:paraId="68A6F1C0" w14:textId="77777777" w:rsidR="00342F87" w:rsidRPr="008E13E6" w:rsidRDefault="00342F87" w:rsidP="0034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u w:val="single"/>
        </w:rPr>
        <w:t>Midler i virksomhedsskatteordningen</w:t>
      </w:r>
      <w:r w:rsidRPr="008E13E6">
        <w:rPr>
          <w:spacing w:val="-3"/>
          <w:sz w:val="20"/>
          <w:szCs w:val="22"/>
        </w:rPr>
        <w:t xml:space="preserve"> beskattes ligeledes efter lagerprincippet, og afkastet af andelene eller eventuelt tab indgår i virksomhedsindkomsten i henhold til reglerne i virksomhedsskatteloven.</w:t>
      </w:r>
    </w:p>
    <w:p w14:paraId="679530A2" w14:textId="77777777" w:rsidR="00342F87" w:rsidRPr="008E13E6" w:rsidRDefault="00342F87" w:rsidP="0034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rPr>
        <w:t xml:space="preserve">Såfremt der er tale om </w:t>
      </w:r>
      <w:r w:rsidRPr="008E13E6">
        <w:rPr>
          <w:spacing w:val="-3"/>
          <w:sz w:val="20"/>
          <w:szCs w:val="22"/>
          <w:u w:val="single"/>
        </w:rPr>
        <w:t>pensionsmidler</w:t>
      </w:r>
      <w:r w:rsidRPr="008E13E6">
        <w:rPr>
          <w:spacing w:val="-3"/>
          <w:sz w:val="20"/>
          <w:szCs w:val="22"/>
        </w:rPr>
        <w:t>, beskattes afkastet af andelene efter lagerprincippet med årlig beskatning efter reglerne i pensionsafkastbeskatningsloven.</w:t>
      </w:r>
    </w:p>
    <w:p w14:paraId="6177A78B" w14:textId="77777777" w:rsidR="00342F87" w:rsidRPr="008E13E6" w:rsidRDefault="00342F87" w:rsidP="0034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rPr>
        <w:lastRenderedPageBreak/>
        <w:t xml:space="preserve">Såfremt der er tale om </w:t>
      </w:r>
      <w:r w:rsidRPr="008E13E6">
        <w:rPr>
          <w:iCs/>
          <w:spacing w:val="-3"/>
          <w:sz w:val="20"/>
          <w:szCs w:val="22"/>
          <w:u w:val="single"/>
        </w:rPr>
        <w:t>selskabers eller fondes midler,</w:t>
      </w:r>
      <w:r w:rsidRPr="008E13E6">
        <w:rPr>
          <w:i/>
          <w:iCs/>
          <w:spacing w:val="-3"/>
          <w:sz w:val="20"/>
          <w:szCs w:val="22"/>
        </w:rPr>
        <w:t xml:space="preserve"> </w:t>
      </w:r>
      <w:r w:rsidRPr="008E13E6">
        <w:rPr>
          <w:spacing w:val="-3"/>
          <w:sz w:val="20"/>
          <w:szCs w:val="22"/>
        </w:rPr>
        <w:t>indgår avance og tab i den skattepligtige indkomst, som beskattes efter selskabsskatteloven eller fondsbeskatningsloven. Gevinst og tab skal medregnes efter lagerprincippet.</w:t>
      </w:r>
    </w:p>
    <w:p w14:paraId="46636087" w14:textId="77777777" w:rsidR="00342F87" w:rsidRPr="008E13E6" w:rsidRDefault="00342F87" w:rsidP="0034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rPr>
        <w:t>Yderligere information om reglerne kan indhentes hos foreningen; for mere detaljeret information henvises dog til investors egne rådgivere.</w:t>
      </w:r>
    </w:p>
    <w:p w14:paraId="6D7AFD7F" w14:textId="77777777" w:rsidR="00342F87" w:rsidRPr="008E13E6" w:rsidRDefault="00342F87" w:rsidP="0034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rPr>
        <w:t>Køb og salg af andele samt års-</w:t>
      </w:r>
      <w:proofErr w:type="spellStart"/>
      <w:r w:rsidRPr="008E13E6">
        <w:rPr>
          <w:spacing w:val="-3"/>
          <w:sz w:val="20"/>
          <w:szCs w:val="22"/>
        </w:rPr>
        <w:t>ultimobeholdninger</w:t>
      </w:r>
      <w:proofErr w:type="spellEnd"/>
      <w:r w:rsidRPr="008E13E6">
        <w:rPr>
          <w:spacing w:val="-3"/>
          <w:sz w:val="20"/>
          <w:szCs w:val="22"/>
        </w:rPr>
        <w:t xml:space="preserve"> indberettes til skattemyndighederne.</w:t>
      </w:r>
    </w:p>
    <w:p w14:paraId="225BE4E7" w14:textId="77777777" w:rsidR="00E77C88" w:rsidRPr="008E13E6" w:rsidRDefault="00342F87" w:rsidP="00E77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rPr>
        <w:t>For investorer, der ikke er skattemæssigt hjemmehørende i Danmark, gælder andre regler end de ovenfor anførte.</w:t>
      </w:r>
    </w:p>
    <w:p w14:paraId="3A693DD2" w14:textId="26955DBB" w:rsidR="009450C8" w:rsidRPr="008E13E6" w:rsidRDefault="007E5D5A" w:rsidP="00DE7AEF">
      <w:pPr>
        <w:pStyle w:val="Overskrift2"/>
        <w:numPr>
          <w:ilvl w:val="0"/>
          <w:numId w:val="0"/>
        </w:numPr>
        <w:pBdr>
          <w:bottom w:val="single" w:sz="4" w:space="1" w:color="auto"/>
        </w:pBdr>
        <w:spacing w:before="360"/>
        <w:jc w:val="center"/>
        <w:rPr>
          <w:rFonts w:ascii="Times New Roman" w:hAnsi="Times New Roman"/>
          <w:i w:val="0"/>
          <w:iCs/>
          <w:color w:val="002060"/>
          <w:sz w:val="24"/>
          <w:szCs w:val="28"/>
        </w:rPr>
      </w:pPr>
      <w:bookmarkStart w:id="124" w:name="_Toc36540806"/>
      <w:bookmarkStart w:id="125" w:name="_Toc36540909"/>
      <w:bookmarkStart w:id="126" w:name="_Toc52782753"/>
      <w:bookmarkStart w:id="127" w:name="_Toc153769228"/>
      <w:bookmarkStart w:id="128" w:name="_Toc171834396"/>
      <w:bookmarkStart w:id="129" w:name="_Toc171838086"/>
      <w:bookmarkStart w:id="130" w:name="_Toc306366583"/>
      <w:bookmarkStart w:id="131" w:name="_Toc357087608"/>
      <w:bookmarkStart w:id="132" w:name="_Toc413407266"/>
      <w:bookmarkStart w:id="133" w:name="_Toc9239912"/>
      <w:bookmarkEnd w:id="114"/>
      <w:bookmarkEnd w:id="115"/>
      <w:r>
        <w:rPr>
          <w:rFonts w:ascii="Times New Roman" w:hAnsi="Times New Roman"/>
          <w:i w:val="0"/>
          <w:iCs/>
          <w:color w:val="002060"/>
          <w:sz w:val="24"/>
          <w:szCs w:val="28"/>
        </w:rPr>
        <w:t>Emission</w:t>
      </w:r>
      <w:r w:rsidR="009450C8" w:rsidRPr="008E13E6">
        <w:rPr>
          <w:rFonts w:ascii="Times New Roman" w:hAnsi="Times New Roman"/>
          <w:i w:val="0"/>
          <w:iCs/>
          <w:color w:val="002060"/>
          <w:sz w:val="24"/>
          <w:szCs w:val="28"/>
        </w:rPr>
        <w:t xml:space="preserve"> og </w:t>
      </w:r>
      <w:r w:rsidR="00090E7D">
        <w:rPr>
          <w:rFonts w:ascii="Times New Roman" w:hAnsi="Times New Roman"/>
          <w:i w:val="0"/>
          <w:iCs/>
          <w:color w:val="002060"/>
          <w:sz w:val="24"/>
          <w:szCs w:val="28"/>
        </w:rPr>
        <w:t>emissions</w:t>
      </w:r>
      <w:r w:rsidR="009450C8" w:rsidRPr="008E13E6">
        <w:rPr>
          <w:rFonts w:ascii="Times New Roman" w:hAnsi="Times New Roman"/>
          <w:i w:val="0"/>
          <w:iCs/>
          <w:color w:val="002060"/>
          <w:sz w:val="24"/>
          <w:szCs w:val="28"/>
        </w:rPr>
        <w:t>omkostninger</w:t>
      </w:r>
      <w:bookmarkEnd w:id="124"/>
      <w:bookmarkEnd w:id="125"/>
      <w:bookmarkEnd w:id="126"/>
      <w:bookmarkEnd w:id="127"/>
      <w:bookmarkEnd w:id="128"/>
      <w:bookmarkEnd w:id="129"/>
      <w:bookmarkEnd w:id="130"/>
      <w:bookmarkEnd w:id="131"/>
      <w:bookmarkEnd w:id="132"/>
      <w:bookmarkEnd w:id="133"/>
    </w:p>
    <w:p w14:paraId="72757B33" w14:textId="0F617021" w:rsidR="00C67DD8" w:rsidRPr="008E13E6" w:rsidRDefault="007E5D5A" w:rsidP="00C33F3E">
      <w:pPr>
        <w:pStyle w:val="Bo"/>
        <w:numPr>
          <w:ilvl w:val="0"/>
          <w:numId w:val="2"/>
        </w:numPr>
        <w:tabs>
          <w:tab w:val="clear" w:pos="502"/>
          <w:tab w:val="num" w:pos="284"/>
        </w:tabs>
        <w:spacing w:after="120"/>
        <w:ind w:left="142" w:hanging="142"/>
        <w:rPr>
          <w:i/>
          <w:sz w:val="20"/>
          <w:szCs w:val="22"/>
        </w:rPr>
      </w:pPr>
      <w:bookmarkStart w:id="134" w:name="_Ref21745663"/>
      <w:bookmarkStart w:id="135" w:name="_Toc208144096"/>
      <w:bookmarkStart w:id="136" w:name="_Toc395703416"/>
      <w:bookmarkStart w:id="137" w:name="_Toc414000039"/>
      <w:bookmarkStart w:id="138" w:name="_Toc9239913"/>
      <w:bookmarkStart w:id="139" w:name="_Toc413407268"/>
      <w:r>
        <w:rPr>
          <w:i/>
          <w:sz w:val="20"/>
          <w:szCs w:val="22"/>
        </w:rPr>
        <w:t>Emission</w:t>
      </w:r>
      <w:r w:rsidR="00C67DD8" w:rsidRPr="008E13E6">
        <w:rPr>
          <w:i/>
          <w:sz w:val="20"/>
          <w:szCs w:val="22"/>
        </w:rPr>
        <w:t>skurs</w:t>
      </w:r>
      <w:bookmarkEnd w:id="134"/>
      <w:bookmarkEnd w:id="135"/>
      <w:bookmarkEnd w:id="136"/>
      <w:bookmarkEnd w:id="137"/>
      <w:bookmarkEnd w:id="138"/>
    </w:p>
    <w:p w14:paraId="20045288" w14:textId="28175BC3" w:rsidR="002F1DF8" w:rsidRPr="008E13E6" w:rsidRDefault="007E5D5A" w:rsidP="002F1DF8">
      <w:pPr>
        <w:spacing w:after="120"/>
        <w:jc w:val="both"/>
        <w:rPr>
          <w:spacing w:val="-3"/>
          <w:sz w:val="20"/>
          <w:szCs w:val="22"/>
        </w:rPr>
      </w:pPr>
      <w:bookmarkStart w:id="140" w:name="_Toc208144097"/>
      <w:bookmarkStart w:id="141" w:name="_Ref262563248"/>
      <w:bookmarkStart w:id="142" w:name="_Ref262563251"/>
      <w:bookmarkStart w:id="143" w:name="_Ref262638342"/>
      <w:bookmarkStart w:id="144" w:name="_Ref262638346"/>
      <w:bookmarkStart w:id="145" w:name="_Ref336506048"/>
      <w:bookmarkStart w:id="146" w:name="_Ref336506051"/>
      <w:bookmarkStart w:id="147" w:name="_Ref337537509"/>
      <w:bookmarkStart w:id="148" w:name="_Ref337537511"/>
      <w:bookmarkStart w:id="149" w:name="_Toc395703417"/>
      <w:bookmarkStart w:id="150" w:name="_Ref413753665"/>
      <w:bookmarkStart w:id="151" w:name="_Ref413753667"/>
      <w:bookmarkStart w:id="152" w:name="_Toc414000040"/>
      <w:bookmarkStart w:id="153" w:name="_Toc36540912"/>
      <w:bookmarkStart w:id="154" w:name="_Toc52782756"/>
      <w:bookmarkStart w:id="155" w:name="_Toc153769231"/>
      <w:bookmarkStart w:id="156" w:name="_Toc171834399"/>
      <w:bookmarkStart w:id="157" w:name="_Toc171838089"/>
      <w:bookmarkStart w:id="158" w:name="_Toc306366586"/>
      <w:bookmarkStart w:id="159" w:name="_Toc357087611"/>
      <w:bookmarkEnd w:id="139"/>
      <w:r>
        <w:rPr>
          <w:spacing w:val="-3"/>
          <w:sz w:val="20"/>
          <w:szCs w:val="22"/>
        </w:rPr>
        <w:t>Emission</w:t>
      </w:r>
      <w:r w:rsidR="002F1DF8" w:rsidRPr="008E13E6">
        <w:rPr>
          <w:spacing w:val="-3"/>
          <w:sz w:val="20"/>
          <w:szCs w:val="22"/>
        </w:rPr>
        <w:t xml:space="preserve">skursen (emissionsprisen) fastsættes efter dobbeltprismetoden, jf. § 4 i </w:t>
      </w:r>
      <w:r w:rsidR="008B56F8" w:rsidRPr="008E13E6">
        <w:rPr>
          <w:spacing w:val="-3"/>
          <w:sz w:val="20"/>
          <w:szCs w:val="22"/>
        </w:rPr>
        <w:t>bekendtgørelse</w:t>
      </w:r>
      <w:r w:rsidR="00461CFE" w:rsidRPr="008E13E6">
        <w:rPr>
          <w:spacing w:val="-3"/>
          <w:sz w:val="20"/>
          <w:szCs w:val="22"/>
        </w:rPr>
        <w:t xml:space="preserve"> nr.</w:t>
      </w:r>
      <w:r w:rsidR="008B56F8" w:rsidRPr="008E13E6">
        <w:rPr>
          <w:spacing w:val="-3"/>
          <w:sz w:val="20"/>
          <w:szCs w:val="22"/>
        </w:rPr>
        <w:t xml:space="preserve"> 757 af 17</w:t>
      </w:r>
      <w:r w:rsidR="00461CFE" w:rsidRPr="008E13E6">
        <w:rPr>
          <w:spacing w:val="-3"/>
          <w:sz w:val="20"/>
          <w:szCs w:val="22"/>
        </w:rPr>
        <w:t xml:space="preserve">. juni </w:t>
      </w:r>
      <w:r w:rsidR="008B56F8" w:rsidRPr="008E13E6">
        <w:rPr>
          <w:spacing w:val="-3"/>
          <w:sz w:val="20"/>
          <w:szCs w:val="22"/>
        </w:rPr>
        <w:t>2014</w:t>
      </w:r>
      <w:r w:rsidR="00B922D2" w:rsidRPr="008E13E6">
        <w:rPr>
          <w:spacing w:val="-3"/>
          <w:sz w:val="20"/>
          <w:szCs w:val="22"/>
        </w:rPr>
        <w:t xml:space="preserve"> </w:t>
      </w:r>
      <w:r w:rsidR="008B56F8" w:rsidRPr="008E13E6">
        <w:rPr>
          <w:bCs/>
          <w:spacing w:val="-3"/>
          <w:sz w:val="20"/>
          <w:szCs w:val="22"/>
        </w:rPr>
        <w:t>om beregning af emissions- og indløsningspriser ved tegning og indløsning af andele i danske UCITS</w:t>
      </w:r>
      <w:r w:rsidR="002F1DF8" w:rsidRPr="008E13E6">
        <w:rPr>
          <w:bCs/>
          <w:spacing w:val="-3"/>
          <w:sz w:val="20"/>
          <w:szCs w:val="22"/>
        </w:rPr>
        <w:t>,</w:t>
      </w:r>
      <w:r w:rsidR="002F1DF8" w:rsidRPr="008E13E6">
        <w:rPr>
          <w:spacing w:val="-3"/>
          <w:sz w:val="20"/>
          <w:szCs w:val="22"/>
        </w:rPr>
        <w:t xml:space="preserve"> som afdelingens indre værdi med tillæg af et beløb (emissionstillægget) til dækning af udgifter ved køb af finansielle instrumenter (værdipapirer) og til nødvendige omkostninger ved emissionen.</w:t>
      </w:r>
    </w:p>
    <w:p w14:paraId="60DF00BF" w14:textId="77777777" w:rsidR="002F1DF8" w:rsidRPr="008E13E6" w:rsidRDefault="002F1DF8" w:rsidP="002F1DF8">
      <w:pPr>
        <w:spacing w:after="120"/>
        <w:jc w:val="both"/>
        <w:rPr>
          <w:spacing w:val="-3"/>
          <w:sz w:val="20"/>
          <w:szCs w:val="22"/>
        </w:rPr>
      </w:pPr>
      <w:r w:rsidRPr="008E13E6">
        <w:rPr>
          <w:spacing w:val="-3"/>
          <w:sz w:val="20"/>
          <w:szCs w:val="22"/>
        </w:rPr>
        <w:t xml:space="preserve">Indre værdi beregnes ved at dividere </w:t>
      </w:r>
      <w:r w:rsidR="002962DA" w:rsidRPr="008E13E6">
        <w:rPr>
          <w:spacing w:val="-3"/>
          <w:sz w:val="20"/>
          <w:szCs w:val="22"/>
        </w:rPr>
        <w:t>investo</w:t>
      </w:r>
      <w:r w:rsidR="003251CD" w:rsidRPr="008E13E6">
        <w:rPr>
          <w:spacing w:val="-3"/>
          <w:sz w:val="20"/>
          <w:szCs w:val="22"/>
        </w:rPr>
        <w:t>r</w:t>
      </w:r>
      <w:r w:rsidR="002962DA" w:rsidRPr="008E13E6">
        <w:rPr>
          <w:spacing w:val="-3"/>
          <w:sz w:val="20"/>
          <w:szCs w:val="22"/>
        </w:rPr>
        <w:t>e</w:t>
      </w:r>
      <w:r w:rsidRPr="008E13E6">
        <w:rPr>
          <w:spacing w:val="-3"/>
          <w:sz w:val="20"/>
          <w:szCs w:val="22"/>
        </w:rPr>
        <w:t xml:space="preserve">rnes formues værdi på emissionstidspunktet med den nominelle værdi af de i afdelingen tegnede andele. </w:t>
      </w:r>
    </w:p>
    <w:p w14:paraId="662C9B51" w14:textId="4B9C032E" w:rsidR="008F05E2" w:rsidRPr="007E5D5A" w:rsidRDefault="00EA5D40" w:rsidP="002F1DF8">
      <w:pPr>
        <w:spacing w:after="120"/>
        <w:jc w:val="both"/>
        <w:rPr>
          <w:spacing w:val="-3"/>
          <w:sz w:val="20"/>
        </w:rPr>
      </w:pPr>
      <w:r w:rsidRPr="008E13E6">
        <w:rPr>
          <w:spacing w:val="-3"/>
          <w:sz w:val="20"/>
          <w:szCs w:val="22"/>
        </w:rPr>
        <w:t xml:space="preserve">Investeringsforvaltningsselskabet </w:t>
      </w:r>
      <w:r w:rsidRPr="007E5D5A">
        <w:rPr>
          <w:spacing w:val="-3"/>
          <w:sz w:val="20"/>
        </w:rPr>
        <w:t>Fundmarket o</w:t>
      </w:r>
      <w:r w:rsidRPr="007E5D5A">
        <w:rPr>
          <w:sz w:val="20"/>
        </w:rPr>
        <w:t>plyser dagligt aktuelle emissions- og indløsningspriser samt indre værdi</w:t>
      </w:r>
      <w:r w:rsidR="00511BB5" w:rsidRPr="007E5D5A">
        <w:rPr>
          <w:sz w:val="20"/>
        </w:rPr>
        <w:t xml:space="preserve">. Oplysninger om kurser </w:t>
      </w:r>
      <w:r w:rsidR="007E5D5A">
        <w:rPr>
          <w:sz w:val="20"/>
        </w:rPr>
        <w:t xml:space="preserve">og indre værdi </w:t>
      </w:r>
      <w:r w:rsidR="00511BB5" w:rsidRPr="007E5D5A">
        <w:rPr>
          <w:sz w:val="20"/>
        </w:rPr>
        <w:t>kan desuden findes på</w:t>
      </w:r>
      <w:r w:rsidR="00911170" w:rsidRPr="007E5D5A">
        <w:rPr>
          <w:sz w:val="20"/>
        </w:rPr>
        <w:t xml:space="preserve"> </w:t>
      </w:r>
      <w:r w:rsidR="00D945BA" w:rsidRPr="007E5D5A">
        <w:rPr>
          <w:sz w:val="20"/>
        </w:rPr>
        <w:t>www.portfoliomanager.dk</w:t>
      </w:r>
      <w:r w:rsidR="00946C5D" w:rsidRPr="007E5D5A">
        <w:rPr>
          <w:sz w:val="20"/>
        </w:rPr>
        <w:t>,</w:t>
      </w:r>
      <w:r w:rsidR="00946C5D" w:rsidRPr="00090E7D">
        <w:rPr>
          <w:sz w:val="20"/>
        </w:rPr>
        <w:t xml:space="preserve"> www.nasdaqomxnordic.com</w:t>
      </w:r>
      <w:r w:rsidR="00911170" w:rsidRPr="007E5D5A">
        <w:rPr>
          <w:sz w:val="20"/>
        </w:rPr>
        <w:t xml:space="preserve"> og </w:t>
      </w:r>
      <w:r w:rsidR="004A5978" w:rsidRPr="007E5D5A">
        <w:rPr>
          <w:sz w:val="20"/>
        </w:rPr>
        <w:t>F</w:t>
      </w:r>
      <w:r w:rsidR="00911170" w:rsidRPr="007E5D5A">
        <w:rPr>
          <w:sz w:val="20"/>
        </w:rPr>
        <w:t>und</w:t>
      </w:r>
      <w:r w:rsidR="004A5978" w:rsidRPr="007E5D5A">
        <w:rPr>
          <w:sz w:val="20"/>
        </w:rPr>
        <w:t>C</w:t>
      </w:r>
      <w:r w:rsidR="00911170" w:rsidRPr="007E5D5A">
        <w:rPr>
          <w:sz w:val="20"/>
        </w:rPr>
        <w:t>ollect.dk</w:t>
      </w:r>
      <w:r w:rsidR="00C12D2F" w:rsidRPr="007E5D5A">
        <w:rPr>
          <w:sz w:val="20"/>
        </w:rPr>
        <w:t>.</w:t>
      </w:r>
      <w:r w:rsidR="00911170" w:rsidRPr="007E5D5A">
        <w:rPr>
          <w:sz w:val="20"/>
        </w:rPr>
        <w:t xml:space="preserve"> </w:t>
      </w:r>
      <w:r w:rsidR="00975A5A" w:rsidRPr="007E5D5A">
        <w:rPr>
          <w:spacing w:val="-3"/>
          <w:sz w:val="20"/>
        </w:rPr>
        <w:t xml:space="preserve"> </w:t>
      </w:r>
    </w:p>
    <w:p w14:paraId="584F5CE6" w14:textId="1AA0A562" w:rsidR="009B2573" w:rsidRPr="008E13E6" w:rsidRDefault="002F1DF8">
      <w:pPr>
        <w:spacing w:after="120"/>
        <w:rPr>
          <w:spacing w:val="-3"/>
          <w:sz w:val="20"/>
          <w:szCs w:val="22"/>
        </w:rPr>
      </w:pPr>
      <w:r w:rsidRPr="008E13E6">
        <w:rPr>
          <w:spacing w:val="-3"/>
          <w:sz w:val="20"/>
          <w:szCs w:val="22"/>
        </w:rPr>
        <w:t xml:space="preserve">Emissionstillæggets sammensætning og maksimale størrelse fremgår af </w:t>
      </w:r>
      <w:r w:rsidRPr="008E13E6">
        <w:rPr>
          <w:i/>
          <w:spacing w:val="-3"/>
          <w:sz w:val="20"/>
          <w:szCs w:val="22"/>
        </w:rPr>
        <w:t>Bilag 1</w:t>
      </w:r>
      <w:r w:rsidRPr="008E13E6">
        <w:rPr>
          <w:spacing w:val="-3"/>
          <w:sz w:val="20"/>
          <w:szCs w:val="22"/>
        </w:rPr>
        <w:t>. Den således beregnede emissionspris afrundes, jf. punkt</w:t>
      </w:r>
      <w:r w:rsidR="00583CDC" w:rsidRPr="008E13E6">
        <w:rPr>
          <w:spacing w:val="-3"/>
          <w:sz w:val="20"/>
          <w:szCs w:val="22"/>
        </w:rPr>
        <w:t xml:space="preserve"> </w:t>
      </w:r>
      <w:r w:rsidR="00757287" w:rsidRPr="008E13E6">
        <w:rPr>
          <w:sz w:val="20"/>
        </w:rPr>
        <w:fldChar w:fldCharType="begin"/>
      </w:r>
      <w:r w:rsidR="00757287" w:rsidRPr="008E13E6">
        <w:rPr>
          <w:sz w:val="20"/>
        </w:rPr>
        <w:instrText xml:space="preserve"> REF _Ref414450813 \r \h  \* MERGEFORMAT </w:instrText>
      </w:r>
      <w:r w:rsidR="00757287" w:rsidRPr="008E13E6">
        <w:rPr>
          <w:sz w:val="20"/>
        </w:rPr>
      </w:r>
      <w:r w:rsidR="00757287" w:rsidRPr="008E13E6">
        <w:rPr>
          <w:sz w:val="20"/>
        </w:rPr>
        <w:fldChar w:fldCharType="separate"/>
      </w:r>
      <w:r w:rsidR="00195831" w:rsidRPr="00195831">
        <w:rPr>
          <w:i/>
          <w:sz w:val="20"/>
          <w:szCs w:val="22"/>
        </w:rPr>
        <w:t>22</w:t>
      </w:r>
      <w:r w:rsidR="00757287" w:rsidRPr="008E13E6">
        <w:rPr>
          <w:sz w:val="20"/>
        </w:rPr>
        <w:fldChar w:fldCharType="end"/>
      </w:r>
      <w:r w:rsidR="00BD497E" w:rsidRPr="008E13E6">
        <w:rPr>
          <w:i/>
          <w:sz w:val="20"/>
          <w:szCs w:val="22"/>
        </w:rPr>
        <w:t xml:space="preserve">. </w:t>
      </w:r>
      <w:r w:rsidR="00757287" w:rsidRPr="008E13E6">
        <w:rPr>
          <w:sz w:val="20"/>
        </w:rPr>
        <w:fldChar w:fldCharType="begin"/>
      </w:r>
      <w:r w:rsidR="00757287" w:rsidRPr="008E13E6">
        <w:rPr>
          <w:sz w:val="20"/>
        </w:rPr>
        <w:instrText xml:space="preserve"> REF _Ref414450816 \h  \* MERGEFORMAT </w:instrText>
      </w:r>
      <w:r w:rsidR="00757287" w:rsidRPr="008E13E6">
        <w:rPr>
          <w:sz w:val="20"/>
        </w:rPr>
      </w:r>
      <w:r w:rsidR="00757287" w:rsidRPr="008E13E6">
        <w:rPr>
          <w:sz w:val="20"/>
        </w:rPr>
        <w:fldChar w:fldCharType="separate"/>
      </w:r>
      <w:r w:rsidR="00195831" w:rsidRPr="008E13E6">
        <w:rPr>
          <w:i/>
          <w:sz w:val="20"/>
          <w:szCs w:val="22"/>
        </w:rPr>
        <w:t>Andelenes registrering, størrelse og kursangivelse</w:t>
      </w:r>
      <w:r w:rsidR="00757287" w:rsidRPr="008E13E6">
        <w:rPr>
          <w:sz w:val="20"/>
        </w:rPr>
        <w:fldChar w:fldCharType="end"/>
      </w:r>
      <w:r w:rsidRPr="008E13E6">
        <w:rPr>
          <w:spacing w:val="-3"/>
          <w:sz w:val="20"/>
          <w:szCs w:val="22"/>
        </w:rPr>
        <w:t>.</w:t>
      </w:r>
    </w:p>
    <w:p w14:paraId="77ABC1A9" w14:textId="66A160BB" w:rsidR="003D6043" w:rsidRDefault="002F1DF8">
      <w:pPr>
        <w:rPr>
          <w:sz w:val="20"/>
          <w:szCs w:val="22"/>
        </w:rPr>
      </w:pPr>
      <w:r w:rsidRPr="008E13E6">
        <w:rPr>
          <w:sz w:val="20"/>
          <w:szCs w:val="22"/>
        </w:rPr>
        <w:t>De angivne maksimale emissionstillæg kan overskrides i perioder med usædvanlige markedsforhold, som medfører en stigning i ”øvrige markedsafledte udgifter ved køb af instrumenter”. Såfremt en sådan situation opstår, vil foreningen i den pågældende periode oplyse om de konkrete emissionstillæg på www.</w:t>
      </w:r>
      <w:r w:rsidR="00C60658" w:rsidRPr="008E13E6">
        <w:rPr>
          <w:sz w:val="20"/>
          <w:szCs w:val="22"/>
        </w:rPr>
        <w:t>portfoliomanager.dk</w:t>
      </w:r>
      <w:r w:rsidRPr="008E13E6">
        <w:rPr>
          <w:sz w:val="20"/>
          <w:szCs w:val="22"/>
        </w:rPr>
        <w:t>.</w:t>
      </w:r>
      <w:r w:rsidR="00583CDC" w:rsidRPr="008E13E6">
        <w:rPr>
          <w:sz w:val="20"/>
          <w:szCs w:val="22"/>
        </w:rPr>
        <w:t xml:space="preserve"> </w:t>
      </w:r>
    </w:p>
    <w:p w14:paraId="4E3F4E93" w14:textId="2DCD2361" w:rsidR="00946C5D" w:rsidRPr="008E13E6" w:rsidRDefault="00946C5D" w:rsidP="00AC26F5">
      <w:pPr>
        <w:spacing w:before="120"/>
        <w:rPr>
          <w:sz w:val="20"/>
          <w:szCs w:val="22"/>
        </w:rPr>
      </w:pPr>
      <w:r w:rsidRPr="00946C5D">
        <w:rPr>
          <w:sz w:val="20"/>
          <w:szCs w:val="22"/>
        </w:rPr>
        <w:t>Ændringer offentliggøres endvidere i en selskabsmeddelelse via Nasdaq Copenhagen A/S. Dette gælder også når forholdene normaliseres igen.</w:t>
      </w:r>
    </w:p>
    <w:p w14:paraId="133175FF"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160" w:name="_Ref443373322"/>
      <w:bookmarkStart w:id="161" w:name="_Ref443373325"/>
      <w:bookmarkStart w:id="162" w:name="_Toc9239914"/>
      <w:r w:rsidRPr="008E13E6">
        <w:rPr>
          <w:i/>
          <w:sz w:val="20"/>
          <w:szCs w:val="22"/>
        </w:rPr>
        <w:t>Tegningssted</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60"/>
      <w:bookmarkEnd w:id="161"/>
      <w:bookmarkEnd w:id="162"/>
      <w:r w:rsidRPr="008E13E6">
        <w:rPr>
          <w:i/>
          <w:sz w:val="20"/>
          <w:szCs w:val="22"/>
        </w:rPr>
        <w:t xml:space="preserve"> </w:t>
      </w:r>
    </w:p>
    <w:p w14:paraId="6B886604" w14:textId="77777777" w:rsidR="003C7407" w:rsidRPr="008E13E6" w:rsidRDefault="003C7407" w:rsidP="003C7407">
      <w:pPr>
        <w:rPr>
          <w:spacing w:val="-3"/>
          <w:sz w:val="20"/>
          <w:szCs w:val="22"/>
        </w:rPr>
      </w:pPr>
      <w:r w:rsidRPr="008E13E6">
        <w:rPr>
          <w:spacing w:val="-3"/>
          <w:sz w:val="20"/>
          <w:szCs w:val="22"/>
        </w:rPr>
        <w:t xml:space="preserve">Beviser i andelsklassen kan købes og sælges i pengeinstitutter. Handler med andele afvikles/betales efter samme retningslinjer som for sædvanlige fondshandler og retningslinjer for børsnoterede instrumenter. </w:t>
      </w:r>
    </w:p>
    <w:p w14:paraId="6ABE9200" w14:textId="44EFD57A" w:rsidR="00C67DD8" w:rsidRPr="008E13E6" w:rsidRDefault="00C95A93" w:rsidP="00C33F3E">
      <w:pPr>
        <w:pStyle w:val="Bo"/>
        <w:numPr>
          <w:ilvl w:val="0"/>
          <w:numId w:val="2"/>
        </w:numPr>
        <w:tabs>
          <w:tab w:val="clear" w:pos="502"/>
          <w:tab w:val="num" w:pos="284"/>
        </w:tabs>
        <w:spacing w:after="120"/>
        <w:ind w:left="142" w:hanging="142"/>
        <w:rPr>
          <w:i/>
          <w:sz w:val="20"/>
          <w:szCs w:val="22"/>
        </w:rPr>
      </w:pPr>
      <w:bookmarkStart w:id="163" w:name="_Toc9239915"/>
      <w:bookmarkEnd w:id="153"/>
      <w:bookmarkEnd w:id="154"/>
      <w:bookmarkEnd w:id="155"/>
      <w:bookmarkEnd w:id="156"/>
      <w:bookmarkEnd w:id="157"/>
      <w:bookmarkEnd w:id="158"/>
      <w:bookmarkEnd w:id="159"/>
      <w:r>
        <w:rPr>
          <w:i/>
          <w:sz w:val="20"/>
          <w:szCs w:val="22"/>
        </w:rPr>
        <w:t>L</w:t>
      </w:r>
      <w:r w:rsidR="000A0301">
        <w:rPr>
          <w:i/>
          <w:sz w:val="20"/>
          <w:szCs w:val="22"/>
        </w:rPr>
        <w:t>øbende emission</w:t>
      </w:r>
      <w:bookmarkEnd w:id="163"/>
    </w:p>
    <w:p w14:paraId="791BBC86" w14:textId="0933040F" w:rsidR="00157618" w:rsidRDefault="000E07F6" w:rsidP="00C436B9">
      <w:pPr>
        <w:spacing w:after="120"/>
        <w:rPr>
          <w:spacing w:val="-3"/>
          <w:sz w:val="20"/>
          <w:szCs w:val="22"/>
        </w:rPr>
      </w:pPr>
      <w:bookmarkStart w:id="164" w:name="_Toc248216348"/>
      <w:bookmarkStart w:id="165" w:name="_Ref261423267"/>
      <w:bookmarkStart w:id="166" w:name="_Ref261423271"/>
      <w:bookmarkStart w:id="167" w:name="_Toc395703419"/>
      <w:bookmarkStart w:id="168" w:name="_Toc414000042"/>
      <w:bookmarkStart w:id="169" w:name="_Toc36540914"/>
      <w:bookmarkStart w:id="170" w:name="_Toc52782758"/>
      <w:bookmarkStart w:id="171" w:name="_Toc153769233"/>
      <w:bookmarkStart w:id="172" w:name="_Toc171834401"/>
      <w:bookmarkStart w:id="173" w:name="_Toc171838091"/>
      <w:bookmarkStart w:id="174" w:name="_Toc306366588"/>
      <w:bookmarkStart w:id="175" w:name="_Toc357087613"/>
      <w:r w:rsidRPr="008E13E6">
        <w:rPr>
          <w:spacing w:val="-3"/>
          <w:sz w:val="20"/>
          <w:szCs w:val="22"/>
        </w:rPr>
        <w:t>A</w:t>
      </w:r>
      <w:r w:rsidR="00DE7AEF" w:rsidRPr="008E13E6">
        <w:rPr>
          <w:spacing w:val="-3"/>
          <w:sz w:val="20"/>
          <w:szCs w:val="22"/>
        </w:rPr>
        <w:t xml:space="preserve">ndele </w:t>
      </w:r>
      <w:r w:rsidR="00196D20" w:rsidRPr="008E13E6">
        <w:rPr>
          <w:spacing w:val="-3"/>
          <w:sz w:val="20"/>
          <w:szCs w:val="22"/>
        </w:rPr>
        <w:t>udbudt</w:t>
      </w:r>
      <w:r w:rsidR="00DE7AEF" w:rsidRPr="008E13E6">
        <w:rPr>
          <w:spacing w:val="-3"/>
          <w:sz w:val="20"/>
          <w:szCs w:val="22"/>
        </w:rPr>
        <w:t xml:space="preserve"> i løbende emission </w:t>
      </w:r>
      <w:r w:rsidR="00196D20" w:rsidRPr="008E13E6">
        <w:rPr>
          <w:spacing w:val="-3"/>
          <w:sz w:val="20"/>
          <w:szCs w:val="22"/>
        </w:rPr>
        <w:t xml:space="preserve">sker </w:t>
      </w:r>
      <w:r w:rsidR="00DE7AEF" w:rsidRPr="008E13E6" w:rsidDel="00196D20">
        <w:rPr>
          <w:spacing w:val="-3"/>
          <w:sz w:val="20"/>
          <w:szCs w:val="22"/>
        </w:rPr>
        <w:t xml:space="preserve">uden fastsat højeste beløb til den aktuelt beregnede tegningskurs og med sædvanlige handelsomkostninger. </w:t>
      </w:r>
      <w:r w:rsidR="00461CFE" w:rsidRPr="008E13E6" w:rsidDel="00196D20">
        <w:rPr>
          <w:spacing w:val="-3"/>
          <w:sz w:val="20"/>
          <w:szCs w:val="22"/>
        </w:rPr>
        <w:t>Der tages forbehold for eventuelle markedsmæssige og tekniske hindringer.</w:t>
      </w:r>
      <w:r w:rsidR="00157618" w:rsidRPr="00157618">
        <w:rPr>
          <w:spacing w:val="-3"/>
          <w:sz w:val="20"/>
          <w:szCs w:val="22"/>
        </w:rPr>
        <w:t xml:space="preserve"> </w:t>
      </w:r>
    </w:p>
    <w:p w14:paraId="482D6D1F" w14:textId="2309B2E5" w:rsidR="00DE7AEF" w:rsidRPr="008E13E6" w:rsidRDefault="00157618" w:rsidP="00C436B9">
      <w:pPr>
        <w:spacing w:after="120"/>
        <w:rPr>
          <w:spacing w:val="-3"/>
          <w:sz w:val="20"/>
          <w:szCs w:val="22"/>
        </w:rPr>
      </w:pPr>
      <w:r w:rsidRPr="00C95A93">
        <w:rPr>
          <w:spacing w:val="-3"/>
          <w:sz w:val="20"/>
          <w:szCs w:val="22"/>
        </w:rPr>
        <w:t xml:space="preserve">Pr. </w:t>
      </w:r>
      <w:r w:rsidR="0039546E">
        <w:rPr>
          <w:spacing w:val="-3"/>
          <w:sz w:val="20"/>
          <w:szCs w:val="22"/>
        </w:rPr>
        <w:t>20. maj</w:t>
      </w:r>
      <w:r w:rsidRPr="00C95A93">
        <w:rPr>
          <w:spacing w:val="-3"/>
          <w:sz w:val="20"/>
          <w:szCs w:val="22"/>
        </w:rPr>
        <w:t xml:space="preserve"> 201</w:t>
      </w:r>
      <w:r>
        <w:rPr>
          <w:spacing w:val="-3"/>
          <w:sz w:val="20"/>
          <w:szCs w:val="22"/>
        </w:rPr>
        <w:t>9</w:t>
      </w:r>
      <w:r w:rsidRPr="00C95A93">
        <w:rPr>
          <w:spacing w:val="-3"/>
          <w:sz w:val="20"/>
          <w:szCs w:val="22"/>
        </w:rPr>
        <w:t xml:space="preserve"> udgør mængden af cirkulerende andele i andelsklassen </w:t>
      </w:r>
      <w:r w:rsidR="00F14980">
        <w:rPr>
          <w:spacing w:val="-3"/>
          <w:sz w:val="20"/>
          <w:szCs w:val="22"/>
        </w:rPr>
        <w:t>5</w:t>
      </w:r>
      <w:r w:rsidR="009E0D47">
        <w:rPr>
          <w:spacing w:val="-3"/>
          <w:sz w:val="20"/>
          <w:szCs w:val="22"/>
        </w:rPr>
        <w:t>,</w:t>
      </w:r>
      <w:r w:rsidR="00835C4C">
        <w:rPr>
          <w:spacing w:val="-3"/>
          <w:sz w:val="20"/>
          <w:szCs w:val="22"/>
        </w:rPr>
        <w:t>8</w:t>
      </w:r>
      <w:r w:rsidRPr="00C95A93">
        <w:rPr>
          <w:spacing w:val="-3"/>
          <w:sz w:val="20"/>
          <w:szCs w:val="22"/>
        </w:rPr>
        <w:t xml:space="preserve"> mio. </w:t>
      </w:r>
      <w:r w:rsidR="009E0D47">
        <w:rPr>
          <w:spacing w:val="-3"/>
          <w:sz w:val="20"/>
          <w:szCs w:val="22"/>
        </w:rPr>
        <w:t>EUR</w:t>
      </w:r>
      <w:r w:rsidRPr="00C95A93">
        <w:rPr>
          <w:spacing w:val="-3"/>
          <w:sz w:val="20"/>
          <w:szCs w:val="22"/>
        </w:rPr>
        <w:t xml:space="preserve">. fordelt på </w:t>
      </w:r>
      <w:r w:rsidR="00F14980">
        <w:rPr>
          <w:spacing w:val="-3"/>
          <w:sz w:val="20"/>
          <w:szCs w:val="22"/>
        </w:rPr>
        <w:t>58.194</w:t>
      </w:r>
      <w:r w:rsidRPr="00C95A93">
        <w:rPr>
          <w:spacing w:val="-3"/>
          <w:sz w:val="20"/>
          <w:szCs w:val="22"/>
        </w:rPr>
        <w:t xml:space="preserve"> andele a 100 </w:t>
      </w:r>
      <w:r w:rsidR="009E0D47">
        <w:rPr>
          <w:spacing w:val="-3"/>
          <w:sz w:val="20"/>
          <w:szCs w:val="22"/>
        </w:rPr>
        <w:t>EUR</w:t>
      </w:r>
      <w:r w:rsidRPr="00C95A93">
        <w:rPr>
          <w:spacing w:val="-3"/>
          <w:sz w:val="20"/>
          <w:szCs w:val="22"/>
        </w:rPr>
        <w:t>.</w:t>
      </w:r>
    </w:p>
    <w:p w14:paraId="0F7545A0"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176" w:name="_Toc9239916"/>
      <w:r w:rsidRPr="008E13E6">
        <w:rPr>
          <w:i/>
          <w:sz w:val="20"/>
          <w:szCs w:val="22"/>
        </w:rPr>
        <w:t>Betaling for tegning og opbevaring</w:t>
      </w:r>
      <w:bookmarkEnd w:id="164"/>
      <w:bookmarkEnd w:id="165"/>
      <w:bookmarkEnd w:id="166"/>
      <w:bookmarkEnd w:id="167"/>
      <w:bookmarkEnd w:id="168"/>
      <w:bookmarkEnd w:id="176"/>
    </w:p>
    <w:p w14:paraId="20FCB251" w14:textId="413A1FD5" w:rsidR="00C063FE" w:rsidRPr="008E13E6" w:rsidRDefault="00C063FE" w:rsidP="000E0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bookmarkStart w:id="177" w:name="_Hlk523141179"/>
      <w:bookmarkStart w:id="178" w:name="_Toc395703420"/>
      <w:bookmarkStart w:id="179" w:name="_Toc414000043"/>
      <w:bookmarkEnd w:id="169"/>
      <w:bookmarkEnd w:id="170"/>
      <w:bookmarkEnd w:id="171"/>
      <w:bookmarkEnd w:id="172"/>
      <w:bookmarkEnd w:id="173"/>
      <w:bookmarkEnd w:id="174"/>
      <w:bookmarkEnd w:id="175"/>
      <w:r w:rsidRPr="008E13E6">
        <w:rPr>
          <w:spacing w:val="-3"/>
          <w:sz w:val="20"/>
          <w:szCs w:val="22"/>
        </w:rPr>
        <w:t>Andele i andelsklassen tegnet i løbende emission afregnes på anden bankdag efter tegningen samtidig med registrering af andelene på investors depot.</w:t>
      </w:r>
    </w:p>
    <w:bookmarkEnd w:id="177"/>
    <w:p w14:paraId="195180D4" w14:textId="77777777" w:rsidR="000E07F6" w:rsidRPr="008E13E6" w:rsidRDefault="000E07F6" w:rsidP="000E0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rPr>
          <w:sz w:val="20"/>
          <w:szCs w:val="22"/>
        </w:rPr>
      </w:pPr>
      <w:r w:rsidRPr="008E13E6">
        <w:rPr>
          <w:sz w:val="20"/>
          <w:szCs w:val="22"/>
        </w:rPr>
        <w:t>Det er</w:t>
      </w:r>
      <w:r w:rsidR="0004787A">
        <w:rPr>
          <w:sz w:val="20"/>
          <w:szCs w:val="22"/>
        </w:rPr>
        <w:t xml:space="preserve"> typisk</w:t>
      </w:r>
      <w:r w:rsidRPr="008E13E6">
        <w:rPr>
          <w:sz w:val="20"/>
          <w:szCs w:val="22"/>
        </w:rPr>
        <w:t xml:space="preserve"> gratis at få andelene opbevaret i depot hos depotselskabet eller andre danske pengeinsti</w:t>
      </w:r>
      <w:r w:rsidRPr="008E13E6">
        <w:rPr>
          <w:sz w:val="20"/>
          <w:szCs w:val="22"/>
        </w:rPr>
        <w:softHyphen/>
        <w:t xml:space="preserve">tutter. Ved ind- og udgang af andele betales dog </w:t>
      </w:r>
      <w:r w:rsidRPr="008E13E6">
        <w:rPr>
          <w:spacing w:val="-3"/>
          <w:sz w:val="20"/>
          <w:szCs w:val="22"/>
        </w:rPr>
        <w:t>sædvanlige</w:t>
      </w:r>
      <w:r w:rsidRPr="008E13E6">
        <w:rPr>
          <w:sz w:val="20"/>
          <w:szCs w:val="22"/>
        </w:rPr>
        <w:t xml:space="preserve"> VP-gebyrer.</w:t>
      </w:r>
    </w:p>
    <w:p w14:paraId="66C80FB8" w14:textId="6E2711C9"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180" w:name="_Toc9239917"/>
      <w:r w:rsidRPr="008E13E6">
        <w:rPr>
          <w:i/>
          <w:sz w:val="20"/>
          <w:szCs w:val="22"/>
        </w:rPr>
        <w:t>Emissions- og indløsningspriser m.v.</w:t>
      </w:r>
      <w:bookmarkEnd w:id="178"/>
      <w:bookmarkEnd w:id="179"/>
      <w:bookmarkEnd w:id="180"/>
    </w:p>
    <w:p w14:paraId="240FE35B" w14:textId="6FDD9C6F" w:rsidR="009450C8" w:rsidRPr="008E13E6" w:rsidRDefault="00F93EFD" w:rsidP="004140A7">
      <w:pPr>
        <w:spacing w:after="120"/>
        <w:rPr>
          <w:sz w:val="20"/>
          <w:szCs w:val="22"/>
        </w:rPr>
      </w:pPr>
      <w:r w:rsidRPr="008E13E6">
        <w:rPr>
          <w:sz w:val="20"/>
          <w:szCs w:val="22"/>
        </w:rPr>
        <w:t>Fundmarket A/S</w:t>
      </w:r>
      <w:r w:rsidR="000E07F6" w:rsidRPr="008E13E6">
        <w:rPr>
          <w:sz w:val="20"/>
          <w:szCs w:val="22"/>
        </w:rPr>
        <w:t xml:space="preserve"> beregner og oplyser (med forbehold for eventuelle markedsmæssige eller tekniske hindringer) aktuelle emissions- og indløsningspriser samt indre værdi. </w:t>
      </w:r>
      <w:r w:rsidR="00AA76BC" w:rsidRPr="00AA76BC">
        <w:rPr>
          <w:sz w:val="20"/>
          <w:szCs w:val="22"/>
        </w:rPr>
        <w:t>Oplysninger om kurser og indre værdi kan desuden findes på www.portfoliomanager.dk, www.nasdaqomxnordic.com og www.FundCollect.dk</w:t>
      </w:r>
      <w:r w:rsidR="00D94A17" w:rsidRPr="008E13E6">
        <w:rPr>
          <w:sz w:val="20"/>
          <w:szCs w:val="22"/>
        </w:rPr>
        <w:t>.</w:t>
      </w:r>
    </w:p>
    <w:p w14:paraId="1091E7EA" w14:textId="77777777" w:rsidR="009450C8" w:rsidRPr="008E13E6" w:rsidRDefault="009450C8" w:rsidP="00DE7AEF">
      <w:pPr>
        <w:pStyle w:val="Overskrift2"/>
        <w:numPr>
          <w:ilvl w:val="0"/>
          <w:numId w:val="0"/>
        </w:numPr>
        <w:pBdr>
          <w:bottom w:val="single" w:sz="4" w:space="1" w:color="auto"/>
        </w:pBdr>
        <w:spacing w:before="360"/>
        <w:jc w:val="center"/>
        <w:rPr>
          <w:rFonts w:ascii="Times New Roman" w:hAnsi="Times New Roman"/>
          <w:i w:val="0"/>
          <w:iCs/>
          <w:color w:val="002060"/>
          <w:sz w:val="24"/>
          <w:szCs w:val="28"/>
        </w:rPr>
      </w:pPr>
      <w:bookmarkStart w:id="181" w:name="_Toc36540807"/>
      <w:bookmarkStart w:id="182" w:name="_Toc36540915"/>
      <w:bookmarkStart w:id="183" w:name="_Toc52782759"/>
      <w:bookmarkStart w:id="184" w:name="_Toc153769234"/>
      <w:bookmarkStart w:id="185" w:name="_Toc171834402"/>
      <w:bookmarkStart w:id="186" w:name="_Toc171838092"/>
      <w:bookmarkStart w:id="187" w:name="_Toc306366589"/>
      <w:bookmarkStart w:id="188" w:name="_Toc357087614"/>
      <w:bookmarkStart w:id="189" w:name="_Toc413407273"/>
      <w:bookmarkStart w:id="190" w:name="_Toc9239918"/>
      <w:r w:rsidRPr="008E13E6">
        <w:rPr>
          <w:rFonts w:ascii="Times New Roman" w:hAnsi="Times New Roman"/>
          <w:i w:val="0"/>
          <w:iCs/>
          <w:color w:val="002060"/>
          <w:sz w:val="24"/>
          <w:szCs w:val="28"/>
        </w:rPr>
        <w:lastRenderedPageBreak/>
        <w:t>Omsætning, indløsning og indløsningsomkostninger</w:t>
      </w:r>
      <w:bookmarkEnd w:id="181"/>
      <w:bookmarkEnd w:id="182"/>
      <w:bookmarkEnd w:id="183"/>
      <w:bookmarkEnd w:id="184"/>
      <w:bookmarkEnd w:id="185"/>
      <w:bookmarkEnd w:id="186"/>
      <w:bookmarkEnd w:id="187"/>
      <w:bookmarkEnd w:id="188"/>
      <w:bookmarkEnd w:id="189"/>
      <w:bookmarkEnd w:id="190"/>
    </w:p>
    <w:p w14:paraId="487AA4EB"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191" w:name="_Ref111014138"/>
      <w:bookmarkStart w:id="192" w:name="_Toc208144102"/>
      <w:bookmarkStart w:id="193" w:name="_Toc395703421"/>
      <w:bookmarkStart w:id="194" w:name="_Toc414000045"/>
      <w:bookmarkStart w:id="195" w:name="_Toc9239919"/>
      <w:bookmarkStart w:id="196" w:name="_Toc306366591"/>
      <w:bookmarkStart w:id="197" w:name="_Toc357087616"/>
      <w:r w:rsidRPr="008E13E6">
        <w:rPr>
          <w:i/>
          <w:sz w:val="20"/>
          <w:szCs w:val="22"/>
        </w:rPr>
        <w:t>Omsættelighed og indløsning</w:t>
      </w:r>
      <w:bookmarkEnd w:id="191"/>
      <w:bookmarkEnd w:id="192"/>
      <w:bookmarkEnd w:id="193"/>
      <w:bookmarkEnd w:id="194"/>
      <w:bookmarkEnd w:id="195"/>
    </w:p>
    <w:p w14:paraId="2415ABF5" w14:textId="77777777" w:rsidR="004A5978" w:rsidRPr="008E13E6" w:rsidRDefault="000E07F6" w:rsidP="004A5978">
      <w:pPr>
        <w:rPr>
          <w:sz w:val="20"/>
          <w:szCs w:val="22"/>
        </w:rPr>
      </w:pPr>
      <w:bookmarkStart w:id="198" w:name="_Ref262024006"/>
      <w:bookmarkStart w:id="199" w:name="_Ref262024009"/>
      <w:bookmarkStart w:id="200" w:name="_Ref336506076"/>
      <w:bookmarkStart w:id="201" w:name="_Ref336506079"/>
      <w:bookmarkStart w:id="202" w:name="_Ref337548334"/>
      <w:bookmarkStart w:id="203" w:name="_Ref337548338"/>
      <w:bookmarkStart w:id="204" w:name="_Toc395703422"/>
      <w:bookmarkStart w:id="205" w:name="_Toc414000046"/>
      <w:bookmarkStart w:id="206" w:name="_Ref36522951"/>
      <w:bookmarkStart w:id="207" w:name="_Toc36540918"/>
      <w:bookmarkStart w:id="208" w:name="_Toc52782762"/>
      <w:bookmarkStart w:id="209" w:name="_Toc153769237"/>
      <w:bookmarkStart w:id="210" w:name="_Toc171834405"/>
      <w:bookmarkStart w:id="211" w:name="_Toc171838095"/>
      <w:bookmarkStart w:id="212" w:name="_Toc306366592"/>
      <w:bookmarkStart w:id="213" w:name="_Toc357087617"/>
      <w:bookmarkEnd w:id="196"/>
      <w:bookmarkEnd w:id="197"/>
      <w:r w:rsidRPr="008E13E6">
        <w:rPr>
          <w:spacing w:val="-3"/>
          <w:sz w:val="20"/>
          <w:szCs w:val="22"/>
        </w:rPr>
        <w:t xml:space="preserve">Foreningsandelene er frit omsættelige. Hvis investor ønsker at </w:t>
      </w:r>
      <w:r w:rsidR="00037D6F" w:rsidRPr="008E13E6">
        <w:rPr>
          <w:spacing w:val="-3"/>
          <w:sz w:val="20"/>
          <w:szCs w:val="22"/>
        </w:rPr>
        <w:t xml:space="preserve">flytte fra én afdeling eller andelskasse til en anden, sker dette ved at </w:t>
      </w:r>
      <w:r w:rsidRPr="008E13E6">
        <w:rPr>
          <w:spacing w:val="-3"/>
          <w:sz w:val="20"/>
          <w:szCs w:val="22"/>
        </w:rPr>
        <w:t>sælge andele</w:t>
      </w:r>
      <w:r w:rsidR="00037D6F" w:rsidRPr="008E13E6">
        <w:rPr>
          <w:spacing w:val="-3"/>
          <w:sz w:val="20"/>
          <w:szCs w:val="22"/>
        </w:rPr>
        <w:t>ne</w:t>
      </w:r>
      <w:r w:rsidRPr="008E13E6">
        <w:rPr>
          <w:spacing w:val="-3"/>
          <w:sz w:val="20"/>
          <w:szCs w:val="22"/>
        </w:rPr>
        <w:t xml:space="preserve"> i en afdeling af foreningen for at købe i en anden</w:t>
      </w:r>
      <w:r w:rsidR="004E2B41" w:rsidRPr="008E13E6">
        <w:rPr>
          <w:spacing w:val="-3"/>
          <w:sz w:val="20"/>
          <w:szCs w:val="22"/>
        </w:rPr>
        <w:t xml:space="preserve">. Dette </w:t>
      </w:r>
      <w:r w:rsidRPr="008E13E6">
        <w:rPr>
          <w:spacing w:val="-3"/>
          <w:sz w:val="20"/>
          <w:szCs w:val="22"/>
        </w:rPr>
        <w:t>sker på handelsvilkårene i det af investor valgte pengeinstitut</w:t>
      </w:r>
      <w:r w:rsidR="00116690" w:rsidRPr="008E13E6">
        <w:rPr>
          <w:spacing w:val="-3"/>
          <w:sz w:val="20"/>
          <w:szCs w:val="22"/>
        </w:rPr>
        <w:t>,</w:t>
      </w:r>
      <w:r w:rsidR="004E2B41" w:rsidRPr="008E13E6">
        <w:rPr>
          <w:spacing w:val="-3"/>
          <w:sz w:val="20"/>
          <w:szCs w:val="22"/>
        </w:rPr>
        <w:t xml:space="preserve"> og der </w:t>
      </w:r>
      <w:r w:rsidR="00116690" w:rsidRPr="008E13E6">
        <w:rPr>
          <w:sz w:val="20"/>
          <w:szCs w:val="22"/>
        </w:rPr>
        <w:t xml:space="preserve">må normalt påregnes opkrævet sædvanlig kurtage til </w:t>
      </w:r>
      <w:r w:rsidR="00C64D98" w:rsidRPr="008E13E6">
        <w:rPr>
          <w:sz w:val="20"/>
          <w:szCs w:val="22"/>
        </w:rPr>
        <w:t>investors pengeinstitut</w:t>
      </w:r>
      <w:r w:rsidR="00116690" w:rsidRPr="008E13E6">
        <w:rPr>
          <w:sz w:val="20"/>
          <w:szCs w:val="22"/>
        </w:rPr>
        <w:t>.</w:t>
      </w:r>
    </w:p>
    <w:p w14:paraId="6E728EA6" w14:textId="77777777" w:rsidR="000E07F6" w:rsidRPr="008E13E6" w:rsidRDefault="000E07F6" w:rsidP="004A5978">
      <w:pPr>
        <w:spacing w:before="120"/>
        <w:rPr>
          <w:sz w:val="20"/>
          <w:szCs w:val="22"/>
        </w:rPr>
      </w:pPr>
      <w:r w:rsidRPr="008E13E6">
        <w:rPr>
          <w:sz w:val="20"/>
          <w:szCs w:val="22"/>
        </w:rPr>
        <w:t xml:space="preserve">Ingen investor er </w:t>
      </w:r>
      <w:r w:rsidR="002B677B" w:rsidRPr="008E13E6">
        <w:rPr>
          <w:sz w:val="20"/>
          <w:szCs w:val="22"/>
        </w:rPr>
        <w:t>pligtig til</w:t>
      </w:r>
      <w:r w:rsidRPr="008E13E6">
        <w:rPr>
          <w:sz w:val="20"/>
          <w:szCs w:val="22"/>
        </w:rPr>
        <w:t xml:space="preserve"> at lade sine foreningsandele indløse helt eller delvist.</w:t>
      </w:r>
    </w:p>
    <w:p w14:paraId="3BD75C6F" w14:textId="77777777" w:rsidR="00461CFE" w:rsidRPr="008E13E6" w:rsidRDefault="000E07F6" w:rsidP="000E07F6">
      <w:pPr>
        <w:widowControl w:val="0"/>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60"/>
        <w:rPr>
          <w:spacing w:val="-3"/>
          <w:sz w:val="20"/>
          <w:szCs w:val="22"/>
        </w:rPr>
      </w:pPr>
      <w:r w:rsidRPr="008E13E6">
        <w:rPr>
          <w:spacing w:val="-3"/>
          <w:sz w:val="20"/>
          <w:szCs w:val="22"/>
        </w:rPr>
        <w:t xml:space="preserve">Foreningen er pligtig til at indløse foreningsandele, hvis investor </w:t>
      </w:r>
      <w:r w:rsidR="009F5119" w:rsidRPr="008E13E6">
        <w:rPr>
          <w:spacing w:val="-3"/>
          <w:sz w:val="20"/>
          <w:szCs w:val="22"/>
        </w:rPr>
        <w:t xml:space="preserve">ønsker </w:t>
      </w:r>
      <w:r w:rsidRPr="008E13E6">
        <w:rPr>
          <w:spacing w:val="-3"/>
          <w:sz w:val="20"/>
          <w:szCs w:val="22"/>
        </w:rPr>
        <w:t xml:space="preserve">det. </w:t>
      </w:r>
    </w:p>
    <w:p w14:paraId="5001D7FA" w14:textId="77777777" w:rsidR="000E07F6" w:rsidRPr="008E13E6" w:rsidRDefault="000E07F6" w:rsidP="000E07F6">
      <w:pPr>
        <w:widowControl w:val="0"/>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60"/>
        <w:rPr>
          <w:spacing w:val="-3"/>
          <w:sz w:val="20"/>
          <w:szCs w:val="22"/>
        </w:rPr>
      </w:pPr>
      <w:r w:rsidRPr="008E13E6">
        <w:rPr>
          <w:spacing w:val="-3"/>
          <w:sz w:val="20"/>
          <w:szCs w:val="22"/>
        </w:rPr>
        <w:t>Foreningen kan dog</w:t>
      </w:r>
      <w:r w:rsidRPr="008E13E6">
        <w:rPr>
          <w:i/>
          <w:iCs/>
          <w:spacing w:val="-3"/>
          <w:sz w:val="20"/>
          <w:szCs w:val="22"/>
        </w:rPr>
        <w:t xml:space="preserve">, </w:t>
      </w:r>
      <w:r w:rsidRPr="008E13E6">
        <w:rPr>
          <w:spacing w:val="-3"/>
          <w:sz w:val="20"/>
          <w:szCs w:val="22"/>
        </w:rPr>
        <w:t>jf. vedtægternes § 1</w:t>
      </w:r>
      <w:r w:rsidR="00DA16A8" w:rsidRPr="008E13E6">
        <w:rPr>
          <w:spacing w:val="-3"/>
          <w:sz w:val="20"/>
          <w:szCs w:val="22"/>
        </w:rPr>
        <w:t>2</w:t>
      </w:r>
      <w:r w:rsidRPr="008E13E6">
        <w:rPr>
          <w:spacing w:val="-3"/>
          <w:sz w:val="20"/>
          <w:szCs w:val="22"/>
        </w:rPr>
        <w:t xml:space="preserve">, stk. </w:t>
      </w:r>
      <w:r w:rsidR="00DA16A8" w:rsidRPr="008E13E6">
        <w:rPr>
          <w:spacing w:val="-3"/>
          <w:sz w:val="20"/>
          <w:szCs w:val="22"/>
        </w:rPr>
        <w:t>2</w:t>
      </w:r>
      <w:r w:rsidRPr="008E13E6">
        <w:rPr>
          <w:spacing w:val="-3"/>
          <w:sz w:val="20"/>
          <w:szCs w:val="22"/>
        </w:rPr>
        <w:t>,</w:t>
      </w:r>
      <w:r w:rsidRPr="008E13E6">
        <w:rPr>
          <w:i/>
          <w:iCs/>
          <w:spacing w:val="-3"/>
          <w:sz w:val="20"/>
          <w:szCs w:val="22"/>
        </w:rPr>
        <w:t xml:space="preserve"> </w:t>
      </w:r>
      <w:r w:rsidRPr="008E13E6">
        <w:rPr>
          <w:spacing w:val="-3"/>
          <w:sz w:val="20"/>
          <w:szCs w:val="22"/>
        </w:rPr>
        <w:t>i særlige tilfælde forlange, at indløsningsprisen fastsættes efter, at foreningen har realiseret de til indløsningen af andelene nødvendige aktiver. Udsættelse kan ske:</w:t>
      </w:r>
    </w:p>
    <w:p w14:paraId="71C780DC" w14:textId="77777777" w:rsidR="000E07F6" w:rsidRPr="008E13E6" w:rsidRDefault="000E07F6" w:rsidP="00D352F0">
      <w:pPr>
        <w:pStyle w:val="Listeafsnit"/>
        <w:numPr>
          <w:ilvl w:val="0"/>
          <w:numId w:val="5"/>
        </w:numPr>
        <w:spacing w:after="120"/>
        <w:ind w:left="714" w:hanging="357"/>
        <w:contextualSpacing w:val="0"/>
        <w:rPr>
          <w:sz w:val="20"/>
        </w:rPr>
      </w:pPr>
      <w:r w:rsidRPr="008E13E6">
        <w:rPr>
          <w:sz w:val="20"/>
        </w:rPr>
        <w:t xml:space="preserve">når foreningen ikke kan fastsætte den indre værdi på grund af forholdene på markedet, </w:t>
      </w:r>
      <w:r w:rsidRPr="008E13E6">
        <w:rPr>
          <w:sz w:val="20"/>
        </w:rPr>
        <w:br/>
        <w:t>eller</w:t>
      </w:r>
    </w:p>
    <w:p w14:paraId="0DA77F78" w14:textId="77777777" w:rsidR="000E07F6" w:rsidRPr="008E13E6" w:rsidRDefault="000E07F6" w:rsidP="00D352F0">
      <w:pPr>
        <w:pStyle w:val="Listeafsnit"/>
        <w:numPr>
          <w:ilvl w:val="0"/>
          <w:numId w:val="5"/>
        </w:numPr>
        <w:spacing w:after="120"/>
        <w:ind w:left="714" w:hanging="357"/>
        <w:contextualSpacing w:val="0"/>
        <w:rPr>
          <w:sz w:val="20"/>
        </w:rPr>
      </w:pPr>
      <w:r w:rsidRPr="008E13E6">
        <w:rPr>
          <w:sz w:val="20"/>
        </w:rPr>
        <w:t>når foreningen af hensyn til en lige behandling af investorerne først kan fastsætte indløsningsprisen, når foreningen har realiseret de til indløsningen af andelene nødvendige aktiver.</w:t>
      </w:r>
    </w:p>
    <w:p w14:paraId="6DD1E8B2" w14:textId="77777777" w:rsidR="000E07F6" w:rsidRPr="008E13E6" w:rsidRDefault="000E07F6" w:rsidP="000E07F6">
      <w:pPr>
        <w:rPr>
          <w:sz w:val="20"/>
        </w:rPr>
      </w:pPr>
      <w:proofErr w:type="spellStart"/>
      <w:r w:rsidRPr="008E13E6">
        <w:rPr>
          <w:sz w:val="20"/>
        </w:rPr>
        <w:t>Tilbagesalg</w:t>
      </w:r>
      <w:proofErr w:type="spellEnd"/>
      <w:r w:rsidRPr="008E13E6">
        <w:rPr>
          <w:sz w:val="20"/>
        </w:rPr>
        <w:t xml:space="preserve"> eller indløsning af andele kan ske gennem depotselskabet mod betaling af sædvanlige handelsomkostninger.</w:t>
      </w:r>
    </w:p>
    <w:p w14:paraId="28D8E728" w14:textId="77777777" w:rsidR="000E07F6" w:rsidRPr="008E13E6" w:rsidRDefault="000E07F6" w:rsidP="000E07F6">
      <w:pPr>
        <w:spacing w:before="120"/>
        <w:rPr>
          <w:sz w:val="20"/>
        </w:rPr>
      </w:pPr>
      <w:r w:rsidRPr="008E13E6">
        <w:rPr>
          <w:sz w:val="20"/>
        </w:rPr>
        <w:t xml:space="preserve">Indløsningsprisen fastsættes efter dobbeltprismetoden </w:t>
      </w:r>
      <w:r w:rsidRPr="008E13E6">
        <w:rPr>
          <w:sz w:val="20"/>
          <w:szCs w:val="22"/>
        </w:rPr>
        <w:t>(jf. § 4</w:t>
      </w:r>
      <w:r w:rsidRPr="008E13E6">
        <w:rPr>
          <w:spacing w:val="-3"/>
          <w:sz w:val="20"/>
          <w:szCs w:val="22"/>
        </w:rPr>
        <w:t xml:space="preserve"> i Finanstilsynets bekendtgørelse 757 af 17/06/2014</w:t>
      </w:r>
      <w:r w:rsidR="00B922D2" w:rsidRPr="008E13E6">
        <w:rPr>
          <w:spacing w:val="-3"/>
          <w:sz w:val="20"/>
          <w:szCs w:val="22"/>
        </w:rPr>
        <w:t xml:space="preserve"> </w:t>
      </w:r>
      <w:r w:rsidRPr="008E13E6">
        <w:rPr>
          <w:bCs/>
          <w:spacing w:val="-3"/>
          <w:sz w:val="20"/>
          <w:szCs w:val="22"/>
        </w:rPr>
        <w:t>om beregning af emissions- og indløsningspriser ved tegning og indløsning af andele i danske UCITS</w:t>
      </w:r>
      <w:r w:rsidRPr="008E13E6">
        <w:rPr>
          <w:bCs/>
          <w:sz w:val="20"/>
          <w:szCs w:val="22"/>
        </w:rPr>
        <w:t>)</w:t>
      </w:r>
      <w:r w:rsidR="00B922D2" w:rsidRPr="008E13E6">
        <w:rPr>
          <w:sz w:val="20"/>
          <w:szCs w:val="22"/>
        </w:rPr>
        <w:t xml:space="preserve"> </w:t>
      </w:r>
      <w:r w:rsidRPr="008E13E6">
        <w:rPr>
          <w:sz w:val="20"/>
        </w:rPr>
        <w:t>som afdelingens indre værdi med fradrag af et beløb (indløsningsfradrag) til dækning af udgifter ved salg af finansielle instrumenter (værdipapirer) og til nødvendige omkostninger ved indløsningen.</w:t>
      </w:r>
    </w:p>
    <w:p w14:paraId="2428B1FD" w14:textId="77777777" w:rsidR="000E07F6" w:rsidRPr="008E13E6" w:rsidRDefault="000E07F6" w:rsidP="000E07F6">
      <w:pPr>
        <w:spacing w:before="120"/>
        <w:rPr>
          <w:sz w:val="20"/>
        </w:rPr>
      </w:pPr>
      <w:r w:rsidRPr="008E13E6">
        <w:rPr>
          <w:sz w:val="20"/>
        </w:rPr>
        <w:t>Den indre værdi beregnes ved at dividere investorernes formues værdi på indløsningstidspunktet med den nominelle værdi af de i afdelingen tegnede andele.</w:t>
      </w:r>
    </w:p>
    <w:p w14:paraId="48410330" w14:textId="421CB901" w:rsidR="000E07F6" w:rsidRPr="008E13E6" w:rsidRDefault="000E07F6" w:rsidP="000E07F6">
      <w:pPr>
        <w:spacing w:before="120"/>
        <w:rPr>
          <w:i/>
          <w:sz w:val="20"/>
          <w:szCs w:val="22"/>
        </w:rPr>
      </w:pPr>
      <w:r w:rsidRPr="008E13E6">
        <w:rPr>
          <w:spacing w:val="-3"/>
          <w:sz w:val="20"/>
          <w:szCs w:val="22"/>
        </w:rPr>
        <w:t xml:space="preserve">Indløsningsfradragets sammensætning og maksimale størrelse fremgår af </w:t>
      </w:r>
      <w:r w:rsidRPr="008E13E6">
        <w:rPr>
          <w:i/>
          <w:spacing w:val="-3"/>
          <w:sz w:val="20"/>
          <w:szCs w:val="22"/>
        </w:rPr>
        <w:t>Bilag 2</w:t>
      </w:r>
      <w:r w:rsidRPr="008E13E6">
        <w:rPr>
          <w:spacing w:val="-3"/>
          <w:sz w:val="20"/>
          <w:szCs w:val="22"/>
        </w:rPr>
        <w:t xml:space="preserve">. </w:t>
      </w:r>
      <w:r w:rsidRPr="008E13E6">
        <w:rPr>
          <w:sz w:val="20"/>
          <w:szCs w:val="22"/>
        </w:rPr>
        <w:t>Den således beregnede indløsningspris afrundes, jf.</w:t>
      </w:r>
      <w:r w:rsidR="009F5119" w:rsidRPr="008E13E6">
        <w:rPr>
          <w:sz w:val="20"/>
          <w:szCs w:val="22"/>
        </w:rPr>
        <w:t xml:space="preserve"> </w:t>
      </w:r>
      <w:r w:rsidR="00757287" w:rsidRPr="008E13E6">
        <w:rPr>
          <w:sz w:val="20"/>
        </w:rPr>
        <w:fldChar w:fldCharType="begin"/>
      </w:r>
      <w:r w:rsidR="00757287" w:rsidRPr="008E13E6">
        <w:rPr>
          <w:sz w:val="20"/>
        </w:rPr>
        <w:instrText xml:space="preserve"> REF _Ref414450813 \r \h  \* MERGEFORMAT </w:instrText>
      </w:r>
      <w:r w:rsidR="00757287" w:rsidRPr="008E13E6">
        <w:rPr>
          <w:sz w:val="20"/>
        </w:rPr>
      </w:r>
      <w:r w:rsidR="00757287" w:rsidRPr="008E13E6">
        <w:rPr>
          <w:sz w:val="20"/>
        </w:rPr>
        <w:fldChar w:fldCharType="separate"/>
      </w:r>
      <w:r w:rsidR="00195831" w:rsidRPr="00195831">
        <w:rPr>
          <w:i/>
          <w:sz w:val="20"/>
          <w:szCs w:val="22"/>
        </w:rPr>
        <w:t>22</w:t>
      </w:r>
      <w:r w:rsidR="00757287" w:rsidRPr="008E13E6">
        <w:rPr>
          <w:sz w:val="20"/>
        </w:rPr>
        <w:fldChar w:fldCharType="end"/>
      </w:r>
      <w:r w:rsidRPr="008E13E6">
        <w:rPr>
          <w:i/>
          <w:sz w:val="20"/>
          <w:szCs w:val="22"/>
        </w:rPr>
        <w:t xml:space="preserve">. </w:t>
      </w:r>
      <w:r w:rsidR="00757287" w:rsidRPr="008E13E6">
        <w:rPr>
          <w:sz w:val="20"/>
        </w:rPr>
        <w:fldChar w:fldCharType="begin"/>
      </w:r>
      <w:r w:rsidR="00757287" w:rsidRPr="008E13E6">
        <w:rPr>
          <w:sz w:val="20"/>
        </w:rPr>
        <w:instrText xml:space="preserve"> REF _Ref414450813 \h  \* MERGEFORMAT </w:instrText>
      </w:r>
      <w:r w:rsidR="00757287" w:rsidRPr="008E13E6">
        <w:rPr>
          <w:sz w:val="20"/>
        </w:rPr>
      </w:r>
      <w:r w:rsidR="00757287" w:rsidRPr="008E13E6">
        <w:rPr>
          <w:sz w:val="20"/>
        </w:rPr>
        <w:fldChar w:fldCharType="separate"/>
      </w:r>
      <w:r w:rsidR="00195831" w:rsidRPr="008E13E6">
        <w:rPr>
          <w:i/>
          <w:sz w:val="20"/>
          <w:szCs w:val="22"/>
        </w:rPr>
        <w:t>Andelenes registrering, størrelse og kursangivelse</w:t>
      </w:r>
      <w:r w:rsidR="00757287" w:rsidRPr="008E13E6">
        <w:rPr>
          <w:sz w:val="20"/>
        </w:rPr>
        <w:fldChar w:fldCharType="end"/>
      </w:r>
      <w:r w:rsidRPr="008E13E6">
        <w:rPr>
          <w:i/>
          <w:sz w:val="20"/>
          <w:szCs w:val="22"/>
        </w:rPr>
        <w:t>.</w:t>
      </w:r>
    </w:p>
    <w:p w14:paraId="01241ED5" w14:textId="386CDBD7" w:rsidR="000E07F6" w:rsidRPr="00FE7E6F" w:rsidRDefault="000E07F6" w:rsidP="000E07F6">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before="120" w:after="120"/>
        <w:rPr>
          <w:sz w:val="20"/>
        </w:rPr>
      </w:pPr>
      <w:r w:rsidRPr="008E13E6">
        <w:rPr>
          <w:sz w:val="20"/>
          <w:szCs w:val="22"/>
        </w:rPr>
        <w:t xml:space="preserve">De angivne maksimale indløsningsfradrag kan overskrides i perioder med usædvanlige markedsforhold, som medfører en stigning i ”øvrige markedsafledte udgifter ved salg af instrumenter”. Såfremt en sådan situation opstår, vil foreningen i </w:t>
      </w:r>
      <w:r w:rsidRPr="00FE7E6F">
        <w:rPr>
          <w:sz w:val="20"/>
        </w:rPr>
        <w:t>den pågældende periode oplyse om de konkrete indløsningsfradrag på www.</w:t>
      </w:r>
      <w:r w:rsidR="00DA16A8" w:rsidRPr="00FE7E6F">
        <w:rPr>
          <w:sz w:val="20"/>
        </w:rPr>
        <w:t>portfoliomanager</w:t>
      </w:r>
      <w:r w:rsidRPr="00FE7E6F">
        <w:rPr>
          <w:sz w:val="20"/>
        </w:rPr>
        <w:t>.dk.</w:t>
      </w:r>
    </w:p>
    <w:p w14:paraId="433A896B" w14:textId="784E0513" w:rsidR="00C00A11" w:rsidRPr="00FE7E6F" w:rsidRDefault="00590524" w:rsidP="000E07F6">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before="120" w:after="120"/>
        <w:rPr>
          <w:sz w:val="20"/>
        </w:rPr>
      </w:pPr>
      <w:r w:rsidRPr="00FE7E6F">
        <w:rPr>
          <w:sz w:val="20"/>
        </w:rPr>
        <w:t>Ændringer offentliggøres endvidere i en selskabsmeddelelse via Nasdaq Copenhagen A/S. Dette gælder også når forholdene normaliseres igen.</w:t>
      </w:r>
    </w:p>
    <w:p w14:paraId="61BF9569"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214" w:name="_Ref443055910"/>
      <w:bookmarkStart w:id="215" w:name="_Ref443055913"/>
      <w:bookmarkStart w:id="216" w:name="_Toc9239920"/>
      <w:r w:rsidRPr="008E13E6">
        <w:rPr>
          <w:i/>
          <w:sz w:val="20"/>
          <w:szCs w:val="22"/>
        </w:rPr>
        <w:t>Optagelse til handel</w:t>
      </w:r>
      <w:bookmarkEnd w:id="198"/>
      <w:bookmarkEnd w:id="199"/>
      <w:bookmarkEnd w:id="200"/>
      <w:bookmarkEnd w:id="201"/>
      <w:bookmarkEnd w:id="202"/>
      <w:bookmarkEnd w:id="203"/>
      <w:bookmarkEnd w:id="204"/>
      <w:bookmarkEnd w:id="205"/>
      <w:bookmarkEnd w:id="214"/>
      <w:bookmarkEnd w:id="215"/>
      <w:bookmarkEnd w:id="216"/>
      <w:r w:rsidRPr="008E13E6">
        <w:rPr>
          <w:i/>
          <w:sz w:val="20"/>
          <w:szCs w:val="22"/>
        </w:rPr>
        <w:t xml:space="preserve"> </w:t>
      </w:r>
    </w:p>
    <w:p w14:paraId="0DD3DAA7" w14:textId="41262B06" w:rsidR="005E1B8C" w:rsidRPr="008E13E6" w:rsidRDefault="005E1B8C" w:rsidP="000E07F6">
      <w:pPr>
        <w:widowControl w:val="0"/>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bookmarkStart w:id="217" w:name="_Ref300741312"/>
      <w:bookmarkStart w:id="218" w:name="_Ref300741314"/>
      <w:bookmarkStart w:id="219" w:name="_Ref300741368"/>
      <w:bookmarkStart w:id="220" w:name="_Ref300755540"/>
      <w:bookmarkStart w:id="221" w:name="_Toc395703423"/>
      <w:bookmarkStart w:id="222" w:name="_Toc414000047"/>
      <w:bookmarkStart w:id="223" w:name="_Toc36540919"/>
      <w:bookmarkStart w:id="224" w:name="_Toc52782763"/>
      <w:bookmarkStart w:id="225" w:name="_Toc153769238"/>
      <w:bookmarkStart w:id="226" w:name="_Toc171834406"/>
      <w:bookmarkStart w:id="227" w:name="_Toc171838096"/>
      <w:bookmarkStart w:id="228" w:name="_Toc306366593"/>
      <w:bookmarkStart w:id="229" w:name="_Toc357087618"/>
      <w:bookmarkEnd w:id="206"/>
      <w:bookmarkEnd w:id="207"/>
      <w:bookmarkEnd w:id="208"/>
      <w:bookmarkEnd w:id="209"/>
      <w:bookmarkEnd w:id="210"/>
      <w:bookmarkEnd w:id="211"/>
      <w:bookmarkEnd w:id="212"/>
      <w:bookmarkEnd w:id="213"/>
      <w:r w:rsidRPr="008E13E6">
        <w:rPr>
          <w:spacing w:val="-3"/>
          <w:sz w:val="20"/>
          <w:szCs w:val="22"/>
        </w:rPr>
        <w:t xml:space="preserve">Andele i andelsklasse PP Capital - </w:t>
      </w:r>
      <w:r w:rsidR="009C3621" w:rsidRPr="008E13E6">
        <w:rPr>
          <w:spacing w:val="-3"/>
          <w:sz w:val="20"/>
          <w:szCs w:val="22"/>
        </w:rPr>
        <w:t xml:space="preserve">BASIS, </w:t>
      </w:r>
      <w:r w:rsidR="003D49F1" w:rsidRPr="008E13E6">
        <w:rPr>
          <w:spacing w:val="-3"/>
          <w:sz w:val="20"/>
          <w:szCs w:val="22"/>
        </w:rPr>
        <w:t>kl n EUR</w:t>
      </w:r>
      <w:r w:rsidR="00B95273" w:rsidRPr="008E13E6">
        <w:rPr>
          <w:spacing w:val="-3"/>
          <w:sz w:val="20"/>
          <w:szCs w:val="22"/>
        </w:rPr>
        <w:t xml:space="preserve"> </w:t>
      </w:r>
      <w:r w:rsidR="00897940" w:rsidRPr="008E13E6">
        <w:rPr>
          <w:spacing w:val="-3"/>
          <w:sz w:val="20"/>
          <w:szCs w:val="22"/>
        </w:rPr>
        <w:t xml:space="preserve">er </w:t>
      </w:r>
      <w:r w:rsidR="000172AC">
        <w:rPr>
          <w:spacing w:val="-3"/>
          <w:sz w:val="20"/>
          <w:szCs w:val="22"/>
        </w:rPr>
        <w:t>godkendt</w:t>
      </w:r>
      <w:r w:rsidR="00897940" w:rsidRPr="008E13E6">
        <w:rPr>
          <w:spacing w:val="-3"/>
          <w:sz w:val="20"/>
          <w:szCs w:val="22"/>
        </w:rPr>
        <w:t xml:space="preserve"> </w:t>
      </w:r>
      <w:r w:rsidRPr="008E13E6">
        <w:rPr>
          <w:spacing w:val="-3"/>
          <w:sz w:val="20"/>
          <w:szCs w:val="22"/>
        </w:rPr>
        <w:t xml:space="preserve">optaget til handel </w:t>
      </w:r>
      <w:r w:rsidR="00910AF8">
        <w:rPr>
          <w:spacing w:val="-3"/>
          <w:sz w:val="20"/>
          <w:szCs w:val="22"/>
        </w:rPr>
        <w:t xml:space="preserve">den </w:t>
      </w:r>
      <w:r w:rsidR="000172AC">
        <w:rPr>
          <w:spacing w:val="-3"/>
          <w:sz w:val="20"/>
          <w:szCs w:val="22"/>
        </w:rPr>
        <w:t>23</w:t>
      </w:r>
      <w:r w:rsidR="00910AF8">
        <w:rPr>
          <w:spacing w:val="-3"/>
          <w:sz w:val="20"/>
          <w:szCs w:val="22"/>
        </w:rPr>
        <w:t xml:space="preserve">. maj 2019 </w:t>
      </w:r>
      <w:r w:rsidRPr="008E13E6">
        <w:rPr>
          <w:spacing w:val="-3"/>
          <w:sz w:val="20"/>
          <w:szCs w:val="22"/>
        </w:rPr>
        <w:t>på Nasdaq Copenhagens A/S´ markedsplads for investeringsforeningsandele.</w:t>
      </w:r>
      <w:bookmarkStart w:id="230" w:name="_Ref532095037"/>
      <w:bookmarkStart w:id="231" w:name="_Toc45600513"/>
      <w:bookmarkStart w:id="232" w:name="_Toc122500116"/>
      <w:bookmarkStart w:id="233" w:name="_Ref152135965"/>
      <w:bookmarkStart w:id="234" w:name="_Toc271538956"/>
      <w:bookmarkStart w:id="235" w:name="_Toc342645903"/>
      <w:bookmarkStart w:id="236" w:name="_Toc423425406"/>
    </w:p>
    <w:p w14:paraId="13780120" w14:textId="77777777" w:rsidR="00C67DD8" w:rsidRPr="008E13E6" w:rsidRDefault="000D5386" w:rsidP="00C33F3E">
      <w:pPr>
        <w:pStyle w:val="Bo"/>
        <w:numPr>
          <w:ilvl w:val="0"/>
          <w:numId w:val="2"/>
        </w:numPr>
        <w:tabs>
          <w:tab w:val="clear" w:pos="502"/>
          <w:tab w:val="num" w:pos="284"/>
        </w:tabs>
        <w:spacing w:after="120"/>
        <w:ind w:left="142" w:hanging="142"/>
        <w:rPr>
          <w:i/>
          <w:sz w:val="20"/>
          <w:szCs w:val="22"/>
        </w:rPr>
      </w:pPr>
      <w:bookmarkStart w:id="237" w:name="_Ref414450813"/>
      <w:bookmarkStart w:id="238" w:name="_Ref414450816"/>
      <w:bookmarkStart w:id="239" w:name="_Ref414451807"/>
      <w:bookmarkStart w:id="240" w:name="_Ref414451810"/>
      <w:bookmarkStart w:id="241" w:name="_Ref414452800"/>
      <w:bookmarkStart w:id="242" w:name="_Ref414452805"/>
      <w:bookmarkStart w:id="243" w:name="_Toc9239921"/>
      <w:bookmarkEnd w:id="230"/>
      <w:bookmarkEnd w:id="231"/>
      <w:bookmarkEnd w:id="232"/>
      <w:bookmarkEnd w:id="233"/>
      <w:bookmarkEnd w:id="234"/>
      <w:bookmarkEnd w:id="235"/>
      <w:bookmarkEnd w:id="236"/>
      <w:r w:rsidRPr="008E13E6">
        <w:rPr>
          <w:i/>
          <w:sz w:val="20"/>
          <w:szCs w:val="22"/>
        </w:rPr>
        <w:t>A</w:t>
      </w:r>
      <w:r w:rsidR="00C67DD8" w:rsidRPr="008E13E6">
        <w:rPr>
          <w:i/>
          <w:sz w:val="20"/>
          <w:szCs w:val="22"/>
        </w:rPr>
        <w:t>ndelenes registrering, størrelse og kursangivelse</w:t>
      </w:r>
      <w:bookmarkEnd w:id="217"/>
      <w:bookmarkEnd w:id="218"/>
      <w:bookmarkEnd w:id="219"/>
      <w:bookmarkEnd w:id="220"/>
      <w:bookmarkEnd w:id="221"/>
      <w:bookmarkEnd w:id="222"/>
      <w:bookmarkEnd w:id="237"/>
      <w:bookmarkEnd w:id="238"/>
      <w:bookmarkEnd w:id="239"/>
      <w:bookmarkEnd w:id="240"/>
      <w:bookmarkEnd w:id="241"/>
      <w:bookmarkEnd w:id="242"/>
      <w:bookmarkEnd w:id="243"/>
    </w:p>
    <w:p w14:paraId="7DCFF4E6" w14:textId="77777777" w:rsidR="001F4B2F" w:rsidRPr="008E13E6" w:rsidRDefault="005E1B8C" w:rsidP="001F4B2F">
      <w:pPr>
        <w:tabs>
          <w:tab w:val="left" w:pos="1985"/>
        </w:tabs>
        <w:spacing w:after="120"/>
        <w:rPr>
          <w:sz w:val="20"/>
          <w:szCs w:val="22"/>
        </w:rPr>
      </w:pPr>
      <w:r w:rsidRPr="008E13E6">
        <w:rPr>
          <w:sz w:val="20"/>
          <w:szCs w:val="22"/>
        </w:rPr>
        <w:t>A</w:t>
      </w:r>
      <w:r w:rsidR="001F4B2F" w:rsidRPr="008E13E6">
        <w:rPr>
          <w:sz w:val="20"/>
          <w:szCs w:val="22"/>
        </w:rPr>
        <w:t>ndelene</w:t>
      </w:r>
      <w:r w:rsidR="00DA16A8" w:rsidRPr="008E13E6">
        <w:rPr>
          <w:sz w:val="20"/>
          <w:szCs w:val="22"/>
        </w:rPr>
        <w:t xml:space="preserve"> </w:t>
      </w:r>
      <w:r w:rsidR="001F4B2F" w:rsidRPr="008E13E6">
        <w:rPr>
          <w:sz w:val="20"/>
          <w:szCs w:val="22"/>
        </w:rPr>
        <w:t xml:space="preserve">udstedes gennem VP </w:t>
      </w:r>
      <w:proofErr w:type="spellStart"/>
      <w:r w:rsidR="001F4B2F" w:rsidRPr="008E13E6">
        <w:rPr>
          <w:sz w:val="20"/>
          <w:szCs w:val="22"/>
        </w:rPr>
        <w:t>Securities</w:t>
      </w:r>
      <w:proofErr w:type="spellEnd"/>
      <w:r w:rsidR="001F4B2F" w:rsidRPr="008E13E6">
        <w:rPr>
          <w:sz w:val="20"/>
          <w:szCs w:val="22"/>
        </w:rPr>
        <w:t xml:space="preserve"> A/S i stykker på 1</w:t>
      </w:r>
      <w:r w:rsidR="00FA3337">
        <w:rPr>
          <w:sz w:val="20"/>
          <w:szCs w:val="22"/>
        </w:rPr>
        <w:t>0</w:t>
      </w:r>
      <w:r w:rsidR="001F4B2F" w:rsidRPr="008E13E6">
        <w:rPr>
          <w:sz w:val="20"/>
          <w:szCs w:val="22"/>
        </w:rPr>
        <w:t>0</w:t>
      </w:r>
      <w:r w:rsidR="00B95273" w:rsidRPr="008E13E6">
        <w:rPr>
          <w:sz w:val="20"/>
          <w:szCs w:val="22"/>
        </w:rPr>
        <w:t xml:space="preserve"> EUR</w:t>
      </w:r>
      <w:r w:rsidR="001F4B2F" w:rsidRPr="008E13E6">
        <w:rPr>
          <w:sz w:val="20"/>
          <w:szCs w:val="22"/>
        </w:rPr>
        <w:t>.</w:t>
      </w:r>
    </w:p>
    <w:p w14:paraId="2DF31850" w14:textId="6466243D" w:rsidR="001F4B2F" w:rsidRPr="008E13E6" w:rsidRDefault="001F4B2F" w:rsidP="001F4B2F">
      <w:pPr>
        <w:spacing w:after="120"/>
        <w:rPr>
          <w:sz w:val="20"/>
          <w:szCs w:val="22"/>
        </w:rPr>
      </w:pPr>
      <w:r w:rsidRPr="008E13E6">
        <w:rPr>
          <w:sz w:val="20"/>
          <w:szCs w:val="22"/>
        </w:rPr>
        <w:t xml:space="preserve">Tegningskursen og indløsningskursen afrundes i overensstemmelse med de </w:t>
      </w:r>
      <w:r w:rsidR="000A64EC" w:rsidRPr="000A64EC">
        <w:rPr>
          <w:sz w:val="20"/>
          <w:szCs w:val="22"/>
        </w:rPr>
        <w:t>ticksizes, som fremgår af Nasdaq Nordic Marker Model for investeringsforeninger</w:t>
      </w:r>
      <w:r w:rsidR="00FA1361" w:rsidRPr="008E13E6">
        <w:rPr>
          <w:sz w:val="20"/>
          <w:szCs w:val="22"/>
        </w:rPr>
        <w:t>.</w:t>
      </w:r>
    </w:p>
    <w:p w14:paraId="61F8792C" w14:textId="77777777" w:rsidR="003224DE" w:rsidRPr="008E13E6" w:rsidRDefault="00AA5A3D" w:rsidP="002F1DF8">
      <w:pPr>
        <w:tabs>
          <w:tab w:val="left" w:pos="1985"/>
        </w:tabs>
        <w:spacing w:after="120"/>
        <w:rPr>
          <w:sz w:val="20"/>
          <w:szCs w:val="22"/>
        </w:rPr>
      </w:pPr>
      <w:r w:rsidRPr="008E13E6">
        <w:rPr>
          <w:sz w:val="20"/>
          <w:szCs w:val="22"/>
        </w:rPr>
        <w:t>Størrelsen af foreningsandele</w:t>
      </w:r>
      <w:r w:rsidR="003224DE" w:rsidRPr="008E13E6">
        <w:rPr>
          <w:sz w:val="20"/>
          <w:szCs w:val="22"/>
        </w:rPr>
        <w:t>ne fremgår af skemaet nedenfor.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2126"/>
        <w:gridCol w:w="2768"/>
      </w:tblGrid>
      <w:tr w:rsidR="003224DE" w:rsidRPr="008E13E6" w14:paraId="13EBF16F" w14:textId="77777777" w:rsidTr="009F5119">
        <w:trPr>
          <w:cantSplit/>
          <w:trHeight w:val="454"/>
          <w:tblHeader/>
        </w:trPr>
        <w:tc>
          <w:tcPr>
            <w:tcW w:w="3823" w:type="dxa"/>
            <w:vAlign w:val="center"/>
          </w:tcPr>
          <w:p w14:paraId="144D6B19" w14:textId="77777777" w:rsidR="003224DE" w:rsidRPr="008E13E6" w:rsidRDefault="00F53F3C" w:rsidP="003224DE">
            <w:pPr>
              <w:pStyle w:val="Sidehoved"/>
              <w:keepNext/>
              <w:keepLines/>
              <w:tabs>
                <w:tab w:val="clear" w:pos="4819"/>
                <w:tab w:val="clear" w:pos="9638"/>
              </w:tabs>
              <w:jc w:val="center"/>
              <w:rPr>
                <w:b/>
                <w:bCs/>
                <w:sz w:val="20"/>
                <w:szCs w:val="22"/>
              </w:rPr>
            </w:pPr>
            <w:r w:rsidRPr="008E13E6">
              <w:rPr>
                <w:b/>
                <w:bCs/>
                <w:sz w:val="20"/>
                <w:szCs w:val="22"/>
              </w:rPr>
              <w:t>Andelsklasse</w:t>
            </w:r>
          </w:p>
        </w:tc>
        <w:tc>
          <w:tcPr>
            <w:tcW w:w="2126" w:type="dxa"/>
            <w:vAlign w:val="center"/>
          </w:tcPr>
          <w:p w14:paraId="791256F3" w14:textId="77777777" w:rsidR="003224DE" w:rsidRPr="008E13E6" w:rsidRDefault="003224DE" w:rsidP="002F1DF8">
            <w:pPr>
              <w:keepNext/>
              <w:keepLines/>
              <w:jc w:val="center"/>
              <w:rPr>
                <w:b/>
                <w:bCs/>
                <w:sz w:val="20"/>
                <w:szCs w:val="22"/>
              </w:rPr>
            </w:pPr>
            <w:r w:rsidRPr="008E13E6">
              <w:rPr>
                <w:b/>
                <w:bCs/>
                <w:sz w:val="20"/>
                <w:szCs w:val="22"/>
              </w:rPr>
              <w:t>Mindste størrelse</w:t>
            </w:r>
          </w:p>
        </w:tc>
        <w:tc>
          <w:tcPr>
            <w:tcW w:w="2768" w:type="dxa"/>
            <w:vAlign w:val="center"/>
          </w:tcPr>
          <w:p w14:paraId="4F9EA34F" w14:textId="77777777" w:rsidR="003224DE" w:rsidRPr="008E13E6" w:rsidRDefault="003224DE" w:rsidP="002F1DF8">
            <w:pPr>
              <w:keepNext/>
              <w:keepLines/>
              <w:jc w:val="center"/>
              <w:rPr>
                <w:b/>
                <w:bCs/>
                <w:sz w:val="20"/>
                <w:szCs w:val="22"/>
              </w:rPr>
            </w:pPr>
            <w:r w:rsidRPr="008E13E6">
              <w:rPr>
                <w:b/>
                <w:bCs/>
                <w:sz w:val="20"/>
                <w:szCs w:val="22"/>
              </w:rPr>
              <w:t>Kursangivelse pr. nominelt</w:t>
            </w:r>
          </w:p>
        </w:tc>
      </w:tr>
      <w:tr w:rsidR="000D5386" w:rsidRPr="008E13E6" w14:paraId="5F43E911" w14:textId="77777777" w:rsidTr="009F5119">
        <w:trPr>
          <w:trHeight w:val="454"/>
        </w:trPr>
        <w:tc>
          <w:tcPr>
            <w:tcW w:w="3823" w:type="dxa"/>
          </w:tcPr>
          <w:p w14:paraId="5D99D9BB" w14:textId="77777777" w:rsidR="000D5386" w:rsidRPr="008E13E6" w:rsidRDefault="000D5386" w:rsidP="00897940">
            <w:pPr>
              <w:spacing w:before="120"/>
              <w:jc w:val="center"/>
              <w:rPr>
                <w:sz w:val="20"/>
                <w:szCs w:val="22"/>
              </w:rPr>
            </w:pPr>
            <w:r w:rsidRPr="008E13E6">
              <w:rPr>
                <w:bCs/>
                <w:sz w:val="20"/>
                <w:szCs w:val="22"/>
              </w:rPr>
              <w:t xml:space="preserve">PP Capital – </w:t>
            </w:r>
            <w:r w:rsidR="009C3621" w:rsidRPr="008E13E6">
              <w:rPr>
                <w:bCs/>
                <w:sz w:val="20"/>
                <w:szCs w:val="22"/>
              </w:rPr>
              <w:t>BASIS, kl n</w:t>
            </w:r>
            <w:r w:rsidR="00B95273" w:rsidRPr="008E13E6">
              <w:rPr>
                <w:bCs/>
                <w:sz w:val="20"/>
                <w:szCs w:val="22"/>
              </w:rPr>
              <w:t xml:space="preserve"> EUR</w:t>
            </w:r>
          </w:p>
        </w:tc>
        <w:tc>
          <w:tcPr>
            <w:tcW w:w="2126" w:type="dxa"/>
            <w:vAlign w:val="center"/>
          </w:tcPr>
          <w:p w14:paraId="7242D3CA" w14:textId="77777777" w:rsidR="000D5386" w:rsidRPr="008E13E6" w:rsidRDefault="000D5386" w:rsidP="00897940">
            <w:pPr>
              <w:jc w:val="center"/>
              <w:rPr>
                <w:bCs/>
                <w:sz w:val="20"/>
                <w:szCs w:val="22"/>
                <w:lang w:val="en-US"/>
              </w:rPr>
            </w:pPr>
            <w:r w:rsidRPr="00FA3337">
              <w:rPr>
                <w:bCs/>
                <w:sz w:val="20"/>
                <w:szCs w:val="22"/>
              </w:rPr>
              <w:t>10</w:t>
            </w:r>
            <w:r w:rsidR="00FA3337" w:rsidRPr="00FA3337">
              <w:rPr>
                <w:bCs/>
                <w:sz w:val="20"/>
                <w:szCs w:val="22"/>
              </w:rPr>
              <w:t>0</w:t>
            </w:r>
            <w:r w:rsidRPr="00FA3337">
              <w:rPr>
                <w:bCs/>
                <w:sz w:val="20"/>
                <w:szCs w:val="22"/>
              </w:rPr>
              <w:t xml:space="preserve"> </w:t>
            </w:r>
            <w:r w:rsidR="00B95273" w:rsidRPr="00FA3337">
              <w:rPr>
                <w:bCs/>
                <w:sz w:val="20"/>
                <w:szCs w:val="22"/>
              </w:rPr>
              <w:t>EUR</w:t>
            </w:r>
          </w:p>
        </w:tc>
        <w:tc>
          <w:tcPr>
            <w:tcW w:w="2768" w:type="dxa"/>
            <w:vAlign w:val="center"/>
          </w:tcPr>
          <w:p w14:paraId="08C3EC10" w14:textId="77777777" w:rsidR="000D5386" w:rsidRPr="008E13E6" w:rsidRDefault="000D5386" w:rsidP="000D5386">
            <w:pPr>
              <w:keepNext/>
              <w:keepLines/>
              <w:jc w:val="center"/>
              <w:rPr>
                <w:bCs/>
                <w:sz w:val="20"/>
                <w:szCs w:val="22"/>
                <w:lang w:val="en-US"/>
              </w:rPr>
            </w:pPr>
            <w:r w:rsidRPr="008E13E6">
              <w:rPr>
                <w:bCs/>
                <w:sz w:val="20"/>
                <w:szCs w:val="22"/>
              </w:rPr>
              <w:t>10</w:t>
            </w:r>
            <w:r w:rsidR="00FA3337">
              <w:rPr>
                <w:bCs/>
                <w:sz w:val="20"/>
                <w:szCs w:val="22"/>
              </w:rPr>
              <w:t>0</w:t>
            </w:r>
            <w:r w:rsidRPr="008E13E6">
              <w:rPr>
                <w:bCs/>
                <w:sz w:val="20"/>
                <w:szCs w:val="22"/>
              </w:rPr>
              <w:t xml:space="preserve"> </w:t>
            </w:r>
            <w:r w:rsidR="00B95273" w:rsidRPr="008E13E6">
              <w:rPr>
                <w:bCs/>
                <w:sz w:val="20"/>
                <w:szCs w:val="22"/>
              </w:rPr>
              <w:t>EUR</w:t>
            </w:r>
          </w:p>
        </w:tc>
      </w:tr>
    </w:tbl>
    <w:p w14:paraId="4B51276A"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244" w:name="_Toc208144105"/>
      <w:bookmarkStart w:id="245" w:name="_Toc395703424"/>
      <w:bookmarkStart w:id="246" w:name="_Toc414000048"/>
      <w:bookmarkStart w:id="247" w:name="_Toc9239922"/>
      <w:bookmarkEnd w:id="223"/>
      <w:bookmarkEnd w:id="224"/>
      <w:bookmarkEnd w:id="225"/>
      <w:bookmarkEnd w:id="226"/>
      <w:bookmarkEnd w:id="227"/>
      <w:bookmarkEnd w:id="228"/>
      <w:bookmarkEnd w:id="229"/>
      <w:r w:rsidRPr="008E13E6">
        <w:rPr>
          <w:i/>
          <w:sz w:val="20"/>
          <w:szCs w:val="22"/>
        </w:rPr>
        <w:t>Negotiabilitet</w:t>
      </w:r>
      <w:bookmarkEnd w:id="244"/>
      <w:bookmarkEnd w:id="245"/>
      <w:bookmarkEnd w:id="246"/>
      <w:bookmarkEnd w:id="247"/>
    </w:p>
    <w:p w14:paraId="0361D91D" w14:textId="77777777" w:rsidR="009450C8" w:rsidRPr="008E13E6" w:rsidRDefault="00E4479C" w:rsidP="00561893">
      <w:pPr>
        <w:rPr>
          <w:sz w:val="20"/>
          <w:szCs w:val="22"/>
        </w:rPr>
      </w:pPr>
      <w:r w:rsidRPr="008E13E6">
        <w:rPr>
          <w:sz w:val="20"/>
          <w:szCs w:val="22"/>
        </w:rPr>
        <w:t>Andele</w:t>
      </w:r>
      <w:r w:rsidR="00DA16A8" w:rsidRPr="008E13E6">
        <w:rPr>
          <w:sz w:val="20"/>
          <w:szCs w:val="22"/>
        </w:rPr>
        <w:t>ne</w:t>
      </w:r>
      <w:r w:rsidR="009450C8" w:rsidRPr="008E13E6">
        <w:rPr>
          <w:sz w:val="20"/>
          <w:szCs w:val="22"/>
        </w:rPr>
        <w:t xml:space="preserve"> er omsætningspapirer.</w:t>
      </w:r>
    </w:p>
    <w:p w14:paraId="5BD2EB93" w14:textId="77777777" w:rsidR="009450C8" w:rsidRPr="008E13E6" w:rsidRDefault="009450C8" w:rsidP="00DE7AEF">
      <w:pPr>
        <w:pStyle w:val="Overskrift2"/>
        <w:numPr>
          <w:ilvl w:val="0"/>
          <w:numId w:val="0"/>
        </w:numPr>
        <w:pBdr>
          <w:bottom w:val="single" w:sz="4" w:space="1" w:color="auto"/>
        </w:pBdr>
        <w:spacing w:before="360"/>
        <w:jc w:val="center"/>
        <w:rPr>
          <w:rFonts w:ascii="Times New Roman" w:hAnsi="Times New Roman"/>
          <w:i w:val="0"/>
          <w:iCs/>
          <w:color w:val="002060"/>
          <w:sz w:val="24"/>
          <w:szCs w:val="28"/>
        </w:rPr>
      </w:pPr>
      <w:bookmarkStart w:id="248" w:name="_Toc36540808"/>
      <w:bookmarkStart w:id="249" w:name="_Toc36540920"/>
      <w:bookmarkStart w:id="250" w:name="_Toc52782764"/>
      <w:bookmarkStart w:id="251" w:name="_Toc153769239"/>
      <w:bookmarkStart w:id="252" w:name="_Toc171834407"/>
      <w:bookmarkStart w:id="253" w:name="_Toc171838097"/>
      <w:bookmarkStart w:id="254" w:name="_Toc306366594"/>
      <w:bookmarkStart w:id="255" w:name="_Toc357087619"/>
      <w:bookmarkStart w:id="256" w:name="_Toc413407278"/>
      <w:bookmarkStart w:id="257" w:name="_Toc9239923"/>
      <w:r w:rsidRPr="008E13E6">
        <w:rPr>
          <w:rFonts w:ascii="Times New Roman" w:hAnsi="Times New Roman"/>
          <w:i w:val="0"/>
          <w:iCs/>
          <w:color w:val="002060"/>
          <w:sz w:val="24"/>
          <w:szCs w:val="28"/>
        </w:rPr>
        <w:lastRenderedPageBreak/>
        <w:t xml:space="preserve">Drift, </w:t>
      </w:r>
      <w:proofErr w:type="spellStart"/>
      <w:r w:rsidRPr="008E13E6">
        <w:rPr>
          <w:rFonts w:ascii="Times New Roman" w:hAnsi="Times New Roman"/>
          <w:i w:val="0"/>
          <w:iCs/>
          <w:color w:val="002060"/>
          <w:sz w:val="24"/>
          <w:szCs w:val="28"/>
        </w:rPr>
        <w:t>samarbejdsparter</w:t>
      </w:r>
      <w:proofErr w:type="spellEnd"/>
      <w:r w:rsidRPr="008E13E6">
        <w:rPr>
          <w:rFonts w:ascii="Times New Roman" w:hAnsi="Times New Roman"/>
          <w:i w:val="0"/>
          <w:iCs/>
          <w:color w:val="002060"/>
          <w:sz w:val="24"/>
          <w:szCs w:val="28"/>
        </w:rPr>
        <w:t xml:space="preserve"> og løbende omkostninger</w:t>
      </w:r>
      <w:bookmarkEnd w:id="248"/>
      <w:bookmarkEnd w:id="249"/>
      <w:bookmarkEnd w:id="250"/>
      <w:bookmarkEnd w:id="251"/>
      <w:bookmarkEnd w:id="252"/>
      <w:bookmarkEnd w:id="253"/>
      <w:bookmarkEnd w:id="254"/>
      <w:bookmarkEnd w:id="255"/>
      <w:bookmarkEnd w:id="256"/>
      <w:bookmarkEnd w:id="257"/>
    </w:p>
    <w:p w14:paraId="45A44F87"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258" w:name="_Toc341771419"/>
      <w:bookmarkStart w:id="259" w:name="_Toc395703425"/>
      <w:bookmarkStart w:id="260" w:name="_Toc414000050"/>
      <w:bookmarkStart w:id="261" w:name="_Toc9239924"/>
      <w:r w:rsidRPr="008E13E6">
        <w:rPr>
          <w:i/>
          <w:sz w:val="20"/>
          <w:szCs w:val="22"/>
        </w:rPr>
        <w:t>Administration</w:t>
      </w:r>
      <w:bookmarkEnd w:id="258"/>
      <w:bookmarkEnd w:id="259"/>
      <w:bookmarkEnd w:id="260"/>
      <w:bookmarkEnd w:id="261"/>
      <w:r w:rsidRPr="008E13E6">
        <w:rPr>
          <w:i/>
          <w:sz w:val="20"/>
          <w:szCs w:val="22"/>
        </w:rPr>
        <w:t xml:space="preserve"> </w:t>
      </w:r>
    </w:p>
    <w:p w14:paraId="4B8BC1D0" w14:textId="196C66C5" w:rsidR="00A750F2" w:rsidRPr="008E13E6" w:rsidRDefault="00A750F2" w:rsidP="00A750F2">
      <w:pPr>
        <w:pStyle w:val="Default"/>
        <w:spacing w:before="120"/>
        <w:rPr>
          <w:i/>
          <w:iCs/>
          <w:color w:val="auto"/>
          <w:sz w:val="20"/>
          <w:szCs w:val="22"/>
        </w:rPr>
      </w:pPr>
      <w:r w:rsidRPr="008E13E6">
        <w:rPr>
          <w:color w:val="auto"/>
          <w:sz w:val="20"/>
          <w:szCs w:val="22"/>
        </w:rPr>
        <w:t xml:space="preserve">Den daglige ledelse varetages af </w:t>
      </w:r>
      <w:r w:rsidR="00F93EFD" w:rsidRPr="008E13E6">
        <w:rPr>
          <w:color w:val="auto"/>
          <w:sz w:val="20"/>
          <w:szCs w:val="22"/>
        </w:rPr>
        <w:t>Fundmarket A/S</w:t>
      </w:r>
      <w:r w:rsidRPr="008E13E6">
        <w:rPr>
          <w:color w:val="auto"/>
          <w:sz w:val="20"/>
          <w:szCs w:val="22"/>
        </w:rPr>
        <w:t xml:space="preserve"> i henhold til aftale med foreningen, jf. pkt. </w:t>
      </w:r>
      <w:r w:rsidR="00757287" w:rsidRPr="008E13E6">
        <w:rPr>
          <w:sz w:val="22"/>
        </w:rPr>
        <w:fldChar w:fldCharType="begin"/>
      </w:r>
      <w:r w:rsidR="00757287" w:rsidRPr="008E13E6">
        <w:rPr>
          <w:sz w:val="22"/>
        </w:rPr>
        <w:instrText xml:space="preserve"> REF _Ref414006043 \r \h  \* MERGEFORMAT </w:instrText>
      </w:r>
      <w:r w:rsidR="00757287" w:rsidRPr="008E13E6">
        <w:rPr>
          <w:sz w:val="22"/>
        </w:rPr>
      </w:r>
      <w:r w:rsidR="00757287" w:rsidRPr="008E13E6">
        <w:rPr>
          <w:sz w:val="22"/>
        </w:rPr>
        <w:fldChar w:fldCharType="separate"/>
      </w:r>
      <w:r w:rsidR="00195831" w:rsidRPr="00195831">
        <w:rPr>
          <w:i/>
          <w:color w:val="auto"/>
          <w:sz w:val="20"/>
          <w:szCs w:val="22"/>
        </w:rPr>
        <w:t>25</w:t>
      </w:r>
      <w:r w:rsidR="00757287" w:rsidRPr="008E13E6">
        <w:rPr>
          <w:sz w:val="22"/>
        </w:rPr>
        <w:fldChar w:fldCharType="end"/>
      </w:r>
      <w:r w:rsidR="001F4B2F" w:rsidRPr="008E13E6">
        <w:rPr>
          <w:i/>
          <w:iCs/>
          <w:color w:val="auto"/>
          <w:sz w:val="20"/>
          <w:szCs w:val="22"/>
        </w:rPr>
        <w:t xml:space="preserve">. </w:t>
      </w:r>
      <w:r w:rsidR="00757287" w:rsidRPr="008E13E6">
        <w:rPr>
          <w:sz w:val="22"/>
        </w:rPr>
        <w:fldChar w:fldCharType="begin"/>
      </w:r>
      <w:r w:rsidR="00757287" w:rsidRPr="008E13E6">
        <w:rPr>
          <w:sz w:val="22"/>
        </w:rPr>
        <w:instrText xml:space="preserve"> REF _Ref414006045 \h  \* MERGEFORMAT </w:instrText>
      </w:r>
      <w:r w:rsidR="00757287" w:rsidRPr="008E13E6">
        <w:rPr>
          <w:sz w:val="22"/>
        </w:rPr>
      </w:r>
      <w:r w:rsidR="00757287" w:rsidRPr="008E13E6">
        <w:rPr>
          <w:sz w:val="22"/>
        </w:rPr>
        <w:fldChar w:fldCharType="separate"/>
      </w:r>
      <w:r w:rsidR="00195831" w:rsidRPr="00195831">
        <w:rPr>
          <w:i/>
          <w:color w:val="auto"/>
          <w:sz w:val="20"/>
          <w:szCs w:val="22"/>
        </w:rPr>
        <w:t>Investeringsforvaltningsselskab</w:t>
      </w:r>
      <w:r w:rsidR="00757287" w:rsidRPr="008E13E6">
        <w:rPr>
          <w:sz w:val="22"/>
        </w:rPr>
        <w:fldChar w:fldCharType="end"/>
      </w:r>
      <w:r w:rsidRPr="008E13E6">
        <w:rPr>
          <w:i/>
          <w:iCs/>
          <w:color w:val="auto"/>
          <w:sz w:val="20"/>
          <w:szCs w:val="22"/>
        </w:rPr>
        <w:t xml:space="preserve">. </w:t>
      </w:r>
    </w:p>
    <w:p w14:paraId="4B972540" w14:textId="4FBFF64B" w:rsidR="0034671E" w:rsidRPr="008E13E6" w:rsidRDefault="00A750F2" w:rsidP="00A750F2">
      <w:pPr>
        <w:pStyle w:val="Default"/>
        <w:spacing w:before="120"/>
        <w:rPr>
          <w:color w:val="auto"/>
          <w:sz w:val="20"/>
          <w:szCs w:val="22"/>
        </w:rPr>
      </w:pPr>
      <w:r w:rsidRPr="008E13E6">
        <w:rPr>
          <w:color w:val="auto"/>
          <w:sz w:val="20"/>
          <w:szCs w:val="22"/>
        </w:rPr>
        <w:t xml:space="preserve">De samlede administrationsomkostninger, herunder omkostninger til bestyrelse, administration, porteføljerådgivning, it, revision, tilsyn, markedsføring, investeringsforvaltningsselskabet og depotselskabet må for </w:t>
      </w:r>
      <w:r w:rsidR="009B0CA6" w:rsidRPr="008E13E6">
        <w:rPr>
          <w:color w:val="auto"/>
          <w:sz w:val="20"/>
          <w:szCs w:val="22"/>
        </w:rPr>
        <w:t>hver andelsklasse</w:t>
      </w:r>
      <w:r w:rsidRPr="008E13E6">
        <w:rPr>
          <w:color w:val="auto"/>
          <w:sz w:val="20"/>
          <w:szCs w:val="22"/>
        </w:rPr>
        <w:t xml:space="preserve"> omfattet af</w:t>
      </w:r>
      <w:r w:rsidR="00EA7E3C" w:rsidRPr="008E13E6">
        <w:rPr>
          <w:color w:val="auto"/>
          <w:sz w:val="20"/>
          <w:szCs w:val="22"/>
        </w:rPr>
        <w:t xml:space="preserve"> dette prospekt ikke overstige </w:t>
      </w:r>
      <w:r w:rsidR="0015013F" w:rsidRPr="008E13E6">
        <w:rPr>
          <w:color w:val="auto"/>
          <w:sz w:val="20"/>
          <w:szCs w:val="22"/>
        </w:rPr>
        <w:t>3</w:t>
      </w:r>
      <w:r w:rsidRPr="008E13E6">
        <w:rPr>
          <w:color w:val="auto"/>
          <w:sz w:val="20"/>
          <w:szCs w:val="22"/>
        </w:rPr>
        <w:t xml:space="preserve"> pct. af den gennemsnitlige formueværdi </w:t>
      </w:r>
      <w:r w:rsidR="00461CFE" w:rsidRPr="008E13E6">
        <w:rPr>
          <w:color w:val="auto"/>
          <w:sz w:val="20"/>
          <w:szCs w:val="22"/>
        </w:rPr>
        <w:t xml:space="preserve">for </w:t>
      </w:r>
      <w:r w:rsidR="009B0CA6" w:rsidRPr="008E13E6">
        <w:rPr>
          <w:color w:val="auto"/>
          <w:sz w:val="20"/>
          <w:szCs w:val="22"/>
        </w:rPr>
        <w:t>andelsklassen</w:t>
      </w:r>
      <w:r w:rsidRPr="008E13E6">
        <w:rPr>
          <w:color w:val="auto"/>
          <w:sz w:val="20"/>
          <w:szCs w:val="22"/>
        </w:rPr>
        <w:t xml:space="preserve"> inden for regnskabsåret. </w:t>
      </w:r>
      <w:r w:rsidR="0015013F" w:rsidRPr="008E13E6">
        <w:rPr>
          <w:color w:val="auto"/>
          <w:sz w:val="20"/>
          <w:szCs w:val="22"/>
        </w:rPr>
        <w:t>Hertil kan komme omkostninger i forbindelse med et eventuelt resultatafhængigt honorar til portefølje</w:t>
      </w:r>
      <w:r w:rsidR="00DA16A8" w:rsidRPr="008E13E6">
        <w:rPr>
          <w:color w:val="auto"/>
          <w:sz w:val="20"/>
          <w:szCs w:val="22"/>
        </w:rPr>
        <w:t>forvalter</w:t>
      </w:r>
      <w:r w:rsidR="0015013F" w:rsidRPr="008E13E6">
        <w:rPr>
          <w:color w:val="auto"/>
          <w:sz w:val="20"/>
          <w:szCs w:val="22"/>
        </w:rPr>
        <w:t xml:space="preserve">, jf. punkt </w:t>
      </w:r>
      <w:r w:rsidR="009F5119" w:rsidRPr="008E13E6">
        <w:rPr>
          <w:i/>
          <w:color w:val="auto"/>
          <w:sz w:val="20"/>
          <w:szCs w:val="22"/>
        </w:rPr>
        <w:fldChar w:fldCharType="begin"/>
      </w:r>
      <w:r w:rsidR="009F5119" w:rsidRPr="008E13E6">
        <w:rPr>
          <w:i/>
          <w:color w:val="auto"/>
          <w:sz w:val="20"/>
          <w:szCs w:val="22"/>
        </w:rPr>
        <w:instrText xml:space="preserve"> REF _Ref414008174 \r \h  \* MERGEFORMAT </w:instrText>
      </w:r>
      <w:r w:rsidR="009F5119" w:rsidRPr="008E13E6">
        <w:rPr>
          <w:i/>
          <w:color w:val="auto"/>
          <w:sz w:val="20"/>
          <w:szCs w:val="22"/>
        </w:rPr>
      </w:r>
      <w:r w:rsidR="009F5119" w:rsidRPr="008E13E6">
        <w:rPr>
          <w:i/>
          <w:color w:val="auto"/>
          <w:sz w:val="20"/>
          <w:szCs w:val="22"/>
        </w:rPr>
        <w:fldChar w:fldCharType="separate"/>
      </w:r>
      <w:r w:rsidR="00195831">
        <w:rPr>
          <w:i/>
          <w:color w:val="auto"/>
          <w:sz w:val="20"/>
          <w:szCs w:val="22"/>
        </w:rPr>
        <w:t>29</w:t>
      </w:r>
      <w:r w:rsidR="009F5119" w:rsidRPr="008E13E6">
        <w:rPr>
          <w:i/>
          <w:color w:val="auto"/>
          <w:sz w:val="20"/>
          <w:szCs w:val="22"/>
        </w:rPr>
        <w:fldChar w:fldCharType="end"/>
      </w:r>
      <w:r w:rsidR="009F5119" w:rsidRPr="008E13E6">
        <w:rPr>
          <w:i/>
          <w:color w:val="auto"/>
          <w:sz w:val="20"/>
          <w:szCs w:val="22"/>
        </w:rPr>
        <w:t>.</w:t>
      </w:r>
      <w:r w:rsidR="00403BEA" w:rsidRPr="008E13E6">
        <w:rPr>
          <w:i/>
          <w:color w:val="auto"/>
          <w:sz w:val="20"/>
          <w:szCs w:val="22"/>
        </w:rPr>
        <w:t xml:space="preserve"> </w:t>
      </w:r>
      <w:r w:rsidR="00403BEA" w:rsidRPr="008E13E6">
        <w:rPr>
          <w:i/>
          <w:color w:val="auto"/>
          <w:sz w:val="20"/>
          <w:szCs w:val="22"/>
        </w:rPr>
        <w:fldChar w:fldCharType="begin"/>
      </w:r>
      <w:r w:rsidR="00403BEA" w:rsidRPr="008E13E6">
        <w:rPr>
          <w:i/>
          <w:color w:val="auto"/>
          <w:sz w:val="20"/>
          <w:szCs w:val="22"/>
        </w:rPr>
        <w:instrText xml:space="preserve"> REF _Ref523470687 \h </w:instrText>
      </w:r>
      <w:r w:rsidR="008E13E6">
        <w:rPr>
          <w:i/>
          <w:color w:val="auto"/>
          <w:sz w:val="20"/>
          <w:szCs w:val="22"/>
        </w:rPr>
        <w:instrText xml:space="preserve"> \* MERGEFORMAT </w:instrText>
      </w:r>
      <w:r w:rsidR="00403BEA" w:rsidRPr="008E13E6">
        <w:rPr>
          <w:i/>
          <w:color w:val="auto"/>
          <w:sz w:val="20"/>
          <w:szCs w:val="22"/>
        </w:rPr>
      </w:r>
      <w:r w:rsidR="00403BEA" w:rsidRPr="008E13E6">
        <w:rPr>
          <w:i/>
          <w:color w:val="auto"/>
          <w:sz w:val="20"/>
          <w:szCs w:val="22"/>
        </w:rPr>
        <w:fldChar w:fldCharType="separate"/>
      </w:r>
      <w:r w:rsidR="00195831" w:rsidRPr="008E13E6">
        <w:rPr>
          <w:i/>
          <w:sz w:val="20"/>
          <w:szCs w:val="22"/>
        </w:rPr>
        <w:t>Porteføljeforvalter</w:t>
      </w:r>
      <w:r w:rsidR="00403BEA" w:rsidRPr="008E13E6">
        <w:rPr>
          <w:i/>
          <w:color w:val="auto"/>
          <w:sz w:val="20"/>
          <w:szCs w:val="22"/>
        </w:rPr>
        <w:fldChar w:fldCharType="end"/>
      </w:r>
      <w:r w:rsidR="009F5119" w:rsidRPr="008E13E6">
        <w:rPr>
          <w:color w:val="auto"/>
          <w:sz w:val="20"/>
          <w:szCs w:val="22"/>
        </w:rPr>
        <w:t xml:space="preserve">. </w:t>
      </w:r>
      <w:r w:rsidR="009B0CA6" w:rsidRPr="008E13E6">
        <w:rPr>
          <w:color w:val="auto"/>
          <w:sz w:val="20"/>
          <w:szCs w:val="22"/>
        </w:rPr>
        <w:t xml:space="preserve">De samlede administrationsomkostninger </w:t>
      </w:r>
      <w:r w:rsidR="00B95273" w:rsidRPr="008E13E6">
        <w:rPr>
          <w:color w:val="auto"/>
          <w:sz w:val="20"/>
          <w:szCs w:val="22"/>
        </w:rPr>
        <w:t>må</w:t>
      </w:r>
      <w:r w:rsidR="009B0CA6" w:rsidRPr="008E13E6">
        <w:rPr>
          <w:color w:val="auto"/>
          <w:sz w:val="20"/>
          <w:szCs w:val="22"/>
        </w:rPr>
        <w:t xml:space="preserve"> ikke overstige </w:t>
      </w:r>
      <w:r w:rsidR="00B95273" w:rsidRPr="008E13E6">
        <w:rPr>
          <w:color w:val="auto"/>
          <w:sz w:val="20"/>
          <w:szCs w:val="22"/>
        </w:rPr>
        <w:t>3</w:t>
      </w:r>
      <w:r w:rsidR="009B0CA6" w:rsidRPr="008E13E6">
        <w:rPr>
          <w:color w:val="auto"/>
          <w:sz w:val="20"/>
          <w:szCs w:val="22"/>
        </w:rPr>
        <w:t xml:space="preserve"> pct. af den gennemsnitlige formueværdi inden for regnskabsåret</w:t>
      </w:r>
      <w:r w:rsidR="00DA16A8" w:rsidRPr="008E13E6">
        <w:rPr>
          <w:color w:val="auto"/>
          <w:sz w:val="20"/>
          <w:szCs w:val="22"/>
        </w:rPr>
        <w:t>, jf. vedtægternes §</w:t>
      </w:r>
      <w:r w:rsidR="009F5119" w:rsidRPr="008E13E6">
        <w:rPr>
          <w:color w:val="auto"/>
          <w:sz w:val="20"/>
          <w:szCs w:val="22"/>
        </w:rPr>
        <w:t xml:space="preserve"> </w:t>
      </w:r>
      <w:r w:rsidR="00E423B4" w:rsidRPr="008E13E6">
        <w:rPr>
          <w:color w:val="auto"/>
          <w:sz w:val="20"/>
          <w:szCs w:val="22"/>
        </w:rPr>
        <w:t>23, stk. 5</w:t>
      </w:r>
      <w:r w:rsidR="009B0CA6" w:rsidRPr="008E13E6">
        <w:rPr>
          <w:color w:val="auto"/>
          <w:sz w:val="20"/>
          <w:szCs w:val="22"/>
        </w:rPr>
        <w:t xml:space="preserve">. </w:t>
      </w:r>
    </w:p>
    <w:p w14:paraId="007CD62E" w14:textId="77777777" w:rsidR="00A750F2" w:rsidRPr="008E13E6" w:rsidRDefault="00A750F2" w:rsidP="00A750F2">
      <w:pPr>
        <w:pStyle w:val="Default"/>
        <w:spacing w:before="120"/>
        <w:rPr>
          <w:color w:val="auto"/>
          <w:sz w:val="20"/>
          <w:szCs w:val="22"/>
        </w:rPr>
      </w:pPr>
      <w:r w:rsidRPr="008E13E6">
        <w:rPr>
          <w:color w:val="auto"/>
          <w:sz w:val="20"/>
          <w:szCs w:val="22"/>
        </w:rPr>
        <w:t xml:space="preserve">Handelsomkostninger er ikke omfattet af de nævnte administrationsomkostninger. </w:t>
      </w:r>
    </w:p>
    <w:p w14:paraId="50315297" w14:textId="47ACF183" w:rsidR="00A750F2" w:rsidRPr="008E13E6" w:rsidRDefault="00A750F2" w:rsidP="00053B7C">
      <w:pPr>
        <w:spacing w:before="120"/>
        <w:rPr>
          <w:sz w:val="20"/>
          <w:szCs w:val="22"/>
        </w:rPr>
      </w:pPr>
      <w:r w:rsidRPr="008E13E6">
        <w:rPr>
          <w:sz w:val="20"/>
          <w:szCs w:val="22"/>
        </w:rPr>
        <w:t xml:space="preserve">De under punkt </w:t>
      </w:r>
      <w:r w:rsidR="00757287" w:rsidRPr="008E13E6">
        <w:rPr>
          <w:sz w:val="20"/>
        </w:rPr>
        <w:fldChar w:fldCharType="begin"/>
      </w:r>
      <w:r w:rsidR="00757287" w:rsidRPr="008E13E6">
        <w:rPr>
          <w:sz w:val="20"/>
        </w:rPr>
        <w:instrText xml:space="preserve"> REF _Ref414008174 \r \h  \* MERGEFORMAT </w:instrText>
      </w:r>
      <w:r w:rsidR="00757287" w:rsidRPr="008E13E6">
        <w:rPr>
          <w:sz w:val="20"/>
        </w:rPr>
      </w:r>
      <w:r w:rsidR="00757287" w:rsidRPr="008E13E6">
        <w:rPr>
          <w:sz w:val="20"/>
        </w:rPr>
        <w:fldChar w:fldCharType="separate"/>
      </w:r>
      <w:r w:rsidR="00195831" w:rsidRPr="00195831">
        <w:rPr>
          <w:i/>
          <w:sz w:val="20"/>
          <w:szCs w:val="22"/>
        </w:rPr>
        <w:t>29</w:t>
      </w:r>
      <w:r w:rsidR="00757287" w:rsidRPr="008E13E6">
        <w:rPr>
          <w:sz w:val="20"/>
        </w:rPr>
        <w:fldChar w:fldCharType="end"/>
      </w:r>
      <w:r w:rsidR="00B03281" w:rsidRPr="008E13E6">
        <w:rPr>
          <w:i/>
          <w:sz w:val="20"/>
          <w:szCs w:val="22"/>
        </w:rPr>
        <w:t xml:space="preserve">. </w:t>
      </w:r>
      <w:r w:rsidR="00403BEA" w:rsidRPr="008E13E6">
        <w:rPr>
          <w:i/>
          <w:sz w:val="20"/>
          <w:szCs w:val="22"/>
        </w:rPr>
        <w:fldChar w:fldCharType="begin"/>
      </w:r>
      <w:r w:rsidR="00403BEA" w:rsidRPr="008E13E6">
        <w:rPr>
          <w:i/>
          <w:sz w:val="20"/>
          <w:szCs w:val="22"/>
        </w:rPr>
        <w:instrText xml:space="preserve"> REF _Ref523470687 \h </w:instrText>
      </w:r>
      <w:r w:rsidR="008E13E6">
        <w:rPr>
          <w:i/>
          <w:sz w:val="20"/>
          <w:szCs w:val="22"/>
        </w:rPr>
        <w:instrText xml:space="preserve"> \* MERGEFORMAT </w:instrText>
      </w:r>
      <w:r w:rsidR="00403BEA" w:rsidRPr="008E13E6">
        <w:rPr>
          <w:i/>
          <w:sz w:val="20"/>
          <w:szCs w:val="22"/>
        </w:rPr>
      </w:r>
      <w:r w:rsidR="00403BEA" w:rsidRPr="008E13E6">
        <w:rPr>
          <w:i/>
          <w:sz w:val="20"/>
          <w:szCs w:val="22"/>
        </w:rPr>
        <w:fldChar w:fldCharType="separate"/>
      </w:r>
      <w:r w:rsidR="00195831" w:rsidRPr="008E13E6">
        <w:rPr>
          <w:i/>
          <w:sz w:val="20"/>
          <w:szCs w:val="22"/>
        </w:rPr>
        <w:t>Porteføljeforvalter</w:t>
      </w:r>
      <w:r w:rsidR="00403BEA" w:rsidRPr="008E13E6">
        <w:rPr>
          <w:i/>
          <w:sz w:val="20"/>
          <w:szCs w:val="22"/>
        </w:rPr>
        <w:fldChar w:fldCharType="end"/>
      </w:r>
      <w:r w:rsidR="00403BEA" w:rsidRPr="008E13E6">
        <w:rPr>
          <w:i/>
          <w:sz w:val="20"/>
          <w:szCs w:val="22"/>
        </w:rPr>
        <w:t xml:space="preserve"> </w:t>
      </w:r>
      <w:r w:rsidRPr="008E13E6">
        <w:rPr>
          <w:sz w:val="20"/>
          <w:szCs w:val="22"/>
        </w:rPr>
        <w:t xml:space="preserve">omtalte kurtageomkostninger m.v. indgår ikke i administrationsomkostningsprocenterne. Det samme gælder emissionsomkostninger under punkt </w:t>
      </w:r>
      <w:r w:rsidR="00757287" w:rsidRPr="008E13E6">
        <w:rPr>
          <w:sz w:val="20"/>
        </w:rPr>
        <w:fldChar w:fldCharType="begin"/>
      </w:r>
      <w:r w:rsidR="00757287" w:rsidRPr="008E13E6">
        <w:rPr>
          <w:sz w:val="20"/>
        </w:rPr>
        <w:instrText xml:space="preserve"> REF _Ref414008131 \r \h  \* MERGEFORMAT </w:instrText>
      </w:r>
      <w:r w:rsidR="00757287" w:rsidRPr="008E13E6">
        <w:rPr>
          <w:sz w:val="20"/>
        </w:rPr>
      </w:r>
      <w:r w:rsidR="00757287" w:rsidRPr="008E13E6">
        <w:rPr>
          <w:sz w:val="20"/>
        </w:rPr>
        <w:fldChar w:fldCharType="separate"/>
      </w:r>
      <w:r w:rsidR="00195831" w:rsidRPr="00195831">
        <w:rPr>
          <w:i/>
          <w:sz w:val="20"/>
          <w:szCs w:val="22"/>
        </w:rPr>
        <w:t>26</w:t>
      </w:r>
      <w:r w:rsidR="00757287" w:rsidRPr="008E13E6">
        <w:rPr>
          <w:sz w:val="20"/>
        </w:rPr>
        <w:fldChar w:fldCharType="end"/>
      </w:r>
      <w:r w:rsidR="00053B7C" w:rsidRPr="008E13E6">
        <w:rPr>
          <w:i/>
          <w:sz w:val="20"/>
        </w:rPr>
        <w:t xml:space="preserve">. </w:t>
      </w:r>
      <w:r w:rsidR="00757287" w:rsidRPr="008E13E6">
        <w:rPr>
          <w:sz w:val="20"/>
        </w:rPr>
        <w:fldChar w:fldCharType="begin"/>
      </w:r>
      <w:r w:rsidR="00757287" w:rsidRPr="008E13E6">
        <w:rPr>
          <w:sz w:val="20"/>
        </w:rPr>
        <w:instrText xml:space="preserve"> REF _Ref414008131 \h  \* MERGEFORMAT </w:instrText>
      </w:r>
      <w:r w:rsidR="00757287" w:rsidRPr="008E13E6">
        <w:rPr>
          <w:sz w:val="20"/>
        </w:rPr>
      </w:r>
      <w:r w:rsidR="00757287" w:rsidRPr="008E13E6">
        <w:rPr>
          <w:sz w:val="20"/>
        </w:rPr>
        <w:fldChar w:fldCharType="separate"/>
      </w:r>
      <w:r w:rsidR="00195831" w:rsidRPr="008E13E6">
        <w:rPr>
          <w:i/>
          <w:sz w:val="20"/>
          <w:szCs w:val="22"/>
        </w:rPr>
        <w:t>Depotselskab</w:t>
      </w:r>
      <w:r w:rsidR="00757287" w:rsidRPr="008E13E6">
        <w:rPr>
          <w:sz w:val="20"/>
        </w:rPr>
        <w:fldChar w:fldCharType="end"/>
      </w:r>
      <w:r w:rsidRPr="008E13E6">
        <w:rPr>
          <w:i/>
          <w:iCs/>
          <w:sz w:val="20"/>
          <w:szCs w:val="22"/>
        </w:rPr>
        <w:t xml:space="preserve">, </w:t>
      </w:r>
      <w:r w:rsidRPr="008E13E6">
        <w:rPr>
          <w:sz w:val="20"/>
          <w:szCs w:val="22"/>
        </w:rPr>
        <w:t>idet disse finansieres af emissionsindtægterne.</w:t>
      </w:r>
    </w:p>
    <w:p w14:paraId="0F3A4752" w14:textId="77777777" w:rsidR="007D4E16" w:rsidRPr="008E13E6" w:rsidRDefault="002367A8" w:rsidP="007D4E16">
      <w:pPr>
        <w:tabs>
          <w:tab w:val="left" w:pos="0"/>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before="120" w:after="120"/>
        <w:rPr>
          <w:sz w:val="20"/>
          <w:szCs w:val="22"/>
        </w:rPr>
      </w:pPr>
      <w:r w:rsidRPr="008E13E6">
        <w:rPr>
          <w:spacing w:val="-3"/>
          <w:sz w:val="20"/>
          <w:szCs w:val="22"/>
        </w:rPr>
        <w:t xml:space="preserve">Vederlag til bestyrelsen godkendes på generalforsamlingen. Vederlag til bestyrelsen er en fællesomkostning, som for første regnskabsår ikke forventes at overstige </w:t>
      </w:r>
      <w:r w:rsidR="00363D37" w:rsidRPr="008E13E6">
        <w:rPr>
          <w:spacing w:val="-3"/>
          <w:sz w:val="20"/>
          <w:szCs w:val="22"/>
        </w:rPr>
        <w:t>20</w:t>
      </w:r>
      <w:r w:rsidRPr="008E13E6">
        <w:rPr>
          <w:spacing w:val="-3"/>
          <w:sz w:val="20"/>
          <w:szCs w:val="22"/>
        </w:rPr>
        <w:t>.000 kr. for afdelingen.</w:t>
      </w:r>
    </w:p>
    <w:p w14:paraId="49CED946" w14:textId="77777777" w:rsidR="007D4E16" w:rsidRPr="008E13E6" w:rsidRDefault="007D4E16" w:rsidP="007D4E16">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rPr>
          <w:sz w:val="20"/>
          <w:szCs w:val="22"/>
        </w:rPr>
      </w:pPr>
      <w:r w:rsidRPr="008E13E6">
        <w:rPr>
          <w:spacing w:val="-3"/>
          <w:sz w:val="20"/>
          <w:szCs w:val="22"/>
        </w:rPr>
        <w:t xml:space="preserve">Vederlag til Finanstilsynet bliver fastlagt af Finanstilsynet ved udgangen af kalenderåret. </w:t>
      </w:r>
      <w:r w:rsidR="002367A8" w:rsidRPr="008E13E6">
        <w:rPr>
          <w:spacing w:val="-3"/>
          <w:sz w:val="20"/>
          <w:szCs w:val="22"/>
        </w:rPr>
        <w:t>Der budgetteres med 8.000 kr. for afdelingen i bidrag til Finanstilsynet for første regnskabsår. Vederlagets fordeling på de enkelte afdelinger er omfattet af vedtægternes bestemmelser herom.</w:t>
      </w:r>
    </w:p>
    <w:p w14:paraId="1F722D05" w14:textId="2FC91C84" w:rsidR="007D4E16" w:rsidRPr="008E13E6" w:rsidRDefault="007D4E16" w:rsidP="007D4E16">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before="120" w:after="120"/>
        <w:rPr>
          <w:i/>
          <w:spacing w:val="-3"/>
          <w:sz w:val="20"/>
          <w:szCs w:val="22"/>
        </w:rPr>
      </w:pPr>
      <w:r w:rsidRPr="008E13E6">
        <w:rPr>
          <w:sz w:val="20"/>
          <w:szCs w:val="22"/>
        </w:rPr>
        <w:t xml:space="preserve">Direktionsvederlaget indgår som en del af </w:t>
      </w:r>
      <w:r w:rsidR="00E423B4" w:rsidRPr="008E13E6">
        <w:rPr>
          <w:sz w:val="20"/>
          <w:szCs w:val="22"/>
        </w:rPr>
        <w:t>managementhonoraret til</w:t>
      </w:r>
      <w:r w:rsidRPr="008E13E6">
        <w:rPr>
          <w:spacing w:val="-3"/>
          <w:sz w:val="20"/>
          <w:szCs w:val="22"/>
        </w:rPr>
        <w:t xml:space="preserve"> investeringsforvaltningsselskabet, jf. punkt </w:t>
      </w:r>
      <w:r w:rsidR="00757287" w:rsidRPr="008E13E6">
        <w:rPr>
          <w:sz w:val="20"/>
        </w:rPr>
        <w:fldChar w:fldCharType="begin"/>
      </w:r>
      <w:r w:rsidR="00757287" w:rsidRPr="008E13E6">
        <w:rPr>
          <w:sz w:val="20"/>
        </w:rPr>
        <w:instrText xml:space="preserve"> REF _Ref443057158 \r \h  \* MERGEFORMAT </w:instrText>
      </w:r>
      <w:r w:rsidR="00757287" w:rsidRPr="008E13E6">
        <w:rPr>
          <w:sz w:val="20"/>
        </w:rPr>
      </w:r>
      <w:r w:rsidR="00757287" w:rsidRPr="008E13E6">
        <w:rPr>
          <w:sz w:val="20"/>
        </w:rPr>
        <w:fldChar w:fldCharType="separate"/>
      </w:r>
      <w:r w:rsidR="00195831" w:rsidRPr="00195831">
        <w:rPr>
          <w:i/>
          <w:spacing w:val="-3"/>
          <w:sz w:val="20"/>
          <w:szCs w:val="22"/>
        </w:rPr>
        <w:t>25</w:t>
      </w:r>
      <w:r w:rsidR="00757287" w:rsidRPr="008E13E6">
        <w:rPr>
          <w:sz w:val="20"/>
        </w:rPr>
        <w:fldChar w:fldCharType="end"/>
      </w:r>
      <w:r w:rsidRPr="008E13E6">
        <w:rPr>
          <w:i/>
          <w:spacing w:val="-3"/>
          <w:sz w:val="20"/>
          <w:szCs w:val="22"/>
        </w:rPr>
        <w:t xml:space="preserve">. </w:t>
      </w:r>
      <w:r w:rsidR="00757287" w:rsidRPr="008E13E6">
        <w:rPr>
          <w:sz w:val="20"/>
        </w:rPr>
        <w:fldChar w:fldCharType="begin"/>
      </w:r>
      <w:r w:rsidR="00757287" w:rsidRPr="008E13E6">
        <w:rPr>
          <w:sz w:val="20"/>
        </w:rPr>
        <w:instrText xml:space="preserve"> REF _Ref443057162 \h  \* MERGEFORMAT </w:instrText>
      </w:r>
      <w:r w:rsidR="00757287" w:rsidRPr="008E13E6">
        <w:rPr>
          <w:sz w:val="20"/>
        </w:rPr>
      </w:r>
      <w:r w:rsidR="00757287" w:rsidRPr="008E13E6">
        <w:rPr>
          <w:sz w:val="20"/>
        </w:rPr>
        <w:fldChar w:fldCharType="separate"/>
      </w:r>
      <w:r w:rsidR="00195831" w:rsidRPr="008E13E6">
        <w:rPr>
          <w:i/>
          <w:sz w:val="20"/>
          <w:szCs w:val="22"/>
        </w:rPr>
        <w:t>Investeringsforvaltningsselskab</w:t>
      </w:r>
      <w:r w:rsidR="00757287" w:rsidRPr="008E13E6">
        <w:rPr>
          <w:sz w:val="20"/>
        </w:rPr>
        <w:fldChar w:fldCharType="end"/>
      </w:r>
      <w:r w:rsidRPr="008E13E6">
        <w:rPr>
          <w:i/>
          <w:spacing w:val="-3"/>
          <w:sz w:val="20"/>
          <w:szCs w:val="22"/>
        </w:rPr>
        <w:t>.</w:t>
      </w:r>
    </w:p>
    <w:p w14:paraId="7A35E371"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262" w:name="_Toc341771420"/>
      <w:bookmarkStart w:id="263" w:name="_Ref357690799"/>
      <w:bookmarkStart w:id="264" w:name="_Ref357690806"/>
      <w:bookmarkStart w:id="265" w:name="_Ref357690928"/>
      <w:bookmarkStart w:id="266" w:name="_Ref357691142"/>
      <w:bookmarkStart w:id="267" w:name="_Ref357691146"/>
      <w:bookmarkStart w:id="268" w:name="_Ref357691166"/>
      <w:bookmarkStart w:id="269" w:name="_Ref358903676"/>
      <w:bookmarkStart w:id="270" w:name="_Ref358903679"/>
      <w:bookmarkStart w:id="271" w:name="_Toc395703426"/>
      <w:bookmarkStart w:id="272" w:name="_Ref413753489"/>
      <w:bookmarkStart w:id="273" w:name="_Ref413753491"/>
      <w:bookmarkStart w:id="274" w:name="_Ref413753521"/>
      <w:bookmarkStart w:id="275" w:name="_Ref413753523"/>
      <w:bookmarkStart w:id="276" w:name="_Ref413753548"/>
      <w:bookmarkStart w:id="277" w:name="_Ref413753550"/>
      <w:bookmarkStart w:id="278" w:name="_Ref413753627"/>
      <w:bookmarkStart w:id="279" w:name="_Ref413753630"/>
      <w:bookmarkStart w:id="280" w:name="_Toc414000051"/>
      <w:bookmarkStart w:id="281" w:name="_Ref414006043"/>
      <w:bookmarkStart w:id="282" w:name="_Ref414006045"/>
      <w:bookmarkStart w:id="283" w:name="_Ref443057158"/>
      <w:bookmarkStart w:id="284" w:name="_Ref443057162"/>
      <w:bookmarkStart w:id="285" w:name="_Ref5366724"/>
      <w:bookmarkStart w:id="286" w:name="_Ref5366728"/>
      <w:bookmarkStart w:id="287" w:name="_Toc9239925"/>
      <w:r w:rsidRPr="008E13E6">
        <w:rPr>
          <w:i/>
          <w:sz w:val="20"/>
          <w:szCs w:val="22"/>
        </w:rPr>
        <w:t>Investeringsforvaltningsselskab</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8E13E6">
        <w:rPr>
          <w:i/>
          <w:sz w:val="20"/>
          <w:szCs w:val="22"/>
        </w:rPr>
        <w:t xml:space="preserve"> </w:t>
      </w:r>
    </w:p>
    <w:p w14:paraId="006362F6" w14:textId="77777777" w:rsidR="00E423B4" w:rsidRPr="008E13E6" w:rsidRDefault="00F93EFD" w:rsidP="00E423B4">
      <w:pPr>
        <w:pStyle w:val="Default"/>
        <w:spacing w:after="120"/>
        <w:rPr>
          <w:color w:val="auto"/>
          <w:sz w:val="20"/>
          <w:szCs w:val="22"/>
        </w:rPr>
      </w:pPr>
      <w:r w:rsidRPr="008E13E6">
        <w:rPr>
          <w:color w:val="auto"/>
          <w:sz w:val="20"/>
          <w:szCs w:val="22"/>
          <w:lang w:val="en-US"/>
        </w:rPr>
        <w:t>Fundmarket A/S</w:t>
      </w:r>
      <w:r w:rsidR="00A750F2" w:rsidRPr="008E13E6">
        <w:rPr>
          <w:color w:val="auto"/>
          <w:sz w:val="20"/>
          <w:szCs w:val="22"/>
          <w:lang w:val="en-US"/>
        </w:rPr>
        <w:t xml:space="preserve"> </w:t>
      </w:r>
      <w:r w:rsidR="00A750F2" w:rsidRPr="008E13E6">
        <w:rPr>
          <w:color w:val="auto"/>
          <w:sz w:val="20"/>
          <w:szCs w:val="22"/>
          <w:lang w:val="en-US"/>
        </w:rPr>
        <w:br/>
      </w:r>
      <w:r w:rsidR="006D09D3" w:rsidRPr="008E13E6">
        <w:rPr>
          <w:color w:val="auto"/>
          <w:sz w:val="20"/>
          <w:szCs w:val="22"/>
          <w:lang w:val="en-US"/>
        </w:rPr>
        <w:t>Diplomvej 381</w:t>
      </w:r>
      <w:r w:rsidR="00A750F2" w:rsidRPr="008E13E6">
        <w:rPr>
          <w:color w:val="auto"/>
          <w:sz w:val="20"/>
          <w:szCs w:val="22"/>
          <w:lang w:val="en-US"/>
        </w:rPr>
        <w:t xml:space="preserve"> </w:t>
      </w:r>
      <w:r w:rsidR="00A750F2" w:rsidRPr="008E13E6">
        <w:rPr>
          <w:color w:val="auto"/>
          <w:sz w:val="20"/>
          <w:szCs w:val="22"/>
          <w:lang w:val="en-US"/>
        </w:rPr>
        <w:br/>
        <w:t xml:space="preserve">2800 Kgs. </w:t>
      </w:r>
      <w:r w:rsidR="00A750F2" w:rsidRPr="008E13E6">
        <w:rPr>
          <w:color w:val="auto"/>
          <w:sz w:val="20"/>
          <w:szCs w:val="22"/>
        </w:rPr>
        <w:t xml:space="preserve">Lyngby </w:t>
      </w:r>
      <w:r w:rsidR="00A750F2" w:rsidRPr="008E13E6">
        <w:rPr>
          <w:color w:val="auto"/>
          <w:sz w:val="20"/>
          <w:szCs w:val="22"/>
        </w:rPr>
        <w:br/>
        <w:t xml:space="preserve">Tlf.: +45 </w:t>
      </w:r>
      <w:r w:rsidR="006D09D3" w:rsidRPr="008E13E6">
        <w:rPr>
          <w:color w:val="auto"/>
          <w:sz w:val="20"/>
          <w:szCs w:val="22"/>
        </w:rPr>
        <w:t>38 42 21 42</w:t>
      </w:r>
      <w:r w:rsidR="00A750F2" w:rsidRPr="008E13E6">
        <w:rPr>
          <w:color w:val="auto"/>
          <w:sz w:val="20"/>
          <w:szCs w:val="22"/>
        </w:rPr>
        <w:t xml:space="preserve"> </w:t>
      </w:r>
    </w:p>
    <w:p w14:paraId="7FD8230C" w14:textId="06E0EFAE" w:rsidR="00363D37" w:rsidRPr="008E13E6" w:rsidRDefault="00363D37" w:rsidP="000172AC">
      <w:pPr>
        <w:pStyle w:val="Default"/>
        <w:spacing w:before="240" w:after="120"/>
        <w:rPr>
          <w:spacing w:val="-3"/>
          <w:sz w:val="20"/>
          <w:szCs w:val="22"/>
        </w:rPr>
      </w:pPr>
      <w:bookmarkStart w:id="288" w:name="_Toc341771421"/>
      <w:bookmarkStart w:id="289" w:name="_Ref357691074"/>
      <w:bookmarkStart w:id="290" w:name="_Ref357691080"/>
      <w:bookmarkStart w:id="291" w:name="_Toc395703427"/>
      <w:bookmarkStart w:id="292" w:name="_Ref413753379"/>
      <w:bookmarkStart w:id="293" w:name="_Ref413753381"/>
      <w:bookmarkStart w:id="294" w:name="_Ref413753607"/>
      <w:bookmarkStart w:id="295" w:name="_Ref413753610"/>
      <w:bookmarkStart w:id="296" w:name="_Toc414000052"/>
      <w:bookmarkStart w:id="297" w:name="_Ref414007987"/>
      <w:bookmarkStart w:id="298" w:name="_Ref414007989"/>
      <w:r w:rsidRPr="008E13E6">
        <w:rPr>
          <w:spacing w:val="-3"/>
          <w:sz w:val="20"/>
          <w:szCs w:val="22"/>
        </w:rPr>
        <w:t>Investeringsforvaltningsselskabet er registreret i Det Centrale Virksomhedsregister under CVR-nr. 38 25 70 80 og i Finanstilsynet under FT-nr. 17120.</w:t>
      </w:r>
    </w:p>
    <w:p w14:paraId="21C57F98" w14:textId="77777777" w:rsidR="00363D37" w:rsidRPr="008E13E6" w:rsidRDefault="00363D37" w:rsidP="00363D37">
      <w:pPr>
        <w:pStyle w:val="Default"/>
        <w:spacing w:after="120"/>
        <w:rPr>
          <w:spacing w:val="-3"/>
          <w:sz w:val="20"/>
          <w:szCs w:val="22"/>
        </w:rPr>
      </w:pPr>
      <w:r w:rsidRPr="008E13E6">
        <w:rPr>
          <w:spacing w:val="-3"/>
          <w:sz w:val="20"/>
          <w:szCs w:val="22"/>
        </w:rPr>
        <w:t xml:space="preserve">Investeringsforvaltningsselskabets direktion udgøres af adm. direktør Lars Louw Pedersen. </w:t>
      </w:r>
    </w:p>
    <w:p w14:paraId="30BCB23A" w14:textId="77777777" w:rsidR="00363D37" w:rsidRPr="008E13E6" w:rsidRDefault="00363D37" w:rsidP="00363D37">
      <w:pPr>
        <w:pStyle w:val="Default"/>
        <w:spacing w:after="120"/>
        <w:rPr>
          <w:spacing w:val="-3"/>
          <w:sz w:val="20"/>
          <w:szCs w:val="22"/>
        </w:rPr>
      </w:pPr>
      <w:r w:rsidRPr="008E13E6">
        <w:rPr>
          <w:spacing w:val="-3"/>
          <w:sz w:val="20"/>
          <w:szCs w:val="22"/>
        </w:rPr>
        <w:t xml:space="preserve">Foreningen har indgået aftale med selskabet om, at selskabet varetager den daglige ledelse af foreningen i overensstemmelse med lov om finansiel virksomhed, lov om investeringsforeninger m.v., foreningens vedtægter og anvisninger fra foreningens bestyrelse, herunder investeringsrammer for afdelingerne. </w:t>
      </w:r>
    </w:p>
    <w:p w14:paraId="520E23E6" w14:textId="77777777" w:rsidR="00363D37" w:rsidRPr="008E13E6" w:rsidRDefault="00363D37" w:rsidP="00363D37">
      <w:pPr>
        <w:pStyle w:val="Default"/>
        <w:spacing w:after="120"/>
        <w:rPr>
          <w:spacing w:val="-3"/>
          <w:sz w:val="20"/>
          <w:szCs w:val="22"/>
        </w:rPr>
      </w:pPr>
      <w:r w:rsidRPr="008E13E6">
        <w:rPr>
          <w:spacing w:val="-3"/>
          <w:sz w:val="20"/>
          <w:szCs w:val="22"/>
        </w:rPr>
        <w:t xml:space="preserve">Aftalen indebærer desuden, at selskabet efter godkendelse af foreningens bestyrelse indgår aftaler om porteføljerådgivning og andre ydelser vedrørende foreningens afdelinger/andelsklasser. </w:t>
      </w:r>
    </w:p>
    <w:p w14:paraId="03841DAD" w14:textId="77777777" w:rsidR="00363D37" w:rsidRPr="008E13E6" w:rsidRDefault="00363D37" w:rsidP="00363D37">
      <w:pPr>
        <w:pStyle w:val="Default"/>
        <w:spacing w:after="120"/>
        <w:rPr>
          <w:spacing w:val="-3"/>
          <w:sz w:val="20"/>
          <w:szCs w:val="22"/>
        </w:rPr>
      </w:pPr>
      <w:r w:rsidRPr="008E13E6">
        <w:rPr>
          <w:spacing w:val="-3"/>
          <w:sz w:val="20"/>
          <w:szCs w:val="22"/>
        </w:rPr>
        <w:t xml:space="preserve">Som led i denne aftale betaler foreningens afdelinger/andelsklasser et administrationshonorar, som dækker betaling for investeringsforvaltningsselskabets varetagelse af den daglige ledelse af foreningen, herunder porteføljeforvaltning. </w:t>
      </w:r>
    </w:p>
    <w:p w14:paraId="7E7337A2" w14:textId="77777777" w:rsidR="00363D37" w:rsidRPr="008E13E6" w:rsidRDefault="00363D37" w:rsidP="00363D37">
      <w:pPr>
        <w:pStyle w:val="Default"/>
        <w:spacing w:after="120"/>
        <w:rPr>
          <w:spacing w:val="-3"/>
          <w:sz w:val="20"/>
          <w:szCs w:val="22"/>
        </w:rPr>
      </w:pPr>
      <w:r w:rsidRPr="008E13E6">
        <w:rPr>
          <w:spacing w:val="-3"/>
          <w:sz w:val="20"/>
          <w:szCs w:val="22"/>
        </w:rPr>
        <w:t xml:space="preserve">Administrationshonoraret fremgår af </w:t>
      </w:r>
      <w:r w:rsidRPr="008E13E6">
        <w:rPr>
          <w:i/>
          <w:spacing w:val="-3"/>
          <w:sz w:val="20"/>
          <w:szCs w:val="22"/>
        </w:rPr>
        <w:t>Bilag 3</w:t>
      </w:r>
      <w:r w:rsidRPr="008E13E6">
        <w:rPr>
          <w:spacing w:val="-3"/>
          <w:sz w:val="20"/>
          <w:szCs w:val="22"/>
        </w:rPr>
        <w:t>.</w:t>
      </w:r>
    </w:p>
    <w:p w14:paraId="252A2E20" w14:textId="77777777" w:rsidR="00363D37" w:rsidRPr="008E13E6" w:rsidRDefault="00363D37" w:rsidP="00363D37">
      <w:pPr>
        <w:pStyle w:val="Default"/>
        <w:spacing w:after="120"/>
        <w:rPr>
          <w:spacing w:val="-3"/>
          <w:sz w:val="20"/>
          <w:szCs w:val="22"/>
        </w:rPr>
      </w:pPr>
      <w:r w:rsidRPr="008E13E6">
        <w:rPr>
          <w:spacing w:val="-3"/>
          <w:sz w:val="20"/>
          <w:szCs w:val="22"/>
        </w:rPr>
        <w:t>Ud over administrationshonorar afholder afdelingerne/</w:t>
      </w:r>
      <w:proofErr w:type="spellStart"/>
      <w:r w:rsidRPr="008E13E6">
        <w:rPr>
          <w:spacing w:val="-3"/>
          <w:sz w:val="20"/>
          <w:szCs w:val="22"/>
        </w:rPr>
        <w:t>andelsklasserne</w:t>
      </w:r>
      <w:proofErr w:type="spellEnd"/>
      <w:r w:rsidRPr="008E13E6">
        <w:rPr>
          <w:spacing w:val="-3"/>
          <w:sz w:val="20"/>
          <w:szCs w:val="22"/>
        </w:rPr>
        <w:t xml:space="preserve"> bl.a. følgende øvrige omkostninger vedrørende bestyrelse, direktion, revision, Finanstilsynet og andre offentlige myndigheder, FundCollect, generalforsamlingsafholdelse, evt. ekstern investeringsrådgivning, informations- og markedsføringsaktiviteter, gebyrer til depotbanken for depotselskabsopgaven m.v.</w:t>
      </w:r>
    </w:p>
    <w:p w14:paraId="5E38473B" w14:textId="77777777" w:rsidR="00363D37" w:rsidRPr="008E13E6" w:rsidRDefault="00363D37" w:rsidP="00363D37">
      <w:pPr>
        <w:pStyle w:val="Default"/>
        <w:spacing w:after="120"/>
        <w:rPr>
          <w:spacing w:val="-3"/>
          <w:sz w:val="20"/>
          <w:szCs w:val="22"/>
        </w:rPr>
      </w:pPr>
      <w:r w:rsidRPr="008E13E6">
        <w:rPr>
          <w:spacing w:val="-3"/>
          <w:sz w:val="20"/>
          <w:szCs w:val="22"/>
        </w:rPr>
        <w:t>Afdelingernes/</w:t>
      </w:r>
      <w:proofErr w:type="spellStart"/>
      <w:r w:rsidRPr="008E13E6">
        <w:rPr>
          <w:spacing w:val="-3"/>
          <w:sz w:val="20"/>
          <w:szCs w:val="22"/>
        </w:rPr>
        <w:t>andelsklasserne</w:t>
      </w:r>
      <w:proofErr w:type="spellEnd"/>
      <w:r w:rsidRPr="008E13E6">
        <w:rPr>
          <w:spacing w:val="-3"/>
          <w:sz w:val="20"/>
          <w:szCs w:val="22"/>
        </w:rPr>
        <w:t xml:space="preserve"> administrationshonorar vil blive reduceret vedrørende betaling af visse øvrige omkostninger, såfremt disse omkostninger samlet set overstiger 0,1 pct. p.a. af den gennemsnitlige formue i afdelingerne. </w:t>
      </w:r>
    </w:p>
    <w:p w14:paraId="301198D2" w14:textId="77777777" w:rsidR="00363D37" w:rsidRPr="008E13E6" w:rsidRDefault="00363D37" w:rsidP="00363D37">
      <w:pPr>
        <w:pStyle w:val="Default"/>
        <w:spacing w:after="120"/>
        <w:rPr>
          <w:spacing w:val="-3"/>
          <w:sz w:val="20"/>
          <w:szCs w:val="22"/>
        </w:rPr>
      </w:pPr>
      <w:r w:rsidRPr="008E13E6">
        <w:rPr>
          <w:spacing w:val="-3"/>
          <w:sz w:val="20"/>
          <w:szCs w:val="22"/>
        </w:rPr>
        <w:t xml:space="preserve">Dette fremgår ligeledes af </w:t>
      </w:r>
      <w:r w:rsidRPr="008E13E6">
        <w:rPr>
          <w:i/>
          <w:spacing w:val="-3"/>
          <w:sz w:val="20"/>
          <w:szCs w:val="22"/>
        </w:rPr>
        <w:t>Bilag 3</w:t>
      </w:r>
      <w:r w:rsidRPr="008E13E6">
        <w:rPr>
          <w:spacing w:val="-3"/>
          <w:sz w:val="20"/>
          <w:szCs w:val="22"/>
        </w:rPr>
        <w:t>.</w:t>
      </w:r>
    </w:p>
    <w:p w14:paraId="2E2089D4" w14:textId="77777777" w:rsidR="00363D37" w:rsidRPr="008E13E6" w:rsidRDefault="00363D37" w:rsidP="00363D37">
      <w:pPr>
        <w:pStyle w:val="Default"/>
        <w:spacing w:after="120"/>
        <w:rPr>
          <w:spacing w:val="-3"/>
          <w:sz w:val="20"/>
          <w:szCs w:val="22"/>
        </w:rPr>
      </w:pPr>
      <w:r w:rsidRPr="008E13E6">
        <w:rPr>
          <w:spacing w:val="-3"/>
          <w:sz w:val="20"/>
          <w:szCs w:val="22"/>
        </w:rPr>
        <w:t>Aftalen kan af foreningen opsiges med øjeblikkelig virkning, dog således at foreningen ved kortere opsigelsesvarsel end seks måneder skal betale forskellen mellem seks måneders ordinær betaling og betaling i den faktiske opsigelsesperiode.</w:t>
      </w:r>
    </w:p>
    <w:p w14:paraId="3154662E" w14:textId="77777777" w:rsidR="00363D37" w:rsidRPr="008E13E6" w:rsidRDefault="00363D37" w:rsidP="00363D37">
      <w:pPr>
        <w:pStyle w:val="Default"/>
        <w:spacing w:after="120"/>
        <w:rPr>
          <w:spacing w:val="-3"/>
          <w:sz w:val="20"/>
          <w:szCs w:val="22"/>
        </w:rPr>
      </w:pPr>
      <w:r w:rsidRPr="008E13E6">
        <w:rPr>
          <w:spacing w:val="-3"/>
          <w:sz w:val="20"/>
          <w:szCs w:val="22"/>
        </w:rPr>
        <w:t xml:space="preserve">Aftalen kan af selskabet opsiges med 6 måneders varsel til udløbet af en kalendermåned. </w:t>
      </w:r>
    </w:p>
    <w:p w14:paraId="0DE0B63A" w14:textId="77777777" w:rsidR="00363D37" w:rsidRPr="008E13E6" w:rsidRDefault="00363D37" w:rsidP="00363D37">
      <w:pPr>
        <w:pStyle w:val="Default"/>
        <w:spacing w:after="120"/>
        <w:rPr>
          <w:spacing w:val="-3"/>
          <w:sz w:val="20"/>
          <w:szCs w:val="22"/>
        </w:rPr>
      </w:pPr>
      <w:r w:rsidRPr="008E13E6">
        <w:rPr>
          <w:spacing w:val="-3"/>
          <w:sz w:val="20"/>
          <w:szCs w:val="22"/>
        </w:rPr>
        <w:lastRenderedPageBreak/>
        <w:t xml:space="preserve">Selskabet har videredelegeret </w:t>
      </w:r>
      <w:r w:rsidR="003446B0" w:rsidRPr="008E13E6">
        <w:rPr>
          <w:spacing w:val="-3"/>
          <w:sz w:val="20"/>
          <w:szCs w:val="22"/>
        </w:rPr>
        <w:t xml:space="preserve">visse it-ydelser til AG-informatik A/S samt </w:t>
      </w:r>
      <w:r w:rsidRPr="008E13E6">
        <w:rPr>
          <w:spacing w:val="-3"/>
          <w:sz w:val="20"/>
          <w:szCs w:val="22"/>
        </w:rPr>
        <w:t>compliance-funktionen til advokatfirmaet Charlotte Møller.</w:t>
      </w:r>
    </w:p>
    <w:p w14:paraId="00BB7570"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299" w:name="_Ref414008131"/>
      <w:bookmarkStart w:id="300" w:name="_Toc9239926"/>
      <w:bookmarkStart w:id="301" w:name="_Hlk523168099"/>
      <w:r w:rsidRPr="008E13E6">
        <w:rPr>
          <w:i/>
          <w:sz w:val="20"/>
          <w:szCs w:val="22"/>
        </w:rPr>
        <w:t>Depotselskab</w:t>
      </w:r>
      <w:bookmarkEnd w:id="288"/>
      <w:bookmarkEnd w:id="289"/>
      <w:bookmarkEnd w:id="290"/>
      <w:bookmarkEnd w:id="291"/>
      <w:bookmarkEnd w:id="292"/>
      <w:bookmarkEnd w:id="293"/>
      <w:bookmarkEnd w:id="294"/>
      <w:bookmarkEnd w:id="295"/>
      <w:bookmarkEnd w:id="296"/>
      <w:bookmarkEnd w:id="297"/>
      <w:bookmarkEnd w:id="298"/>
      <w:bookmarkEnd w:id="299"/>
      <w:bookmarkEnd w:id="300"/>
      <w:r w:rsidRPr="008E13E6">
        <w:rPr>
          <w:i/>
          <w:sz w:val="20"/>
          <w:szCs w:val="22"/>
        </w:rPr>
        <w:t xml:space="preserve"> </w:t>
      </w:r>
    </w:p>
    <w:bookmarkEnd w:id="301"/>
    <w:p w14:paraId="3294FD2A" w14:textId="77777777" w:rsidR="00311655" w:rsidRPr="008E13E6" w:rsidRDefault="00311655" w:rsidP="00311655">
      <w:pPr>
        <w:keepNext/>
        <w:rPr>
          <w:spacing w:val="-3"/>
          <w:sz w:val="20"/>
          <w:szCs w:val="22"/>
          <w:lang w:val="en-US"/>
        </w:rPr>
      </w:pPr>
      <w:r w:rsidRPr="008E13E6">
        <w:rPr>
          <w:spacing w:val="-3"/>
          <w:sz w:val="20"/>
          <w:szCs w:val="22"/>
          <w:lang w:val="en-US"/>
        </w:rPr>
        <w:t>Danske Bank A/S</w:t>
      </w:r>
    </w:p>
    <w:p w14:paraId="18C105EF" w14:textId="77777777" w:rsidR="00311655" w:rsidRPr="008E13E6" w:rsidRDefault="00311655" w:rsidP="00311655">
      <w:pPr>
        <w:keepNext/>
        <w:rPr>
          <w:spacing w:val="-3"/>
          <w:sz w:val="20"/>
          <w:szCs w:val="22"/>
        </w:rPr>
      </w:pPr>
      <w:r w:rsidRPr="008E13E6">
        <w:rPr>
          <w:spacing w:val="-3"/>
          <w:sz w:val="20"/>
          <w:szCs w:val="22"/>
        </w:rPr>
        <w:t>Holmens Kanal 2 - 12</w:t>
      </w:r>
    </w:p>
    <w:p w14:paraId="400D605A" w14:textId="77777777" w:rsidR="00311655" w:rsidRPr="008E13E6" w:rsidRDefault="00311655" w:rsidP="00E81404">
      <w:pPr>
        <w:keepNext/>
        <w:spacing w:after="240"/>
        <w:rPr>
          <w:spacing w:val="-3"/>
          <w:sz w:val="20"/>
          <w:szCs w:val="22"/>
        </w:rPr>
      </w:pPr>
      <w:r w:rsidRPr="008E13E6">
        <w:rPr>
          <w:spacing w:val="-3"/>
          <w:sz w:val="20"/>
          <w:szCs w:val="22"/>
        </w:rPr>
        <w:t>1092 København K</w:t>
      </w:r>
    </w:p>
    <w:p w14:paraId="5C363991" w14:textId="77777777" w:rsidR="00B413DA" w:rsidRPr="008E13E6" w:rsidRDefault="00B413DA" w:rsidP="00B413DA">
      <w:pPr>
        <w:pStyle w:val="Default"/>
        <w:spacing w:after="120"/>
        <w:rPr>
          <w:color w:val="auto"/>
          <w:sz w:val="20"/>
          <w:szCs w:val="22"/>
        </w:rPr>
      </w:pPr>
      <w:bookmarkStart w:id="302" w:name="_Ref359589069"/>
      <w:bookmarkStart w:id="303" w:name="_Ref359589073"/>
      <w:bookmarkStart w:id="304" w:name="_Toc395703428"/>
      <w:bookmarkStart w:id="305" w:name="_Ref413753426"/>
      <w:bookmarkStart w:id="306" w:name="_Ref413753428"/>
      <w:bookmarkStart w:id="307" w:name="_Ref413753589"/>
      <w:bookmarkStart w:id="308" w:name="_Ref413753592"/>
      <w:bookmarkStart w:id="309" w:name="_Ref413937344"/>
      <w:bookmarkStart w:id="310" w:name="_Ref413937346"/>
      <w:bookmarkStart w:id="311" w:name="_Toc414000053"/>
      <w:r w:rsidRPr="008E13E6">
        <w:rPr>
          <w:color w:val="auto"/>
          <w:sz w:val="20"/>
          <w:szCs w:val="22"/>
        </w:rPr>
        <w:t xml:space="preserve">Selskabet er registreret i Det Centrale Virksomhedsregister under CVR-nr. 61 12 62 28. </w:t>
      </w:r>
    </w:p>
    <w:p w14:paraId="274B622B" w14:textId="77777777" w:rsidR="00B413DA" w:rsidRPr="008E13E6" w:rsidRDefault="00B413DA" w:rsidP="00B413DA">
      <w:pPr>
        <w:pStyle w:val="Default"/>
        <w:spacing w:after="120"/>
        <w:rPr>
          <w:color w:val="auto"/>
          <w:sz w:val="20"/>
          <w:szCs w:val="22"/>
        </w:rPr>
      </w:pPr>
      <w:r w:rsidRPr="008E13E6">
        <w:rPr>
          <w:color w:val="auto"/>
          <w:sz w:val="20"/>
          <w:szCs w:val="22"/>
        </w:rPr>
        <w:t xml:space="preserve">Foreningen har indgået aftale med Danske Bank A/S om, at banken som </w:t>
      </w:r>
      <w:r w:rsidRPr="008E13E6">
        <w:rPr>
          <w:i/>
          <w:iCs/>
          <w:color w:val="auto"/>
          <w:sz w:val="20"/>
          <w:szCs w:val="22"/>
        </w:rPr>
        <w:t xml:space="preserve">depotselskab </w:t>
      </w:r>
      <w:r w:rsidRPr="008E13E6">
        <w:rPr>
          <w:color w:val="auto"/>
          <w:sz w:val="20"/>
          <w:szCs w:val="22"/>
        </w:rPr>
        <w:t xml:space="preserve">forvalter og opbevarer værdipapirer og likvide midler for hver af foreningens afdelinger i overensstemmelse med lov om finansiel virksomhed samt Finanstilsynets bestemmelser og påtager sig de heri fastlagte kontrolopgaver og forpligtelser (depotselskabsopgaven). </w:t>
      </w:r>
    </w:p>
    <w:p w14:paraId="1201D414" w14:textId="77777777" w:rsidR="00B413DA" w:rsidRPr="008E13E6" w:rsidRDefault="00B413DA" w:rsidP="00B413DA">
      <w:pPr>
        <w:pStyle w:val="Default"/>
        <w:spacing w:after="120"/>
        <w:rPr>
          <w:color w:val="auto"/>
          <w:sz w:val="20"/>
          <w:szCs w:val="22"/>
        </w:rPr>
      </w:pPr>
      <w:r w:rsidRPr="008E13E6">
        <w:rPr>
          <w:color w:val="auto"/>
          <w:sz w:val="20"/>
          <w:szCs w:val="22"/>
        </w:rPr>
        <w:t xml:space="preserve">Endvidere varetager </w:t>
      </w:r>
      <w:r w:rsidR="00E423B4" w:rsidRPr="008E13E6">
        <w:rPr>
          <w:color w:val="auto"/>
          <w:sz w:val="20"/>
          <w:szCs w:val="22"/>
        </w:rPr>
        <w:t xml:space="preserve">banken </w:t>
      </w:r>
      <w:r w:rsidRPr="008E13E6">
        <w:rPr>
          <w:color w:val="auto"/>
          <w:sz w:val="20"/>
          <w:szCs w:val="22"/>
        </w:rPr>
        <w:t xml:space="preserve">opgaver i relation til </w:t>
      </w:r>
      <w:r w:rsidRPr="008E13E6">
        <w:rPr>
          <w:i/>
          <w:color w:val="auto"/>
          <w:sz w:val="20"/>
          <w:szCs w:val="22"/>
        </w:rPr>
        <w:t>udstedelse af andele</w:t>
      </w:r>
      <w:r w:rsidRPr="008E13E6">
        <w:rPr>
          <w:i/>
          <w:iCs/>
          <w:color w:val="auto"/>
          <w:sz w:val="20"/>
          <w:szCs w:val="22"/>
        </w:rPr>
        <w:t xml:space="preserve"> </w:t>
      </w:r>
      <w:r w:rsidRPr="008E13E6">
        <w:rPr>
          <w:iCs/>
          <w:color w:val="auto"/>
          <w:sz w:val="20"/>
          <w:szCs w:val="22"/>
        </w:rPr>
        <w:t xml:space="preserve">samt </w:t>
      </w:r>
      <w:r w:rsidRPr="008E13E6">
        <w:rPr>
          <w:i/>
          <w:iCs/>
          <w:color w:val="auto"/>
          <w:sz w:val="20"/>
          <w:szCs w:val="22"/>
        </w:rPr>
        <w:t xml:space="preserve">opbevaring af </w:t>
      </w:r>
      <w:r w:rsidR="00713837" w:rsidRPr="008E13E6">
        <w:rPr>
          <w:i/>
          <w:iCs/>
          <w:color w:val="auto"/>
          <w:sz w:val="20"/>
          <w:szCs w:val="22"/>
        </w:rPr>
        <w:t>investor</w:t>
      </w:r>
      <w:r w:rsidRPr="008E13E6">
        <w:rPr>
          <w:i/>
          <w:iCs/>
          <w:color w:val="auto"/>
          <w:sz w:val="20"/>
          <w:szCs w:val="22"/>
        </w:rPr>
        <w:t>ernes foreningsandele</w:t>
      </w:r>
      <w:r w:rsidRPr="008E13E6">
        <w:rPr>
          <w:color w:val="auto"/>
          <w:sz w:val="20"/>
          <w:szCs w:val="22"/>
        </w:rPr>
        <w:t>.</w:t>
      </w:r>
    </w:p>
    <w:p w14:paraId="6B31CF8A" w14:textId="49FAC93C" w:rsidR="00B413DA" w:rsidRPr="008E13E6" w:rsidRDefault="00B413DA" w:rsidP="00B413DA">
      <w:pPr>
        <w:pStyle w:val="Default"/>
        <w:spacing w:after="120"/>
        <w:rPr>
          <w:i/>
          <w:color w:val="auto"/>
          <w:sz w:val="20"/>
          <w:szCs w:val="22"/>
        </w:rPr>
      </w:pPr>
      <w:r w:rsidRPr="008E13E6">
        <w:rPr>
          <w:color w:val="auto"/>
          <w:sz w:val="20"/>
          <w:szCs w:val="22"/>
        </w:rPr>
        <w:t xml:space="preserve">Vederlaget til depotselskabet er indeholdt i </w:t>
      </w:r>
      <w:r w:rsidR="000A27CE" w:rsidRPr="008E13E6">
        <w:rPr>
          <w:color w:val="auto"/>
          <w:sz w:val="20"/>
          <w:szCs w:val="22"/>
        </w:rPr>
        <w:t>manag</w:t>
      </w:r>
      <w:r w:rsidR="00581EDB" w:rsidRPr="008E13E6">
        <w:rPr>
          <w:color w:val="auto"/>
          <w:sz w:val="20"/>
          <w:szCs w:val="22"/>
        </w:rPr>
        <w:t>e</w:t>
      </w:r>
      <w:r w:rsidR="000A27CE" w:rsidRPr="008E13E6">
        <w:rPr>
          <w:color w:val="auto"/>
          <w:sz w:val="20"/>
          <w:szCs w:val="22"/>
        </w:rPr>
        <w:t>ment</w:t>
      </w:r>
      <w:r w:rsidRPr="008E13E6">
        <w:rPr>
          <w:color w:val="auto"/>
          <w:sz w:val="20"/>
          <w:szCs w:val="22"/>
        </w:rPr>
        <w:t xml:space="preserve">honoraret til </w:t>
      </w:r>
      <w:r w:rsidR="00F93EFD" w:rsidRPr="008E13E6">
        <w:rPr>
          <w:color w:val="auto"/>
          <w:sz w:val="20"/>
          <w:szCs w:val="22"/>
        </w:rPr>
        <w:t>Fundmarket A/S</w:t>
      </w:r>
      <w:r w:rsidRPr="008E13E6">
        <w:rPr>
          <w:color w:val="auto"/>
          <w:sz w:val="20"/>
          <w:szCs w:val="22"/>
        </w:rPr>
        <w:t xml:space="preserve">, jf. punkt </w:t>
      </w:r>
      <w:r w:rsidR="00757287" w:rsidRPr="008E13E6">
        <w:rPr>
          <w:sz w:val="22"/>
        </w:rPr>
        <w:fldChar w:fldCharType="begin"/>
      </w:r>
      <w:r w:rsidR="00757287" w:rsidRPr="008E13E6">
        <w:rPr>
          <w:sz w:val="22"/>
        </w:rPr>
        <w:instrText xml:space="preserve"> REF _Ref413753548 \r \h  \* MERGEFORMAT </w:instrText>
      </w:r>
      <w:r w:rsidR="00757287" w:rsidRPr="008E13E6">
        <w:rPr>
          <w:sz w:val="22"/>
        </w:rPr>
      </w:r>
      <w:r w:rsidR="00757287" w:rsidRPr="008E13E6">
        <w:rPr>
          <w:sz w:val="22"/>
        </w:rPr>
        <w:fldChar w:fldCharType="separate"/>
      </w:r>
      <w:r w:rsidR="00195831" w:rsidRPr="00195831">
        <w:rPr>
          <w:i/>
          <w:color w:val="auto"/>
          <w:sz w:val="20"/>
          <w:szCs w:val="22"/>
        </w:rPr>
        <w:t>25</w:t>
      </w:r>
      <w:r w:rsidR="00757287" w:rsidRPr="008E13E6">
        <w:rPr>
          <w:sz w:val="22"/>
        </w:rPr>
        <w:fldChar w:fldCharType="end"/>
      </w:r>
      <w:r w:rsidRPr="008E13E6">
        <w:rPr>
          <w:i/>
          <w:color w:val="auto"/>
          <w:sz w:val="20"/>
          <w:szCs w:val="22"/>
        </w:rPr>
        <w:t xml:space="preserve">. </w:t>
      </w:r>
      <w:r w:rsidR="00757287" w:rsidRPr="008E13E6">
        <w:rPr>
          <w:sz w:val="22"/>
        </w:rPr>
        <w:fldChar w:fldCharType="begin"/>
      </w:r>
      <w:r w:rsidR="00757287" w:rsidRPr="008E13E6">
        <w:rPr>
          <w:sz w:val="22"/>
        </w:rPr>
        <w:instrText xml:space="preserve"> REF _Ref413753550 \h  \* MERGEFORMAT </w:instrText>
      </w:r>
      <w:r w:rsidR="00757287" w:rsidRPr="008E13E6">
        <w:rPr>
          <w:sz w:val="22"/>
        </w:rPr>
      </w:r>
      <w:r w:rsidR="00757287" w:rsidRPr="008E13E6">
        <w:rPr>
          <w:sz w:val="22"/>
        </w:rPr>
        <w:fldChar w:fldCharType="separate"/>
      </w:r>
      <w:r w:rsidR="00195831" w:rsidRPr="00195831">
        <w:rPr>
          <w:i/>
          <w:color w:val="auto"/>
          <w:sz w:val="20"/>
          <w:szCs w:val="22"/>
        </w:rPr>
        <w:t>Investeringsforvaltningsselskab</w:t>
      </w:r>
      <w:r w:rsidR="00757287" w:rsidRPr="008E13E6">
        <w:rPr>
          <w:sz w:val="22"/>
        </w:rPr>
        <w:fldChar w:fldCharType="end"/>
      </w:r>
      <w:r w:rsidRPr="008E13E6">
        <w:rPr>
          <w:color w:val="auto"/>
          <w:sz w:val="20"/>
          <w:szCs w:val="22"/>
        </w:rPr>
        <w:t xml:space="preserve">. Vederlaget består af et gebyr for depotselskabsopgaven baseret på arten af værdipapirer samt et gebyr for udstedelse og opbevaring af investorernes andele. Størrelsen af gebyret for disse opgaver fremgår af </w:t>
      </w:r>
      <w:r w:rsidRPr="008E13E6">
        <w:rPr>
          <w:i/>
          <w:color w:val="auto"/>
          <w:sz w:val="20"/>
          <w:szCs w:val="22"/>
        </w:rPr>
        <w:t>Bilag 3.</w:t>
      </w:r>
    </w:p>
    <w:p w14:paraId="70F3DDE3" w14:textId="77777777" w:rsidR="003E79F0" w:rsidRPr="008E13E6" w:rsidRDefault="006B015D" w:rsidP="00B413DA">
      <w:pPr>
        <w:pStyle w:val="Default"/>
        <w:spacing w:after="120"/>
        <w:rPr>
          <w:color w:val="auto"/>
          <w:sz w:val="20"/>
          <w:szCs w:val="22"/>
        </w:rPr>
      </w:pPr>
      <w:r w:rsidRPr="008E13E6">
        <w:rPr>
          <w:color w:val="auto"/>
          <w:sz w:val="20"/>
          <w:szCs w:val="22"/>
        </w:rPr>
        <w:t xml:space="preserve">Som godkendt depotselskab, skal Danske Bank </w:t>
      </w:r>
      <w:r w:rsidR="00802CF7" w:rsidRPr="008E13E6">
        <w:rPr>
          <w:color w:val="auto"/>
          <w:sz w:val="20"/>
          <w:szCs w:val="22"/>
        </w:rPr>
        <w:t xml:space="preserve">A/S </w:t>
      </w:r>
      <w:r w:rsidRPr="008E13E6">
        <w:rPr>
          <w:color w:val="auto"/>
          <w:sz w:val="20"/>
          <w:szCs w:val="22"/>
        </w:rPr>
        <w:t xml:space="preserve">handle udelukkende i foreningens interesse. </w:t>
      </w:r>
      <w:r w:rsidR="001720C2" w:rsidRPr="008E13E6">
        <w:rPr>
          <w:color w:val="auto"/>
          <w:sz w:val="20"/>
          <w:szCs w:val="22"/>
        </w:rPr>
        <w:t xml:space="preserve">Foreningens bestyrelse godkender alle </w:t>
      </w:r>
      <w:r w:rsidR="006A622F" w:rsidRPr="008E13E6">
        <w:rPr>
          <w:color w:val="auto"/>
          <w:sz w:val="20"/>
          <w:szCs w:val="22"/>
        </w:rPr>
        <w:t>aftale</w:t>
      </w:r>
      <w:r w:rsidR="001720C2" w:rsidRPr="008E13E6">
        <w:rPr>
          <w:color w:val="auto"/>
          <w:sz w:val="20"/>
          <w:szCs w:val="22"/>
        </w:rPr>
        <w:t>forhold m</w:t>
      </w:r>
      <w:r w:rsidR="006A622F" w:rsidRPr="008E13E6">
        <w:rPr>
          <w:color w:val="auto"/>
          <w:sz w:val="20"/>
          <w:szCs w:val="22"/>
        </w:rPr>
        <w:t>ed depotselskabet og er i den forbindelse opmærksom på eventuelle fremtidige inter</w:t>
      </w:r>
      <w:r w:rsidR="003C181B" w:rsidRPr="008E13E6">
        <w:rPr>
          <w:color w:val="auto"/>
          <w:sz w:val="20"/>
          <w:szCs w:val="22"/>
        </w:rPr>
        <w:t>e</w:t>
      </w:r>
      <w:r w:rsidR="006A622F" w:rsidRPr="008E13E6">
        <w:rPr>
          <w:color w:val="auto"/>
          <w:sz w:val="20"/>
          <w:szCs w:val="22"/>
        </w:rPr>
        <w:t xml:space="preserve">ssekonflikter. </w:t>
      </w:r>
      <w:r w:rsidR="001720C2" w:rsidRPr="008E13E6">
        <w:rPr>
          <w:color w:val="auto"/>
          <w:sz w:val="20"/>
          <w:szCs w:val="22"/>
        </w:rPr>
        <w:t xml:space="preserve"> </w:t>
      </w:r>
    </w:p>
    <w:p w14:paraId="569437F0" w14:textId="77777777" w:rsidR="00913667" w:rsidRPr="008E13E6" w:rsidRDefault="00913667" w:rsidP="00B413DA">
      <w:pPr>
        <w:pStyle w:val="Default"/>
        <w:spacing w:after="120"/>
        <w:rPr>
          <w:color w:val="auto"/>
          <w:sz w:val="20"/>
          <w:szCs w:val="22"/>
        </w:rPr>
      </w:pPr>
      <w:r w:rsidRPr="008E13E6">
        <w:rPr>
          <w:color w:val="auto"/>
          <w:sz w:val="20"/>
          <w:szCs w:val="22"/>
        </w:rPr>
        <w:t xml:space="preserve">Investorer kan altid på anmodning få </w:t>
      </w:r>
      <w:r w:rsidRPr="008E13E6">
        <w:rPr>
          <w:sz w:val="20"/>
          <w:szCs w:val="22"/>
        </w:rPr>
        <w:t>ajourførte oplysninger omkring interessekonflikter stillet til rådighed.</w:t>
      </w:r>
    </w:p>
    <w:p w14:paraId="0F32D060" w14:textId="77777777" w:rsidR="00B413DA" w:rsidRPr="008E13E6" w:rsidRDefault="00B413DA" w:rsidP="00B413DA">
      <w:pPr>
        <w:pStyle w:val="Default"/>
        <w:spacing w:after="120"/>
        <w:rPr>
          <w:color w:val="auto"/>
          <w:sz w:val="20"/>
          <w:szCs w:val="22"/>
        </w:rPr>
      </w:pPr>
      <w:bookmarkStart w:id="312" w:name="_Hlk523168333"/>
      <w:r w:rsidRPr="008E13E6">
        <w:rPr>
          <w:color w:val="auto"/>
          <w:sz w:val="20"/>
          <w:szCs w:val="22"/>
        </w:rPr>
        <w:t xml:space="preserve">Aftalen kan af foreningen opsiges med tre måneders varsel og af </w:t>
      </w:r>
      <w:r w:rsidR="00581EDB" w:rsidRPr="008E13E6">
        <w:rPr>
          <w:color w:val="auto"/>
          <w:sz w:val="20"/>
          <w:szCs w:val="22"/>
        </w:rPr>
        <w:t>Danske Bank</w:t>
      </w:r>
      <w:r w:rsidR="00802CF7" w:rsidRPr="008E13E6">
        <w:rPr>
          <w:color w:val="auto"/>
          <w:sz w:val="20"/>
          <w:szCs w:val="22"/>
        </w:rPr>
        <w:t xml:space="preserve"> A/S</w:t>
      </w:r>
      <w:r w:rsidRPr="008E13E6">
        <w:rPr>
          <w:color w:val="auto"/>
          <w:sz w:val="20"/>
          <w:szCs w:val="22"/>
        </w:rPr>
        <w:t xml:space="preserve"> med 12 måneders varsel til udgangen af en måned. </w:t>
      </w:r>
    </w:p>
    <w:p w14:paraId="2B70B2B7" w14:textId="77777777" w:rsidR="00E7047B" w:rsidRPr="008E13E6" w:rsidRDefault="00E7047B" w:rsidP="00C33F3E">
      <w:pPr>
        <w:pStyle w:val="Bo"/>
        <w:numPr>
          <w:ilvl w:val="0"/>
          <w:numId w:val="2"/>
        </w:numPr>
        <w:tabs>
          <w:tab w:val="clear" w:pos="502"/>
          <w:tab w:val="num" w:pos="284"/>
        </w:tabs>
        <w:spacing w:after="120"/>
        <w:ind w:left="142" w:hanging="142"/>
        <w:rPr>
          <w:i/>
          <w:sz w:val="20"/>
          <w:szCs w:val="22"/>
        </w:rPr>
      </w:pPr>
      <w:bookmarkStart w:id="313" w:name="_Toc9239927"/>
      <w:bookmarkEnd w:id="312"/>
      <w:proofErr w:type="spellStart"/>
      <w:r w:rsidRPr="008E13E6">
        <w:rPr>
          <w:i/>
          <w:sz w:val="20"/>
          <w:szCs w:val="22"/>
        </w:rPr>
        <w:t>Prisstillelse</w:t>
      </w:r>
      <w:bookmarkEnd w:id="313"/>
      <w:proofErr w:type="spellEnd"/>
    </w:p>
    <w:p w14:paraId="1D84E708" w14:textId="77777777" w:rsidR="00B413DA" w:rsidRPr="008E13E6" w:rsidRDefault="00142FD0" w:rsidP="00B413DA">
      <w:pPr>
        <w:pStyle w:val="Default"/>
        <w:spacing w:after="120"/>
        <w:rPr>
          <w:color w:val="auto"/>
          <w:sz w:val="20"/>
          <w:szCs w:val="22"/>
        </w:rPr>
      </w:pPr>
      <w:bookmarkStart w:id="314" w:name="_Hlk523325896"/>
      <w:r w:rsidRPr="008E13E6">
        <w:rPr>
          <w:color w:val="auto"/>
          <w:sz w:val="20"/>
          <w:szCs w:val="22"/>
        </w:rPr>
        <w:t>Vedrørende</w:t>
      </w:r>
      <w:r w:rsidRPr="008E13E6">
        <w:rPr>
          <w:rFonts w:eastAsia="Times New Roman"/>
          <w:color w:val="auto"/>
          <w:sz w:val="20"/>
          <w:szCs w:val="22"/>
        </w:rPr>
        <w:t xml:space="preserve"> </w:t>
      </w:r>
      <w:bookmarkEnd w:id="314"/>
      <w:r w:rsidR="00E423B4" w:rsidRPr="008E13E6">
        <w:rPr>
          <w:color w:val="auto"/>
          <w:sz w:val="20"/>
          <w:szCs w:val="22"/>
        </w:rPr>
        <w:t xml:space="preserve">andelsklassen har </w:t>
      </w:r>
      <w:r w:rsidR="00E7047B" w:rsidRPr="008E13E6">
        <w:rPr>
          <w:color w:val="auto"/>
          <w:sz w:val="20"/>
          <w:szCs w:val="22"/>
        </w:rPr>
        <w:t>f</w:t>
      </w:r>
      <w:r w:rsidR="00B413DA" w:rsidRPr="008E13E6">
        <w:rPr>
          <w:color w:val="auto"/>
          <w:sz w:val="20"/>
          <w:szCs w:val="22"/>
        </w:rPr>
        <w:t xml:space="preserve">oreningens investeringsforvaltningsselskab med </w:t>
      </w:r>
      <w:r w:rsidR="00E7047B" w:rsidRPr="008E13E6">
        <w:rPr>
          <w:color w:val="auto"/>
          <w:sz w:val="20"/>
          <w:szCs w:val="22"/>
        </w:rPr>
        <w:t>Jyske</w:t>
      </w:r>
      <w:r w:rsidR="00B413DA" w:rsidRPr="008E13E6">
        <w:rPr>
          <w:color w:val="auto"/>
          <w:sz w:val="20"/>
          <w:szCs w:val="22"/>
        </w:rPr>
        <w:t xml:space="preserve"> Bank A/S indgået aftale om, at banken løbende - med forbehold for særlige situationer - </w:t>
      </w:r>
      <w:r w:rsidR="00B413DA" w:rsidRPr="008E13E6">
        <w:rPr>
          <w:i/>
          <w:iCs/>
          <w:color w:val="auto"/>
          <w:sz w:val="20"/>
          <w:szCs w:val="22"/>
        </w:rPr>
        <w:t xml:space="preserve">stiller priser i </w:t>
      </w:r>
      <w:r w:rsidR="00C355CD" w:rsidRPr="008E13E6">
        <w:rPr>
          <w:i/>
          <w:iCs/>
          <w:color w:val="auto"/>
          <w:sz w:val="20"/>
          <w:szCs w:val="22"/>
        </w:rPr>
        <w:t xml:space="preserve">andelsklassens </w:t>
      </w:r>
      <w:r w:rsidR="00B413DA" w:rsidRPr="008E13E6">
        <w:rPr>
          <w:i/>
          <w:iCs/>
          <w:color w:val="auto"/>
          <w:sz w:val="20"/>
          <w:szCs w:val="22"/>
        </w:rPr>
        <w:t xml:space="preserve">foreningsandele </w:t>
      </w:r>
      <w:r w:rsidR="00B413DA" w:rsidRPr="008E13E6">
        <w:rPr>
          <w:color w:val="auto"/>
          <w:sz w:val="20"/>
          <w:szCs w:val="22"/>
        </w:rPr>
        <w:t xml:space="preserve">med det formål at fremme likviditeten ved handel med andelene. </w:t>
      </w:r>
      <w:proofErr w:type="spellStart"/>
      <w:r w:rsidR="00B413DA" w:rsidRPr="008E13E6">
        <w:rPr>
          <w:color w:val="auto"/>
          <w:sz w:val="20"/>
          <w:szCs w:val="22"/>
        </w:rPr>
        <w:t>Prisstillelsen</w:t>
      </w:r>
      <w:proofErr w:type="spellEnd"/>
      <w:r w:rsidR="00B413DA" w:rsidRPr="008E13E6">
        <w:rPr>
          <w:color w:val="auto"/>
          <w:sz w:val="20"/>
          <w:szCs w:val="22"/>
        </w:rPr>
        <w:t xml:space="preserve"> skal ske med såvel købs- som salgspriser og på baggrund af aktuelle emissions- og indløsningspriser. Vederlaget </w:t>
      </w:r>
      <w:r w:rsidR="000A59B6" w:rsidRPr="008E13E6">
        <w:rPr>
          <w:color w:val="auto"/>
          <w:sz w:val="20"/>
          <w:szCs w:val="22"/>
        </w:rPr>
        <w:t xml:space="preserve">for ydelsen </w:t>
      </w:r>
      <w:r w:rsidR="00B413DA" w:rsidRPr="008E13E6">
        <w:rPr>
          <w:color w:val="auto"/>
          <w:sz w:val="20"/>
          <w:szCs w:val="22"/>
        </w:rPr>
        <w:t xml:space="preserve">er </w:t>
      </w:r>
      <w:r w:rsidR="003446B0" w:rsidRPr="008E13E6">
        <w:rPr>
          <w:color w:val="auto"/>
          <w:sz w:val="20"/>
          <w:szCs w:val="22"/>
        </w:rPr>
        <w:t>for andelsklassen fastsat til 37.000 kr. pr. år.</w:t>
      </w:r>
    </w:p>
    <w:p w14:paraId="25B47CD1" w14:textId="77777777" w:rsidR="00B413DA" w:rsidRPr="008E13E6" w:rsidRDefault="00B413DA" w:rsidP="00B413DA">
      <w:pPr>
        <w:rPr>
          <w:sz w:val="20"/>
          <w:szCs w:val="22"/>
        </w:rPr>
      </w:pPr>
      <w:r w:rsidRPr="008E13E6">
        <w:rPr>
          <w:sz w:val="20"/>
          <w:szCs w:val="22"/>
        </w:rPr>
        <w:t xml:space="preserve">Aftalen kan af hver af parterne opsiges med </w:t>
      </w:r>
      <w:r w:rsidR="00FA1361" w:rsidRPr="008E13E6">
        <w:rPr>
          <w:sz w:val="20"/>
          <w:szCs w:val="22"/>
        </w:rPr>
        <w:t>tre</w:t>
      </w:r>
      <w:r w:rsidRPr="008E13E6">
        <w:rPr>
          <w:sz w:val="20"/>
          <w:szCs w:val="22"/>
        </w:rPr>
        <w:t xml:space="preserve"> måneders varsel. </w:t>
      </w:r>
    </w:p>
    <w:p w14:paraId="18252410"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315" w:name="_Ref414260003"/>
      <w:bookmarkStart w:id="316" w:name="_Ref414260006"/>
      <w:bookmarkStart w:id="317" w:name="_Ref414271693"/>
      <w:bookmarkStart w:id="318" w:name="_Ref414271695"/>
      <w:bookmarkStart w:id="319" w:name="_Ref523470625"/>
      <w:bookmarkStart w:id="320" w:name="_Toc9239928"/>
      <w:r w:rsidRPr="008E13E6">
        <w:rPr>
          <w:i/>
          <w:sz w:val="20"/>
          <w:szCs w:val="22"/>
        </w:rPr>
        <w:t>Formidl</w:t>
      </w:r>
      <w:bookmarkEnd w:id="302"/>
      <w:bookmarkEnd w:id="303"/>
      <w:bookmarkEnd w:id="304"/>
      <w:bookmarkEnd w:id="305"/>
      <w:bookmarkEnd w:id="306"/>
      <w:bookmarkEnd w:id="307"/>
      <w:bookmarkEnd w:id="308"/>
      <w:bookmarkEnd w:id="309"/>
      <w:bookmarkEnd w:id="310"/>
      <w:bookmarkEnd w:id="311"/>
      <w:bookmarkEnd w:id="315"/>
      <w:bookmarkEnd w:id="316"/>
      <w:bookmarkEnd w:id="317"/>
      <w:bookmarkEnd w:id="318"/>
      <w:r w:rsidR="00ED081B" w:rsidRPr="008E13E6">
        <w:rPr>
          <w:i/>
          <w:sz w:val="20"/>
          <w:szCs w:val="22"/>
        </w:rPr>
        <w:t>ing af andele</w:t>
      </w:r>
      <w:bookmarkEnd w:id="319"/>
      <w:bookmarkEnd w:id="320"/>
      <w:r w:rsidRPr="008E13E6">
        <w:rPr>
          <w:i/>
          <w:sz w:val="20"/>
          <w:szCs w:val="22"/>
        </w:rPr>
        <w:t xml:space="preserve"> </w:t>
      </w:r>
    </w:p>
    <w:p w14:paraId="63E52DE3" w14:textId="5F531483" w:rsidR="00271E67" w:rsidRPr="008E13E6" w:rsidRDefault="00C355CD" w:rsidP="0083439C">
      <w:pPr>
        <w:spacing w:after="120"/>
        <w:rPr>
          <w:rFonts w:eastAsiaTheme="minorEastAsia"/>
          <w:sz w:val="20"/>
          <w:szCs w:val="22"/>
        </w:rPr>
      </w:pPr>
      <w:r w:rsidRPr="008E13E6">
        <w:rPr>
          <w:rFonts w:eastAsiaTheme="minorEastAsia"/>
          <w:sz w:val="20"/>
          <w:szCs w:val="22"/>
        </w:rPr>
        <w:t>F</w:t>
      </w:r>
      <w:r w:rsidR="0083439C" w:rsidRPr="008E13E6">
        <w:rPr>
          <w:rFonts w:eastAsiaTheme="minorEastAsia"/>
          <w:sz w:val="20"/>
          <w:szCs w:val="22"/>
        </w:rPr>
        <w:t xml:space="preserve">oreningens investeringsforvaltningsselskab </w:t>
      </w:r>
      <w:r w:rsidR="00EF4A34">
        <w:rPr>
          <w:rFonts w:eastAsiaTheme="minorEastAsia"/>
          <w:sz w:val="20"/>
          <w:szCs w:val="22"/>
        </w:rPr>
        <w:t>har</w:t>
      </w:r>
      <w:r w:rsidR="006A7EDF" w:rsidRPr="008E13E6">
        <w:rPr>
          <w:rFonts w:eastAsiaTheme="minorEastAsia"/>
          <w:sz w:val="20"/>
          <w:szCs w:val="22"/>
        </w:rPr>
        <w:t xml:space="preserve"> </w:t>
      </w:r>
      <w:r w:rsidR="00ED081B" w:rsidRPr="008E13E6">
        <w:rPr>
          <w:rFonts w:eastAsiaTheme="minorEastAsia"/>
          <w:sz w:val="20"/>
          <w:szCs w:val="22"/>
        </w:rPr>
        <w:t>indgå</w:t>
      </w:r>
      <w:r w:rsidR="00EF4A34">
        <w:rPr>
          <w:rFonts w:eastAsiaTheme="minorEastAsia"/>
          <w:sz w:val="20"/>
          <w:szCs w:val="22"/>
        </w:rPr>
        <w:t>et</w:t>
      </w:r>
      <w:r w:rsidR="00ED081B" w:rsidRPr="008E13E6">
        <w:rPr>
          <w:rFonts w:eastAsiaTheme="minorEastAsia"/>
          <w:sz w:val="20"/>
          <w:szCs w:val="22"/>
        </w:rPr>
        <w:t xml:space="preserve"> aftaler med distributører, der</w:t>
      </w:r>
      <w:r w:rsidR="0083439C" w:rsidRPr="008E13E6">
        <w:rPr>
          <w:rFonts w:eastAsiaTheme="minorEastAsia"/>
          <w:sz w:val="20"/>
          <w:szCs w:val="22"/>
        </w:rPr>
        <w:t xml:space="preserve"> til enhver tid med udgangspunkt i kundernes behov </w:t>
      </w:r>
      <w:r w:rsidR="0083439C" w:rsidRPr="008E13E6">
        <w:rPr>
          <w:rFonts w:eastAsiaTheme="minorEastAsia"/>
          <w:i/>
          <w:sz w:val="20"/>
          <w:szCs w:val="22"/>
        </w:rPr>
        <w:t>formidler salg</w:t>
      </w:r>
      <w:r w:rsidR="0083439C" w:rsidRPr="008E13E6">
        <w:rPr>
          <w:rFonts w:eastAsiaTheme="minorEastAsia"/>
          <w:sz w:val="20"/>
          <w:szCs w:val="22"/>
        </w:rPr>
        <w:t xml:space="preserve"> af foreningsandele i foreningens afdelinger/klasser. </w:t>
      </w:r>
      <w:r w:rsidR="00ED081B" w:rsidRPr="008E13E6">
        <w:rPr>
          <w:rFonts w:eastAsiaTheme="minorEastAsia"/>
          <w:sz w:val="20"/>
          <w:szCs w:val="22"/>
        </w:rPr>
        <w:t>Den enkelte distributør</w:t>
      </w:r>
      <w:r w:rsidR="0083439C" w:rsidRPr="008E13E6">
        <w:rPr>
          <w:rFonts w:eastAsiaTheme="minorEastAsia"/>
          <w:sz w:val="20"/>
          <w:szCs w:val="22"/>
        </w:rPr>
        <w:t xml:space="preserve"> fastlægger selv sine markedsføringstiltag med henblik på at fremme salg af foreningens foreningsandele, og foreningen kan sideløbende med </w:t>
      </w:r>
      <w:r w:rsidR="00ED081B" w:rsidRPr="008E13E6">
        <w:rPr>
          <w:rFonts w:eastAsiaTheme="minorEastAsia"/>
          <w:sz w:val="20"/>
          <w:szCs w:val="22"/>
        </w:rPr>
        <w:t>distributøren</w:t>
      </w:r>
      <w:r w:rsidR="0083439C" w:rsidRPr="008E13E6">
        <w:rPr>
          <w:rFonts w:eastAsiaTheme="minorEastAsia"/>
          <w:sz w:val="20"/>
          <w:szCs w:val="22"/>
        </w:rPr>
        <w:t xml:space="preserve"> iværksætte egen markedsføring af foreningsandele.</w:t>
      </w:r>
      <w:r w:rsidR="00EB389A" w:rsidRPr="008E13E6">
        <w:rPr>
          <w:sz w:val="20"/>
          <w:szCs w:val="22"/>
        </w:rPr>
        <w:t xml:space="preserve"> </w:t>
      </w:r>
      <w:r w:rsidR="0083439C" w:rsidRPr="008E13E6">
        <w:rPr>
          <w:rFonts w:eastAsiaTheme="minorEastAsia"/>
          <w:sz w:val="20"/>
          <w:szCs w:val="22"/>
        </w:rPr>
        <w:t xml:space="preserve"> </w:t>
      </w:r>
    </w:p>
    <w:p w14:paraId="6A1E4085" w14:textId="77777777" w:rsidR="0025531C" w:rsidRPr="008E13E6" w:rsidRDefault="0025531C" w:rsidP="0083439C">
      <w:pPr>
        <w:spacing w:after="120"/>
        <w:rPr>
          <w:rFonts w:eastAsiaTheme="minorEastAsia"/>
          <w:sz w:val="20"/>
          <w:szCs w:val="22"/>
        </w:rPr>
      </w:pPr>
      <w:r w:rsidRPr="008E13E6">
        <w:rPr>
          <w:rFonts w:eastAsiaTheme="minorEastAsia"/>
          <w:sz w:val="20"/>
          <w:szCs w:val="22"/>
        </w:rPr>
        <w:t xml:space="preserve">Honorar for formidling af salg fremgår af </w:t>
      </w:r>
      <w:r w:rsidRPr="008E13E6">
        <w:rPr>
          <w:rFonts w:eastAsiaTheme="minorEastAsia"/>
          <w:i/>
          <w:sz w:val="20"/>
          <w:szCs w:val="22"/>
        </w:rPr>
        <w:t>Bilag 3</w:t>
      </w:r>
      <w:r w:rsidRPr="008E13E6">
        <w:rPr>
          <w:rFonts w:eastAsiaTheme="minorEastAsia"/>
          <w:sz w:val="20"/>
          <w:szCs w:val="22"/>
        </w:rPr>
        <w:t>.</w:t>
      </w:r>
    </w:p>
    <w:p w14:paraId="246DAFD8" w14:textId="01A82990" w:rsidR="00EF4A34" w:rsidRPr="008E13E6" w:rsidRDefault="00EF4A34" w:rsidP="00DE7EFA">
      <w:pPr>
        <w:spacing w:after="120"/>
        <w:rPr>
          <w:rFonts w:eastAsiaTheme="minorEastAsia"/>
          <w:sz w:val="20"/>
          <w:szCs w:val="22"/>
        </w:rPr>
      </w:pPr>
      <w:r w:rsidRPr="008E13E6">
        <w:rPr>
          <w:sz w:val="20"/>
          <w:szCs w:val="22"/>
        </w:rPr>
        <w:t>Aftale</w:t>
      </w:r>
      <w:r>
        <w:rPr>
          <w:sz w:val="20"/>
          <w:szCs w:val="22"/>
        </w:rPr>
        <w:t>r</w:t>
      </w:r>
      <w:r w:rsidRPr="008E13E6">
        <w:rPr>
          <w:sz w:val="20"/>
          <w:szCs w:val="22"/>
        </w:rPr>
        <w:t xml:space="preserve"> med </w:t>
      </w:r>
      <w:r>
        <w:rPr>
          <w:sz w:val="20"/>
          <w:szCs w:val="22"/>
        </w:rPr>
        <w:t>distributører</w:t>
      </w:r>
      <w:r w:rsidRPr="008E13E6">
        <w:rPr>
          <w:sz w:val="20"/>
          <w:szCs w:val="22"/>
        </w:rPr>
        <w:t xml:space="preserve"> kan af </w:t>
      </w:r>
      <w:r>
        <w:rPr>
          <w:sz w:val="20"/>
          <w:szCs w:val="22"/>
        </w:rPr>
        <w:t xml:space="preserve">investeringsforvaltningsselskabet og </w:t>
      </w:r>
      <w:proofErr w:type="spellStart"/>
      <w:r>
        <w:rPr>
          <w:sz w:val="20"/>
          <w:szCs w:val="22"/>
        </w:rPr>
        <w:t>dirstributører</w:t>
      </w:r>
      <w:proofErr w:type="spellEnd"/>
      <w:r w:rsidRPr="008E13E6">
        <w:rPr>
          <w:sz w:val="20"/>
          <w:szCs w:val="22"/>
        </w:rPr>
        <w:t xml:space="preserve"> opsiges med tre måneders varsel til udgangen af </w:t>
      </w:r>
      <w:r>
        <w:rPr>
          <w:sz w:val="20"/>
          <w:szCs w:val="22"/>
        </w:rPr>
        <w:t>en måned</w:t>
      </w:r>
      <w:r w:rsidRPr="008E13E6">
        <w:rPr>
          <w:sz w:val="20"/>
          <w:szCs w:val="22"/>
        </w:rPr>
        <w:t>.</w:t>
      </w:r>
    </w:p>
    <w:p w14:paraId="3B696FAB"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321" w:name="_Ref414008174"/>
      <w:bookmarkStart w:id="322" w:name="_Ref414008178"/>
      <w:bookmarkStart w:id="323" w:name="_Ref523470687"/>
      <w:bookmarkStart w:id="324" w:name="_Toc9239929"/>
      <w:r w:rsidRPr="008E13E6">
        <w:rPr>
          <w:i/>
          <w:sz w:val="20"/>
          <w:szCs w:val="22"/>
        </w:rPr>
        <w:t>Portefølje</w:t>
      </w:r>
      <w:bookmarkEnd w:id="321"/>
      <w:bookmarkEnd w:id="322"/>
      <w:r w:rsidR="00C355CD" w:rsidRPr="008E13E6">
        <w:rPr>
          <w:i/>
          <w:sz w:val="20"/>
          <w:szCs w:val="22"/>
        </w:rPr>
        <w:t>forvalter</w:t>
      </w:r>
      <w:bookmarkEnd w:id="323"/>
      <w:bookmarkEnd w:id="324"/>
      <w:r w:rsidRPr="008E13E6">
        <w:rPr>
          <w:i/>
          <w:sz w:val="20"/>
          <w:szCs w:val="22"/>
        </w:rPr>
        <w:t xml:space="preserve"> </w:t>
      </w:r>
    </w:p>
    <w:tbl>
      <w:tblPr>
        <w:tblW w:w="0" w:type="auto"/>
        <w:tblLook w:val="01E0" w:firstRow="1" w:lastRow="1" w:firstColumn="1" w:lastColumn="1" w:noHBand="0" w:noVBand="0"/>
      </w:tblPr>
      <w:tblGrid>
        <w:gridCol w:w="5103"/>
      </w:tblGrid>
      <w:tr w:rsidR="004E7B4B" w:rsidRPr="008E13E6" w14:paraId="7B4751C3" w14:textId="77777777" w:rsidTr="004A5978">
        <w:tc>
          <w:tcPr>
            <w:tcW w:w="5103" w:type="dxa"/>
          </w:tcPr>
          <w:p w14:paraId="56EDC910" w14:textId="77777777" w:rsidR="004E7B4B" w:rsidRPr="008E13E6" w:rsidRDefault="00C355CD" w:rsidP="008B635A">
            <w:pPr>
              <w:keepNext/>
              <w:keepLines/>
              <w:ind w:left="-111"/>
              <w:rPr>
                <w:spacing w:val="-3"/>
                <w:sz w:val="20"/>
                <w:szCs w:val="22"/>
                <w:lang w:val="en-GB"/>
              </w:rPr>
            </w:pPr>
            <w:r w:rsidRPr="008E13E6">
              <w:rPr>
                <w:spacing w:val="-3"/>
                <w:sz w:val="20"/>
                <w:szCs w:val="22"/>
                <w:lang w:val="en-GB"/>
              </w:rPr>
              <w:t xml:space="preserve">PP Capital Asset Management </w:t>
            </w:r>
            <w:proofErr w:type="spellStart"/>
            <w:r w:rsidR="004B5341" w:rsidRPr="008E13E6">
              <w:rPr>
                <w:spacing w:val="-3"/>
                <w:sz w:val="20"/>
                <w:szCs w:val="22"/>
                <w:lang w:val="en-GB"/>
              </w:rPr>
              <w:t>F</w:t>
            </w:r>
            <w:r w:rsidR="007E6FAB" w:rsidRPr="008E13E6">
              <w:rPr>
                <w:spacing w:val="-3"/>
                <w:sz w:val="20"/>
                <w:szCs w:val="22"/>
                <w:lang w:val="en-GB"/>
              </w:rPr>
              <w:t>ondsmæglerselskab</w:t>
            </w:r>
            <w:proofErr w:type="spellEnd"/>
            <w:r w:rsidR="007E6FAB" w:rsidRPr="008E13E6">
              <w:rPr>
                <w:spacing w:val="-3"/>
                <w:sz w:val="20"/>
                <w:szCs w:val="22"/>
                <w:lang w:val="en-GB"/>
              </w:rPr>
              <w:t xml:space="preserve"> </w:t>
            </w:r>
            <w:r w:rsidR="00DD236E" w:rsidRPr="008E13E6">
              <w:rPr>
                <w:sz w:val="20"/>
                <w:szCs w:val="22"/>
                <w:lang w:val="en-GB"/>
              </w:rPr>
              <w:t>A/S</w:t>
            </w:r>
          </w:p>
        </w:tc>
      </w:tr>
      <w:tr w:rsidR="004E7B4B" w:rsidRPr="008E13E6" w14:paraId="1C3421F0" w14:textId="77777777" w:rsidTr="004A5978">
        <w:tc>
          <w:tcPr>
            <w:tcW w:w="5103" w:type="dxa"/>
          </w:tcPr>
          <w:p w14:paraId="7A1895B4" w14:textId="77777777" w:rsidR="004E7B4B" w:rsidRPr="008E13E6" w:rsidRDefault="00C355CD" w:rsidP="008B635A">
            <w:pPr>
              <w:keepNext/>
              <w:ind w:left="-111"/>
              <w:rPr>
                <w:spacing w:val="-3"/>
                <w:sz w:val="20"/>
                <w:szCs w:val="22"/>
              </w:rPr>
            </w:pPr>
            <w:r w:rsidRPr="008E13E6">
              <w:rPr>
                <w:spacing w:val="-3"/>
                <w:sz w:val="20"/>
                <w:szCs w:val="22"/>
              </w:rPr>
              <w:t>Toldbodgade 31</w:t>
            </w:r>
            <w:r w:rsidRPr="008E13E6">
              <w:rPr>
                <w:spacing w:val="-3"/>
                <w:sz w:val="20"/>
                <w:szCs w:val="22"/>
              </w:rPr>
              <w:br/>
              <w:t>1253 København K</w:t>
            </w:r>
            <w:r w:rsidRPr="008E13E6">
              <w:rPr>
                <w:spacing w:val="-3"/>
                <w:sz w:val="20"/>
                <w:szCs w:val="22"/>
              </w:rPr>
              <w:br/>
              <w:t>CVR-nr.: 35 41 57 85</w:t>
            </w:r>
          </w:p>
        </w:tc>
      </w:tr>
    </w:tbl>
    <w:p w14:paraId="78BF0F5F" w14:textId="77777777" w:rsidR="0083439C" w:rsidRPr="008E13E6" w:rsidRDefault="0083439C" w:rsidP="000172AC">
      <w:pPr>
        <w:spacing w:before="240" w:after="120"/>
        <w:rPr>
          <w:sz w:val="20"/>
          <w:szCs w:val="22"/>
        </w:rPr>
      </w:pPr>
      <w:bookmarkStart w:id="325" w:name="_Toc170718099"/>
      <w:bookmarkStart w:id="326" w:name="_Toc171395871"/>
      <w:r w:rsidRPr="008E13E6">
        <w:rPr>
          <w:sz w:val="20"/>
          <w:szCs w:val="22"/>
        </w:rPr>
        <w:t xml:space="preserve">Foreningens investeringsforvaltningsselskab har indgået aftale med </w:t>
      </w:r>
      <w:r w:rsidR="0005617A" w:rsidRPr="008E13E6">
        <w:rPr>
          <w:sz w:val="20"/>
          <w:szCs w:val="22"/>
        </w:rPr>
        <w:t>PP Capita</w:t>
      </w:r>
      <w:r w:rsidR="00C355CD" w:rsidRPr="008E13E6">
        <w:rPr>
          <w:sz w:val="20"/>
          <w:szCs w:val="22"/>
        </w:rPr>
        <w:t>l Asset Management</w:t>
      </w:r>
      <w:r w:rsidRPr="008E13E6">
        <w:rPr>
          <w:sz w:val="20"/>
          <w:szCs w:val="22"/>
        </w:rPr>
        <w:t xml:space="preserve"> </w:t>
      </w:r>
      <w:r w:rsidR="004B5341" w:rsidRPr="008E13E6">
        <w:rPr>
          <w:spacing w:val="-3"/>
          <w:sz w:val="20"/>
          <w:szCs w:val="22"/>
        </w:rPr>
        <w:t>Fondsmæglerselskab</w:t>
      </w:r>
      <w:r w:rsidR="004B5341" w:rsidRPr="008E13E6">
        <w:rPr>
          <w:sz w:val="20"/>
          <w:szCs w:val="22"/>
        </w:rPr>
        <w:t xml:space="preserve"> </w:t>
      </w:r>
      <w:r w:rsidR="002A5004" w:rsidRPr="008E13E6">
        <w:rPr>
          <w:sz w:val="20"/>
          <w:szCs w:val="22"/>
        </w:rPr>
        <w:t xml:space="preserve">A/S </w:t>
      </w:r>
      <w:r w:rsidRPr="008E13E6">
        <w:rPr>
          <w:sz w:val="20"/>
          <w:szCs w:val="22"/>
        </w:rPr>
        <w:t>om ydelse af porte</w:t>
      </w:r>
      <w:r w:rsidR="00C355CD" w:rsidRPr="008E13E6">
        <w:rPr>
          <w:sz w:val="20"/>
          <w:szCs w:val="22"/>
        </w:rPr>
        <w:t>følje</w:t>
      </w:r>
      <w:r w:rsidR="001D39B3" w:rsidRPr="008E13E6">
        <w:rPr>
          <w:sz w:val="20"/>
          <w:szCs w:val="22"/>
        </w:rPr>
        <w:t>forvaltning</w:t>
      </w:r>
      <w:r w:rsidRPr="008E13E6">
        <w:rPr>
          <w:sz w:val="20"/>
          <w:szCs w:val="22"/>
        </w:rPr>
        <w:t xml:space="preserve"> for afdelingen. </w:t>
      </w:r>
      <w:r w:rsidR="001D39B3" w:rsidRPr="008E13E6">
        <w:rPr>
          <w:sz w:val="20"/>
          <w:szCs w:val="22"/>
        </w:rPr>
        <w:t>PP</w:t>
      </w:r>
      <w:r w:rsidRPr="008E13E6">
        <w:rPr>
          <w:sz w:val="20"/>
          <w:szCs w:val="22"/>
        </w:rPr>
        <w:t xml:space="preserve"> Capital</w:t>
      </w:r>
      <w:r w:rsidR="00C355CD" w:rsidRPr="008E13E6">
        <w:rPr>
          <w:sz w:val="20"/>
          <w:szCs w:val="22"/>
        </w:rPr>
        <w:t xml:space="preserve"> Asset Management</w:t>
      </w:r>
      <w:r w:rsidR="00DD236E" w:rsidRPr="008E13E6">
        <w:rPr>
          <w:sz w:val="20"/>
          <w:szCs w:val="22"/>
        </w:rPr>
        <w:t xml:space="preserve"> </w:t>
      </w:r>
      <w:r w:rsidR="004B5341" w:rsidRPr="008E13E6">
        <w:rPr>
          <w:spacing w:val="-3"/>
          <w:sz w:val="20"/>
          <w:szCs w:val="22"/>
        </w:rPr>
        <w:t>Fondsmæglerselskab</w:t>
      </w:r>
      <w:r w:rsidR="004B5341" w:rsidRPr="008E13E6">
        <w:rPr>
          <w:sz w:val="20"/>
          <w:szCs w:val="22"/>
        </w:rPr>
        <w:t xml:space="preserve"> </w:t>
      </w:r>
      <w:r w:rsidR="00DD236E" w:rsidRPr="008E13E6">
        <w:rPr>
          <w:sz w:val="20"/>
          <w:szCs w:val="22"/>
        </w:rPr>
        <w:t>A/S’</w:t>
      </w:r>
      <w:r w:rsidRPr="008E13E6">
        <w:rPr>
          <w:sz w:val="20"/>
          <w:szCs w:val="22"/>
        </w:rPr>
        <w:t xml:space="preserve"> hovedvirksomhed er kapitalforvaltning. </w:t>
      </w:r>
    </w:p>
    <w:p w14:paraId="54BD9E54" w14:textId="77777777" w:rsidR="0083439C" w:rsidRPr="008E13E6" w:rsidRDefault="00CD75F4" w:rsidP="0083439C">
      <w:pPr>
        <w:spacing w:after="120"/>
        <w:rPr>
          <w:sz w:val="20"/>
          <w:szCs w:val="22"/>
        </w:rPr>
      </w:pPr>
      <w:r w:rsidRPr="008E13E6">
        <w:rPr>
          <w:sz w:val="20"/>
          <w:szCs w:val="22"/>
        </w:rPr>
        <w:t xml:space="preserve">Aftalen indebærer at PP Capital Asset Management </w:t>
      </w:r>
      <w:r w:rsidR="004B5341" w:rsidRPr="008E13E6">
        <w:rPr>
          <w:spacing w:val="-3"/>
          <w:sz w:val="20"/>
          <w:szCs w:val="22"/>
        </w:rPr>
        <w:t>Fondsmæglerselskab</w:t>
      </w:r>
      <w:r w:rsidR="004B5341" w:rsidRPr="008E13E6">
        <w:rPr>
          <w:sz w:val="20"/>
          <w:szCs w:val="22"/>
        </w:rPr>
        <w:t xml:space="preserve"> </w:t>
      </w:r>
      <w:r w:rsidR="00DD236E" w:rsidRPr="008E13E6">
        <w:rPr>
          <w:sz w:val="20"/>
          <w:szCs w:val="22"/>
        </w:rPr>
        <w:t xml:space="preserve">A/S </w:t>
      </w:r>
      <w:r w:rsidR="0083439C" w:rsidRPr="008E13E6">
        <w:rPr>
          <w:sz w:val="20"/>
          <w:szCs w:val="22"/>
        </w:rPr>
        <w:t>yder portefølje</w:t>
      </w:r>
      <w:r w:rsidR="00E87D5C" w:rsidRPr="008E13E6">
        <w:rPr>
          <w:sz w:val="20"/>
          <w:szCs w:val="22"/>
        </w:rPr>
        <w:t>forvaltning</w:t>
      </w:r>
      <w:r w:rsidR="0083439C" w:rsidRPr="008E13E6">
        <w:rPr>
          <w:sz w:val="20"/>
          <w:szCs w:val="22"/>
        </w:rPr>
        <w:t xml:space="preserve"> til </w:t>
      </w:r>
      <w:r w:rsidR="00F93EFD" w:rsidRPr="008E13E6">
        <w:rPr>
          <w:sz w:val="20"/>
          <w:szCs w:val="22"/>
        </w:rPr>
        <w:t>Fundmarket A/S</w:t>
      </w:r>
      <w:r w:rsidR="0083439C" w:rsidRPr="008E13E6">
        <w:rPr>
          <w:sz w:val="20"/>
          <w:szCs w:val="22"/>
        </w:rPr>
        <w:t xml:space="preserve"> </w:t>
      </w:r>
      <w:r w:rsidR="00E87D5C" w:rsidRPr="008E13E6">
        <w:rPr>
          <w:sz w:val="20"/>
          <w:szCs w:val="22"/>
        </w:rPr>
        <w:t>og gennemfører</w:t>
      </w:r>
      <w:r w:rsidR="0083439C" w:rsidRPr="008E13E6">
        <w:rPr>
          <w:sz w:val="20"/>
          <w:szCs w:val="22"/>
        </w:rPr>
        <w:t xml:space="preserve"> transaktioner, som </w:t>
      </w:r>
      <w:proofErr w:type="spellStart"/>
      <w:r w:rsidR="00E87D5C" w:rsidRPr="008E13E6">
        <w:rPr>
          <w:sz w:val="20"/>
          <w:szCs w:val="22"/>
        </w:rPr>
        <w:t>PortfolioManager</w:t>
      </w:r>
      <w:proofErr w:type="spellEnd"/>
      <w:r w:rsidR="0083439C" w:rsidRPr="008E13E6">
        <w:rPr>
          <w:sz w:val="20"/>
          <w:szCs w:val="22"/>
        </w:rPr>
        <w:t xml:space="preserve"> anser for fordelagtige som led i porteføljestyringen. </w:t>
      </w:r>
      <w:r w:rsidR="0083439C" w:rsidRPr="008E13E6">
        <w:rPr>
          <w:sz w:val="20"/>
          <w:szCs w:val="22"/>
        </w:rPr>
        <w:lastRenderedPageBreak/>
        <w:t xml:space="preserve">Der skal tilstræbes højst muligt afkast med samtidig hensyntagen til fornøden risikospredning. </w:t>
      </w:r>
      <w:r w:rsidR="00E87D5C" w:rsidRPr="008E13E6">
        <w:rPr>
          <w:sz w:val="20"/>
          <w:szCs w:val="22"/>
        </w:rPr>
        <w:t>Forvaltningen</w:t>
      </w:r>
      <w:r w:rsidR="0083439C" w:rsidRPr="008E13E6">
        <w:rPr>
          <w:sz w:val="20"/>
          <w:szCs w:val="22"/>
        </w:rPr>
        <w:t xml:space="preserve"> skal ske i overensstemmelse med de retningslinjer, som foreningens bestyrelse har fastlagt. </w:t>
      </w:r>
    </w:p>
    <w:p w14:paraId="096FEF3C" w14:textId="77777777" w:rsidR="00701E02" w:rsidRPr="008E13E6" w:rsidRDefault="00701E02" w:rsidP="0083439C">
      <w:pPr>
        <w:spacing w:after="120"/>
        <w:rPr>
          <w:sz w:val="20"/>
          <w:szCs w:val="22"/>
        </w:rPr>
      </w:pPr>
      <w:r w:rsidRPr="008E13E6">
        <w:rPr>
          <w:sz w:val="20"/>
          <w:szCs w:val="22"/>
        </w:rPr>
        <w:t xml:space="preserve">PP Capital Asset Management </w:t>
      </w:r>
      <w:r w:rsidRPr="008E13E6">
        <w:rPr>
          <w:spacing w:val="-3"/>
          <w:sz w:val="20"/>
          <w:szCs w:val="22"/>
        </w:rPr>
        <w:t>Fondsmæglerselskab</w:t>
      </w:r>
      <w:r w:rsidRPr="008E13E6">
        <w:rPr>
          <w:sz w:val="20"/>
          <w:szCs w:val="22"/>
        </w:rPr>
        <w:t xml:space="preserve"> A/S er ikke koncernforbundet med hverken foreningens depotselskab Danske Bank A/S eller </w:t>
      </w:r>
      <w:r w:rsidR="001C34AB" w:rsidRPr="008E13E6">
        <w:rPr>
          <w:sz w:val="20"/>
          <w:szCs w:val="22"/>
        </w:rPr>
        <w:t>foreningens investeringsforvaltningsselskab Fundmarket A/S.</w:t>
      </w:r>
    </w:p>
    <w:p w14:paraId="263987CC" w14:textId="77777777" w:rsidR="0083439C" w:rsidRPr="008E13E6" w:rsidRDefault="0083439C" w:rsidP="0083439C">
      <w:pPr>
        <w:spacing w:after="120"/>
        <w:rPr>
          <w:sz w:val="20"/>
          <w:szCs w:val="22"/>
        </w:rPr>
      </w:pPr>
      <w:r w:rsidRPr="008E13E6">
        <w:rPr>
          <w:sz w:val="20"/>
          <w:szCs w:val="22"/>
        </w:rPr>
        <w:t xml:space="preserve">Gennemførelse af </w:t>
      </w:r>
      <w:r w:rsidR="00E87D5C" w:rsidRPr="008E13E6">
        <w:rPr>
          <w:sz w:val="20"/>
          <w:szCs w:val="22"/>
        </w:rPr>
        <w:t>handler</w:t>
      </w:r>
      <w:r w:rsidRPr="008E13E6">
        <w:rPr>
          <w:sz w:val="20"/>
          <w:szCs w:val="22"/>
        </w:rPr>
        <w:t xml:space="preserve"> sker til markedets nettopriser med tillæg/fradrag af den kurtage, som er gældende på det marked, hvor </w:t>
      </w:r>
      <w:r w:rsidR="00E87D5C" w:rsidRPr="008E13E6">
        <w:rPr>
          <w:sz w:val="20"/>
          <w:szCs w:val="22"/>
        </w:rPr>
        <w:t>PP Capital Asset Management</w:t>
      </w:r>
      <w:r w:rsidRPr="008E13E6">
        <w:rPr>
          <w:sz w:val="20"/>
          <w:szCs w:val="22"/>
        </w:rPr>
        <w:t xml:space="preserve"> </w:t>
      </w:r>
      <w:r w:rsidR="00167A0E" w:rsidRPr="008E13E6">
        <w:rPr>
          <w:spacing w:val="-3"/>
          <w:sz w:val="20"/>
          <w:szCs w:val="22"/>
        </w:rPr>
        <w:t>Fondsmæglerselskab</w:t>
      </w:r>
      <w:r w:rsidR="00167A0E" w:rsidRPr="008E13E6">
        <w:rPr>
          <w:sz w:val="20"/>
          <w:szCs w:val="22"/>
        </w:rPr>
        <w:t xml:space="preserve"> </w:t>
      </w:r>
      <w:r w:rsidR="00DD236E" w:rsidRPr="008E13E6">
        <w:rPr>
          <w:sz w:val="20"/>
          <w:szCs w:val="22"/>
        </w:rPr>
        <w:t xml:space="preserve">A/S </w:t>
      </w:r>
      <w:r w:rsidRPr="008E13E6">
        <w:rPr>
          <w:sz w:val="20"/>
          <w:szCs w:val="22"/>
        </w:rPr>
        <w:t xml:space="preserve">foretager handlerne gennem anerkendte fondsmæglere. Hertil kommer eventuelle skatter, udenlandske omkostninger, afviklingsgebyrer o.l. </w:t>
      </w:r>
    </w:p>
    <w:p w14:paraId="081B5D07" w14:textId="77777777" w:rsidR="0083439C" w:rsidRPr="008E13E6" w:rsidRDefault="0083439C" w:rsidP="0083439C">
      <w:pPr>
        <w:spacing w:after="120"/>
        <w:rPr>
          <w:sz w:val="20"/>
          <w:szCs w:val="22"/>
        </w:rPr>
      </w:pPr>
      <w:r w:rsidRPr="008E13E6">
        <w:rPr>
          <w:sz w:val="20"/>
          <w:szCs w:val="22"/>
        </w:rPr>
        <w:t xml:space="preserve">De forventede udgifter ved køb og salg af instrumenter fremgår af kolonnerne "kurtage og alle øvrige direkte handelsudgifter ved køb/salg af instrumenter" og "øvrige markedsafledte udgifter ved køb/salg af instrumenter" i </w:t>
      </w:r>
      <w:r w:rsidRPr="008E13E6">
        <w:rPr>
          <w:i/>
          <w:sz w:val="20"/>
          <w:szCs w:val="22"/>
        </w:rPr>
        <w:t xml:space="preserve">Bilag 1 </w:t>
      </w:r>
      <w:r w:rsidRPr="008E13E6">
        <w:rPr>
          <w:sz w:val="20"/>
          <w:szCs w:val="22"/>
        </w:rPr>
        <w:t xml:space="preserve">og </w:t>
      </w:r>
      <w:r w:rsidRPr="008E13E6">
        <w:rPr>
          <w:i/>
          <w:sz w:val="20"/>
          <w:szCs w:val="22"/>
        </w:rPr>
        <w:t>Bilag 2</w:t>
      </w:r>
      <w:r w:rsidRPr="008E13E6">
        <w:rPr>
          <w:sz w:val="20"/>
          <w:szCs w:val="22"/>
        </w:rPr>
        <w:t xml:space="preserve">. </w:t>
      </w:r>
    </w:p>
    <w:p w14:paraId="1CCC86B3" w14:textId="77777777" w:rsidR="00A079F1" w:rsidRPr="008E13E6" w:rsidRDefault="00A079F1" w:rsidP="006B2FDA">
      <w:pPr>
        <w:spacing w:after="120"/>
        <w:rPr>
          <w:sz w:val="20"/>
          <w:szCs w:val="22"/>
        </w:rPr>
      </w:pPr>
      <w:r w:rsidRPr="008E13E6">
        <w:rPr>
          <w:sz w:val="20"/>
          <w:szCs w:val="22"/>
        </w:rPr>
        <w:t xml:space="preserve">Honoraret for porteføljeforvaltning er anført i </w:t>
      </w:r>
      <w:r w:rsidRPr="008E13E6">
        <w:rPr>
          <w:i/>
          <w:sz w:val="20"/>
          <w:szCs w:val="22"/>
        </w:rPr>
        <w:t xml:space="preserve">Bilag </w:t>
      </w:r>
      <w:r w:rsidR="00D76BB2" w:rsidRPr="008E13E6">
        <w:rPr>
          <w:i/>
          <w:sz w:val="20"/>
          <w:szCs w:val="22"/>
        </w:rPr>
        <w:t>3</w:t>
      </w:r>
      <w:r w:rsidRPr="008E13E6">
        <w:rPr>
          <w:sz w:val="20"/>
          <w:szCs w:val="22"/>
        </w:rPr>
        <w:t>.</w:t>
      </w:r>
    </w:p>
    <w:p w14:paraId="6D583A7F" w14:textId="7FF98A1D" w:rsidR="009450C8" w:rsidRDefault="0083439C" w:rsidP="0027153D">
      <w:pPr>
        <w:spacing w:after="120"/>
        <w:rPr>
          <w:sz w:val="20"/>
          <w:szCs w:val="22"/>
        </w:rPr>
      </w:pPr>
      <w:r w:rsidRPr="008E13E6">
        <w:rPr>
          <w:sz w:val="20"/>
          <w:szCs w:val="22"/>
        </w:rPr>
        <w:t xml:space="preserve">Aftalen med </w:t>
      </w:r>
      <w:r w:rsidR="00E87D5C" w:rsidRPr="008E13E6">
        <w:rPr>
          <w:sz w:val="20"/>
          <w:szCs w:val="22"/>
        </w:rPr>
        <w:t>PP</w:t>
      </w:r>
      <w:r w:rsidRPr="008E13E6">
        <w:rPr>
          <w:sz w:val="20"/>
          <w:szCs w:val="22"/>
        </w:rPr>
        <w:t xml:space="preserve"> Capital</w:t>
      </w:r>
      <w:r w:rsidR="00E87D5C" w:rsidRPr="008E13E6">
        <w:rPr>
          <w:sz w:val="20"/>
          <w:szCs w:val="22"/>
        </w:rPr>
        <w:t xml:space="preserve"> Asset Management</w:t>
      </w:r>
      <w:r w:rsidRPr="008E13E6">
        <w:rPr>
          <w:sz w:val="20"/>
          <w:szCs w:val="22"/>
        </w:rPr>
        <w:t xml:space="preserve"> </w:t>
      </w:r>
      <w:r w:rsidR="00167A0E" w:rsidRPr="008E13E6">
        <w:rPr>
          <w:spacing w:val="-3"/>
          <w:sz w:val="20"/>
          <w:szCs w:val="22"/>
        </w:rPr>
        <w:t>Fondsmæglerselskab</w:t>
      </w:r>
      <w:r w:rsidR="00167A0E" w:rsidRPr="008E13E6">
        <w:rPr>
          <w:sz w:val="20"/>
          <w:szCs w:val="22"/>
        </w:rPr>
        <w:t xml:space="preserve"> </w:t>
      </w:r>
      <w:r w:rsidR="00DD236E" w:rsidRPr="008E13E6">
        <w:rPr>
          <w:sz w:val="20"/>
          <w:szCs w:val="22"/>
        </w:rPr>
        <w:t xml:space="preserve">A/S </w:t>
      </w:r>
      <w:r w:rsidRPr="008E13E6">
        <w:rPr>
          <w:sz w:val="20"/>
          <w:szCs w:val="22"/>
        </w:rPr>
        <w:t xml:space="preserve">kan af hver af parterne opsiges med tre måneders varsel til udgangen af et kvartal. </w:t>
      </w:r>
    </w:p>
    <w:p w14:paraId="4D2FEDDA" w14:textId="77777777" w:rsidR="002E454F" w:rsidRPr="00EF4A34" w:rsidRDefault="002E454F" w:rsidP="002E454F">
      <w:pPr>
        <w:pStyle w:val="Bo"/>
        <w:numPr>
          <w:ilvl w:val="0"/>
          <w:numId w:val="2"/>
        </w:numPr>
        <w:tabs>
          <w:tab w:val="clear" w:pos="502"/>
        </w:tabs>
        <w:spacing w:after="120"/>
        <w:ind w:left="284" w:hanging="284"/>
        <w:rPr>
          <w:i/>
          <w:sz w:val="20"/>
          <w:szCs w:val="22"/>
        </w:rPr>
      </w:pPr>
      <w:bookmarkStart w:id="327" w:name="_Toc526757911"/>
      <w:bookmarkStart w:id="328" w:name="_Toc9239930"/>
      <w:r w:rsidRPr="00EF4A34">
        <w:rPr>
          <w:i/>
          <w:sz w:val="20"/>
          <w:szCs w:val="22"/>
        </w:rPr>
        <w:t>Klageansvarlig m.m.</w:t>
      </w:r>
      <w:bookmarkEnd w:id="327"/>
      <w:bookmarkEnd w:id="328"/>
    </w:p>
    <w:p w14:paraId="42C494F8" w14:textId="77777777" w:rsidR="002E454F" w:rsidRPr="00EF4A34" w:rsidRDefault="002E454F" w:rsidP="002E454F">
      <w:pPr>
        <w:spacing w:after="120"/>
        <w:rPr>
          <w:sz w:val="20"/>
          <w:szCs w:val="22"/>
        </w:rPr>
      </w:pPr>
      <w:r w:rsidRPr="00EF4A34">
        <w:rPr>
          <w:sz w:val="20"/>
          <w:szCs w:val="22"/>
        </w:rPr>
        <w:t xml:space="preserve">Ved en privat investors klage over forholdene i Investeringsforeningen </w:t>
      </w:r>
      <w:proofErr w:type="spellStart"/>
      <w:r w:rsidRPr="00EF4A34">
        <w:rPr>
          <w:sz w:val="20"/>
          <w:szCs w:val="22"/>
        </w:rPr>
        <w:t>PortfolioManager</w:t>
      </w:r>
      <w:proofErr w:type="spellEnd"/>
      <w:r w:rsidRPr="00EF4A34">
        <w:rPr>
          <w:sz w:val="20"/>
          <w:szCs w:val="22"/>
        </w:rPr>
        <w:t xml:space="preserve"> kan en klage sendes til foreningens klageansvarlige på følgende adresse: </w:t>
      </w:r>
    </w:p>
    <w:p w14:paraId="0A93C098" w14:textId="77777777" w:rsidR="002E454F" w:rsidRPr="00EF4A34" w:rsidRDefault="002E454F" w:rsidP="002E454F">
      <w:pPr>
        <w:spacing w:after="120"/>
        <w:rPr>
          <w:sz w:val="20"/>
          <w:szCs w:val="22"/>
        </w:rPr>
      </w:pPr>
      <w:r w:rsidRPr="00EF4A34">
        <w:rPr>
          <w:sz w:val="20"/>
          <w:szCs w:val="22"/>
        </w:rPr>
        <w:t>Investeringsforvaltningsselskabet Fundmarket A/S, Diplomvej 381, 2800 Kgs. Lyngby eller pr. e-mail til kontakt@fundmarket.dk.</w:t>
      </w:r>
    </w:p>
    <w:p w14:paraId="233469CE" w14:textId="61503A2B" w:rsidR="00EF4A34" w:rsidRPr="008E13E6" w:rsidRDefault="002E454F" w:rsidP="002E454F">
      <w:pPr>
        <w:spacing w:after="120"/>
        <w:rPr>
          <w:sz w:val="20"/>
          <w:szCs w:val="22"/>
        </w:rPr>
      </w:pPr>
      <w:r w:rsidRPr="00EF4A34">
        <w:rPr>
          <w:sz w:val="20"/>
          <w:szCs w:val="22"/>
        </w:rPr>
        <w:t>Ved manglende medhold i en klage, kan Ankenævnet for Investeringsfonde kontaktes på følgende adresse: Ankenævnet for Investeringsfonde, Amaliegade 8 B 2., Postboks 9029, 1022 København K eller via: http://www.fanke.dk/ankenaevnet-for-investeringsfonde. En erhvervsdrivende investor kan kun forvente at få behandlet klagen, hvis den ikke adskiller sig væsentligt fra en klage vedrørende et privat investorforhold.</w:t>
      </w:r>
    </w:p>
    <w:p w14:paraId="6CC90030"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329" w:name="_Toc178757381"/>
      <w:bookmarkStart w:id="330" w:name="_Toc239234836"/>
      <w:bookmarkStart w:id="331" w:name="_Toc395703430"/>
      <w:bookmarkStart w:id="332" w:name="_Toc414000056"/>
      <w:bookmarkStart w:id="333" w:name="_Toc9239931"/>
      <w:r w:rsidRPr="008E13E6">
        <w:rPr>
          <w:i/>
          <w:sz w:val="20"/>
          <w:szCs w:val="22"/>
        </w:rPr>
        <w:t>Årlige omkostninger i procent (ÅOP)</w:t>
      </w:r>
      <w:bookmarkEnd w:id="329"/>
      <w:bookmarkEnd w:id="330"/>
      <w:bookmarkEnd w:id="331"/>
      <w:bookmarkEnd w:id="332"/>
      <w:bookmarkEnd w:id="333"/>
    </w:p>
    <w:p w14:paraId="76191A8F" w14:textId="77777777" w:rsidR="0083439C" w:rsidRPr="008E13E6" w:rsidRDefault="0083439C" w:rsidP="0083439C">
      <w:pPr>
        <w:spacing w:after="120"/>
        <w:rPr>
          <w:sz w:val="20"/>
          <w:szCs w:val="22"/>
        </w:rPr>
      </w:pPr>
      <w:r w:rsidRPr="008E13E6">
        <w:rPr>
          <w:sz w:val="20"/>
          <w:szCs w:val="22"/>
        </w:rPr>
        <w:t>Principperne for beregning af nøgletallet årlige omkostninger i procent er fastlagt af Investering</w:t>
      </w:r>
      <w:r w:rsidR="006F0D3C" w:rsidRPr="008E13E6">
        <w:rPr>
          <w:sz w:val="20"/>
          <w:szCs w:val="22"/>
        </w:rPr>
        <w:t xml:space="preserve"> Danmark</w:t>
      </w:r>
      <w:r w:rsidRPr="008E13E6">
        <w:rPr>
          <w:sz w:val="20"/>
          <w:szCs w:val="22"/>
        </w:rPr>
        <w:t>. ÅOP beregnes som summen af fire elementer:</w:t>
      </w:r>
    </w:p>
    <w:p w14:paraId="3C1CDA28" w14:textId="77777777" w:rsidR="0083439C" w:rsidRPr="008E13E6" w:rsidRDefault="0083439C" w:rsidP="00D352F0">
      <w:pPr>
        <w:pStyle w:val="Listeafsnit"/>
        <w:numPr>
          <w:ilvl w:val="0"/>
          <w:numId w:val="6"/>
        </w:numPr>
        <w:spacing w:after="120"/>
        <w:ind w:left="714" w:hanging="357"/>
        <w:contextualSpacing w:val="0"/>
        <w:rPr>
          <w:sz w:val="20"/>
          <w:szCs w:val="22"/>
        </w:rPr>
      </w:pPr>
      <w:r w:rsidRPr="008E13E6">
        <w:rPr>
          <w:sz w:val="20"/>
          <w:szCs w:val="22"/>
        </w:rPr>
        <w:t>årlige administrationsomkostninger i procent, som de fremgår af den senest reviderede årsrapport eller som beregnet i forbindelse med senere ændring af en afdelings omkostninger</w:t>
      </w:r>
    </w:p>
    <w:p w14:paraId="39EA1443" w14:textId="77777777" w:rsidR="0083439C" w:rsidRPr="008E13E6" w:rsidRDefault="0083439C" w:rsidP="00D352F0">
      <w:pPr>
        <w:pStyle w:val="Listeafsnit"/>
        <w:numPr>
          <w:ilvl w:val="0"/>
          <w:numId w:val="6"/>
        </w:numPr>
        <w:spacing w:after="120"/>
        <w:ind w:left="714" w:hanging="357"/>
        <w:contextualSpacing w:val="0"/>
        <w:rPr>
          <w:sz w:val="20"/>
          <w:szCs w:val="22"/>
        </w:rPr>
      </w:pPr>
      <w:r w:rsidRPr="008E13E6">
        <w:rPr>
          <w:sz w:val="20"/>
          <w:szCs w:val="22"/>
        </w:rPr>
        <w:t>direkte handelsomkostninger ved løbende drift, som de fremgår af resultatopgørelsen i det senest reviderede årsregnskab, opgjort i procent af den gennemsnitlige formue</w:t>
      </w:r>
    </w:p>
    <w:p w14:paraId="64181F1C" w14:textId="77777777" w:rsidR="0083439C" w:rsidRPr="008E13E6" w:rsidRDefault="0083439C" w:rsidP="00D352F0">
      <w:pPr>
        <w:pStyle w:val="Listeafsnit"/>
        <w:numPr>
          <w:ilvl w:val="0"/>
          <w:numId w:val="6"/>
        </w:numPr>
        <w:spacing w:after="120"/>
        <w:ind w:left="714" w:hanging="357"/>
        <w:contextualSpacing w:val="0"/>
        <w:rPr>
          <w:sz w:val="20"/>
          <w:szCs w:val="22"/>
        </w:rPr>
      </w:pPr>
      <w:r w:rsidRPr="008E13E6">
        <w:rPr>
          <w:sz w:val="20"/>
          <w:szCs w:val="22"/>
        </w:rPr>
        <w:t>1/7 af det aktuelle maksimale emissionstillæg, som det fremgår af det gældende prospekt</w:t>
      </w:r>
    </w:p>
    <w:p w14:paraId="0C6E6E09" w14:textId="77777777" w:rsidR="0083439C" w:rsidRPr="008E13E6" w:rsidRDefault="0083439C" w:rsidP="00D352F0">
      <w:pPr>
        <w:pStyle w:val="Listeafsnit"/>
        <w:numPr>
          <w:ilvl w:val="0"/>
          <w:numId w:val="6"/>
        </w:numPr>
        <w:spacing w:after="120"/>
        <w:ind w:left="714" w:hanging="357"/>
        <w:contextualSpacing w:val="0"/>
        <w:rPr>
          <w:sz w:val="20"/>
          <w:szCs w:val="22"/>
        </w:rPr>
      </w:pPr>
      <w:r w:rsidRPr="008E13E6">
        <w:rPr>
          <w:sz w:val="20"/>
          <w:szCs w:val="22"/>
        </w:rPr>
        <w:t>1/7 af det aktuelle maksimale indløsningsfradrag, som det fremgår af det gældende prospekt.</w:t>
      </w:r>
    </w:p>
    <w:p w14:paraId="0380023A" w14:textId="77777777" w:rsidR="007B07D5" w:rsidRPr="008E13E6" w:rsidRDefault="0021272D" w:rsidP="00276914">
      <w:pPr>
        <w:spacing w:before="120" w:after="120"/>
        <w:rPr>
          <w:sz w:val="20"/>
          <w:szCs w:val="22"/>
        </w:rPr>
      </w:pPr>
      <w:r w:rsidRPr="008E13E6">
        <w:rPr>
          <w:sz w:val="20"/>
          <w:szCs w:val="22"/>
        </w:rPr>
        <w:t xml:space="preserve">Da andelsklasse PP Capital – </w:t>
      </w:r>
      <w:r w:rsidR="009C3621" w:rsidRPr="008E13E6">
        <w:rPr>
          <w:sz w:val="20"/>
          <w:szCs w:val="22"/>
        </w:rPr>
        <w:t xml:space="preserve">BASIS, </w:t>
      </w:r>
      <w:r w:rsidR="003D49F1" w:rsidRPr="008E13E6">
        <w:rPr>
          <w:sz w:val="20"/>
          <w:szCs w:val="22"/>
        </w:rPr>
        <w:t>kl n EUR</w:t>
      </w:r>
      <w:r w:rsidR="00A079F1" w:rsidRPr="008E13E6">
        <w:rPr>
          <w:sz w:val="20"/>
          <w:szCs w:val="22"/>
        </w:rPr>
        <w:t xml:space="preserve"> </w:t>
      </w:r>
      <w:r w:rsidRPr="008E13E6">
        <w:rPr>
          <w:sz w:val="20"/>
          <w:szCs w:val="22"/>
        </w:rPr>
        <w:t xml:space="preserve">er nystiftet, foreligger der ikke historiske omkostningsstørrelser til beregning af ÅOP. Den skønnede ÅOP for andelsklassen udgør </w:t>
      </w:r>
      <w:r w:rsidR="00C76EA7">
        <w:rPr>
          <w:sz w:val="20"/>
          <w:szCs w:val="22"/>
        </w:rPr>
        <w:t>1,05</w:t>
      </w:r>
      <w:r w:rsidR="009D580D" w:rsidRPr="008E13E6">
        <w:rPr>
          <w:sz w:val="20"/>
          <w:szCs w:val="22"/>
        </w:rPr>
        <w:t xml:space="preserve"> </w:t>
      </w:r>
      <w:r w:rsidRPr="008E13E6">
        <w:rPr>
          <w:sz w:val="20"/>
          <w:szCs w:val="22"/>
        </w:rPr>
        <w:t xml:space="preserve">pct. </w:t>
      </w:r>
    </w:p>
    <w:p w14:paraId="60E20BF6" w14:textId="77777777" w:rsidR="009450C8" w:rsidRPr="008E13E6" w:rsidRDefault="009450C8" w:rsidP="00DE7AEF">
      <w:pPr>
        <w:pStyle w:val="Overskrift2"/>
        <w:numPr>
          <w:ilvl w:val="0"/>
          <w:numId w:val="0"/>
        </w:numPr>
        <w:pBdr>
          <w:bottom w:val="single" w:sz="4" w:space="1" w:color="auto"/>
        </w:pBdr>
        <w:spacing w:before="360"/>
        <w:jc w:val="center"/>
        <w:rPr>
          <w:rFonts w:ascii="Times New Roman" w:hAnsi="Times New Roman"/>
          <w:bCs/>
          <w:i w:val="0"/>
          <w:iCs/>
          <w:color w:val="002060"/>
          <w:sz w:val="24"/>
          <w:szCs w:val="28"/>
        </w:rPr>
      </w:pPr>
      <w:bookmarkStart w:id="334" w:name="_Toc170528763"/>
      <w:bookmarkStart w:id="335" w:name="_Toc170528946"/>
      <w:bookmarkStart w:id="336" w:name="_Toc246496942"/>
      <w:bookmarkStart w:id="337" w:name="_Toc308188802"/>
      <w:bookmarkStart w:id="338" w:name="_Toc357087624"/>
      <w:bookmarkStart w:id="339" w:name="_Toc413407285"/>
      <w:bookmarkStart w:id="340" w:name="_Toc9239932"/>
      <w:bookmarkEnd w:id="325"/>
      <w:bookmarkEnd w:id="326"/>
      <w:r w:rsidRPr="008E13E6">
        <w:rPr>
          <w:rFonts w:ascii="Times New Roman" w:hAnsi="Times New Roman"/>
          <w:bCs/>
          <w:i w:val="0"/>
          <w:iCs/>
          <w:color w:val="002060"/>
          <w:sz w:val="24"/>
          <w:szCs w:val="28"/>
        </w:rPr>
        <w:t>Rettigheder, vedtægter</w:t>
      </w:r>
      <w:r w:rsidR="00DE7AEF" w:rsidRPr="008E13E6">
        <w:rPr>
          <w:rFonts w:ascii="Times New Roman" w:hAnsi="Times New Roman"/>
          <w:bCs/>
          <w:i w:val="0"/>
          <w:iCs/>
          <w:color w:val="002060"/>
          <w:sz w:val="24"/>
          <w:szCs w:val="28"/>
        </w:rPr>
        <w:t xml:space="preserve"> og</w:t>
      </w:r>
      <w:r w:rsidRPr="008E13E6">
        <w:rPr>
          <w:rFonts w:ascii="Times New Roman" w:hAnsi="Times New Roman"/>
          <w:bCs/>
          <w:i w:val="0"/>
          <w:iCs/>
          <w:color w:val="002060"/>
          <w:sz w:val="24"/>
          <w:szCs w:val="28"/>
        </w:rPr>
        <w:t xml:space="preserve"> regnskabsforhold m.v.</w:t>
      </w:r>
      <w:bookmarkEnd w:id="334"/>
      <w:bookmarkEnd w:id="335"/>
      <w:bookmarkEnd w:id="336"/>
      <w:bookmarkEnd w:id="337"/>
      <w:bookmarkEnd w:id="338"/>
      <w:bookmarkEnd w:id="339"/>
      <w:bookmarkEnd w:id="340"/>
    </w:p>
    <w:p w14:paraId="5AF1D29A"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341" w:name="_Toc395703431"/>
      <w:bookmarkStart w:id="342" w:name="_Toc414000057"/>
      <w:bookmarkStart w:id="343" w:name="_Toc9239933"/>
      <w:bookmarkStart w:id="344" w:name="_Toc308188804"/>
      <w:bookmarkStart w:id="345" w:name="_Toc357087626"/>
      <w:r w:rsidRPr="008E13E6">
        <w:rPr>
          <w:i/>
          <w:sz w:val="20"/>
          <w:szCs w:val="22"/>
        </w:rPr>
        <w:t>Notering på navn</w:t>
      </w:r>
      <w:bookmarkEnd w:id="341"/>
      <w:bookmarkEnd w:id="342"/>
      <w:bookmarkEnd w:id="343"/>
    </w:p>
    <w:p w14:paraId="0A294FEA" w14:textId="77777777" w:rsidR="00BF0A5D" w:rsidRPr="008E13E6" w:rsidRDefault="0083439C" w:rsidP="00834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rPr>
        <w:t>Foreningsandelene skal være noteret på navn i foreningens ejerbog.</w:t>
      </w:r>
    </w:p>
    <w:p w14:paraId="6DEB820C"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346" w:name="_Toc208144114"/>
      <w:bookmarkStart w:id="347" w:name="_Toc395703432"/>
      <w:bookmarkStart w:id="348" w:name="_Toc414000058"/>
      <w:bookmarkStart w:id="349" w:name="_Toc9239934"/>
      <w:bookmarkStart w:id="350" w:name="_Toc308188805"/>
      <w:bookmarkStart w:id="351" w:name="_Toc357087627"/>
      <w:bookmarkEnd w:id="344"/>
      <w:bookmarkEnd w:id="345"/>
      <w:r w:rsidRPr="008E13E6">
        <w:rPr>
          <w:i/>
          <w:sz w:val="20"/>
          <w:szCs w:val="22"/>
        </w:rPr>
        <w:t>Stemmeret og rettigheder</w:t>
      </w:r>
      <w:bookmarkEnd w:id="346"/>
      <w:bookmarkEnd w:id="347"/>
      <w:bookmarkEnd w:id="348"/>
      <w:bookmarkEnd w:id="349"/>
    </w:p>
    <w:p w14:paraId="7EE8EF7B" w14:textId="77777777" w:rsidR="002B677B" w:rsidRPr="008E13E6" w:rsidRDefault="002B677B" w:rsidP="002B6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before="120" w:after="120"/>
        <w:rPr>
          <w:sz w:val="20"/>
          <w:szCs w:val="22"/>
        </w:rPr>
      </w:pPr>
      <w:r w:rsidRPr="008E13E6">
        <w:rPr>
          <w:sz w:val="20"/>
          <w:szCs w:val="22"/>
        </w:rPr>
        <w:t>Udøvelse af stemmeretten på foreningens generalforsamling forudsætter, at andelene mindst en uge forud for generalforsamlingen er noteret på vedkommende investors navn i foreningens ejerbog.</w:t>
      </w:r>
    </w:p>
    <w:p w14:paraId="49383BE4" w14:textId="77777777" w:rsidR="002B677B" w:rsidRPr="008E13E6" w:rsidRDefault="002B677B" w:rsidP="002B6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z w:val="20"/>
          <w:szCs w:val="22"/>
        </w:rPr>
      </w:pPr>
      <w:r w:rsidRPr="008E13E6">
        <w:rPr>
          <w:sz w:val="20"/>
          <w:szCs w:val="22"/>
        </w:rPr>
        <w:t>Ingen ejer af foreningsandele kan for sit eget vedkommende og i henhold til fuldmagt afgive stemme for mere end 10 pct. af det samlede pålydende af de til enhver tid cirkulerende andele i den afdeling, afstemningen vedrører, eller 10 pct. af det samlede pålydende i alle afdelinger ved afstemning om fælles anliggende.</w:t>
      </w:r>
    </w:p>
    <w:p w14:paraId="0D5E7D90" w14:textId="77777777" w:rsidR="00BF0A5D" w:rsidRPr="008E13E6" w:rsidRDefault="002B677B" w:rsidP="002B677B">
      <w:pPr>
        <w:rPr>
          <w:spacing w:val="-3"/>
          <w:sz w:val="20"/>
          <w:szCs w:val="22"/>
        </w:rPr>
      </w:pPr>
      <w:r w:rsidRPr="008E13E6">
        <w:rPr>
          <w:sz w:val="20"/>
          <w:szCs w:val="22"/>
        </w:rPr>
        <w:t>Ingen foreningsandele har særlige rettigheder.</w:t>
      </w:r>
    </w:p>
    <w:p w14:paraId="7D03A7B8"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352" w:name="_Toc208144115"/>
      <w:bookmarkStart w:id="353" w:name="_Toc395703433"/>
      <w:bookmarkStart w:id="354" w:name="_Toc414000059"/>
      <w:bookmarkStart w:id="355" w:name="_Toc9239935"/>
      <w:bookmarkEnd w:id="350"/>
      <w:bookmarkEnd w:id="351"/>
      <w:r w:rsidRPr="008E13E6">
        <w:rPr>
          <w:i/>
          <w:sz w:val="20"/>
          <w:szCs w:val="22"/>
        </w:rPr>
        <w:lastRenderedPageBreak/>
        <w:t>Opløsning af foreningen eller en afdeling</w:t>
      </w:r>
      <w:bookmarkEnd w:id="352"/>
      <w:bookmarkEnd w:id="353"/>
      <w:bookmarkEnd w:id="354"/>
      <w:bookmarkEnd w:id="355"/>
    </w:p>
    <w:p w14:paraId="104636B5" w14:textId="77777777" w:rsidR="00C12D2F" w:rsidRPr="008E13E6" w:rsidRDefault="009450C8" w:rsidP="00545B66">
      <w:pPr>
        <w:spacing w:after="120"/>
        <w:rPr>
          <w:sz w:val="20"/>
          <w:szCs w:val="22"/>
        </w:rPr>
      </w:pPr>
      <w:r w:rsidRPr="008E13E6">
        <w:rPr>
          <w:sz w:val="20"/>
          <w:szCs w:val="22"/>
        </w:rPr>
        <w:t>Opløsning af foreningen</w:t>
      </w:r>
      <w:r w:rsidR="00186AF9" w:rsidRPr="008E13E6">
        <w:rPr>
          <w:sz w:val="20"/>
          <w:szCs w:val="22"/>
        </w:rPr>
        <w:t xml:space="preserve">, en afdeling </w:t>
      </w:r>
      <w:r w:rsidRPr="008E13E6">
        <w:rPr>
          <w:sz w:val="20"/>
          <w:szCs w:val="22"/>
        </w:rPr>
        <w:t xml:space="preserve">kan besluttes af generalforsamlingen og skal ske ved kvalificeret flertal, jf. vedtægternes § </w:t>
      </w:r>
      <w:r w:rsidR="000764CC" w:rsidRPr="008E13E6">
        <w:rPr>
          <w:sz w:val="20"/>
          <w:szCs w:val="22"/>
        </w:rPr>
        <w:t>18</w:t>
      </w:r>
      <w:r w:rsidRPr="008E13E6">
        <w:rPr>
          <w:sz w:val="20"/>
          <w:szCs w:val="22"/>
        </w:rPr>
        <w:t>.</w:t>
      </w:r>
      <w:r w:rsidR="00C12D2F" w:rsidRPr="008E13E6">
        <w:rPr>
          <w:sz w:val="20"/>
          <w:szCs w:val="22"/>
        </w:rPr>
        <w:t xml:space="preserve"> </w:t>
      </w:r>
    </w:p>
    <w:p w14:paraId="70AD70C7" w14:textId="77777777" w:rsidR="009450C8" w:rsidRPr="008E13E6" w:rsidRDefault="00C12D2F" w:rsidP="00545B66">
      <w:pPr>
        <w:spacing w:after="120"/>
        <w:rPr>
          <w:sz w:val="20"/>
          <w:szCs w:val="22"/>
        </w:rPr>
      </w:pPr>
      <w:r w:rsidRPr="008E13E6">
        <w:rPr>
          <w:sz w:val="20"/>
          <w:szCs w:val="22"/>
        </w:rPr>
        <w:t>Omstændigheder, som kan medføre beslutning om opløsning af foreningen, en afdeling, kan f.eks. være, at formuen i foreningen eller i en afdeling bliver meget lille og ikke kan administreres omkostningseffektivt, eller at en afdelings investeringsområde ikke længere vurderes at være relevant.</w:t>
      </w:r>
    </w:p>
    <w:p w14:paraId="48CC76E2"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356" w:name="_Toc414000060"/>
      <w:bookmarkStart w:id="357" w:name="_Toc9239936"/>
      <w:r w:rsidRPr="008E13E6">
        <w:rPr>
          <w:i/>
          <w:sz w:val="20"/>
          <w:szCs w:val="22"/>
        </w:rPr>
        <w:t>Vedtægter, central investorinformation, årsrapport m.v.</w:t>
      </w:r>
      <w:bookmarkEnd w:id="356"/>
      <w:bookmarkEnd w:id="357"/>
    </w:p>
    <w:p w14:paraId="66F987DA" w14:textId="77777777" w:rsidR="00202DEB" w:rsidRPr="008E13E6" w:rsidRDefault="009450C8">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rPr>
        <w:t xml:space="preserve">Foreningens vedtægter er en integreret del af prospektet og skal medfølge ved udleveringen af dette. </w:t>
      </w:r>
    </w:p>
    <w:p w14:paraId="0DDDA88A" w14:textId="77777777" w:rsidR="004A5978" w:rsidRPr="008E13E6" w:rsidRDefault="009450C8">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rPr>
          <w:spacing w:val="-3"/>
          <w:sz w:val="20"/>
          <w:szCs w:val="22"/>
        </w:rPr>
      </w:pPr>
      <w:r w:rsidRPr="008E13E6">
        <w:rPr>
          <w:spacing w:val="-3"/>
          <w:sz w:val="20"/>
          <w:szCs w:val="22"/>
        </w:rPr>
        <w:t>Endvidere er dokumentet central investorinformation udarbejdet for</w:t>
      </w:r>
      <w:r w:rsidR="00545B66" w:rsidRPr="008E13E6">
        <w:rPr>
          <w:spacing w:val="-3"/>
          <w:sz w:val="20"/>
          <w:szCs w:val="22"/>
        </w:rPr>
        <w:t xml:space="preserve"> a</w:t>
      </w:r>
      <w:r w:rsidR="00AB366A" w:rsidRPr="008E13E6">
        <w:rPr>
          <w:spacing w:val="-3"/>
          <w:sz w:val="20"/>
          <w:szCs w:val="22"/>
        </w:rPr>
        <w:t>ndelsklassen</w:t>
      </w:r>
      <w:r w:rsidRPr="008E13E6">
        <w:rPr>
          <w:spacing w:val="-3"/>
          <w:sz w:val="20"/>
          <w:szCs w:val="22"/>
        </w:rPr>
        <w:t xml:space="preserve">. Dette giver et overblik over de væsentligste oplysninger. Dokumentet samt seneste årsrapport og seneste halvårsrapport </w:t>
      </w:r>
      <w:r w:rsidR="00AB366A" w:rsidRPr="008E13E6">
        <w:rPr>
          <w:spacing w:val="-3"/>
          <w:sz w:val="20"/>
          <w:szCs w:val="22"/>
        </w:rPr>
        <w:t>vil kunne</w:t>
      </w:r>
      <w:r w:rsidRPr="008E13E6">
        <w:rPr>
          <w:spacing w:val="-3"/>
          <w:sz w:val="20"/>
          <w:szCs w:val="22"/>
        </w:rPr>
        <w:t xml:space="preserve"> rekvireres gratis på foreningens kontor og </w:t>
      </w:r>
      <w:r w:rsidR="00AB366A" w:rsidRPr="008E13E6">
        <w:rPr>
          <w:spacing w:val="-3"/>
          <w:sz w:val="20"/>
          <w:szCs w:val="22"/>
        </w:rPr>
        <w:t>være</w:t>
      </w:r>
      <w:r w:rsidRPr="008E13E6">
        <w:rPr>
          <w:spacing w:val="-3"/>
          <w:sz w:val="20"/>
          <w:szCs w:val="22"/>
        </w:rPr>
        <w:t xml:space="preserve"> tilgængelig</w:t>
      </w:r>
      <w:r w:rsidR="003E6A15" w:rsidRPr="008E13E6">
        <w:rPr>
          <w:spacing w:val="-3"/>
          <w:sz w:val="20"/>
          <w:szCs w:val="22"/>
        </w:rPr>
        <w:t>e</w:t>
      </w:r>
      <w:r w:rsidRPr="008E13E6">
        <w:rPr>
          <w:spacing w:val="-3"/>
          <w:sz w:val="20"/>
          <w:szCs w:val="22"/>
        </w:rPr>
        <w:t xml:space="preserve"> på</w:t>
      </w:r>
      <w:r w:rsidR="00BE1784" w:rsidRPr="008E13E6">
        <w:rPr>
          <w:spacing w:val="-3"/>
          <w:sz w:val="20"/>
          <w:szCs w:val="22"/>
        </w:rPr>
        <w:t xml:space="preserve"> </w:t>
      </w:r>
      <w:r w:rsidR="004A5978" w:rsidRPr="008E13E6">
        <w:rPr>
          <w:spacing w:val="-3"/>
          <w:sz w:val="20"/>
          <w:szCs w:val="22"/>
        </w:rPr>
        <w:t>www.portfoliomanager.dk</w:t>
      </w:r>
      <w:r w:rsidR="00BE1784" w:rsidRPr="008E13E6">
        <w:rPr>
          <w:spacing w:val="-3"/>
          <w:sz w:val="20"/>
          <w:szCs w:val="22"/>
        </w:rPr>
        <w:t>.</w:t>
      </w:r>
    </w:p>
    <w:p w14:paraId="0B9770A8" w14:textId="77777777" w:rsidR="00983C0F" w:rsidRPr="008E13E6" w:rsidRDefault="00347D67" w:rsidP="004A5978">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before="120"/>
        <w:rPr>
          <w:spacing w:val="-3"/>
          <w:sz w:val="20"/>
          <w:szCs w:val="22"/>
        </w:rPr>
      </w:pPr>
      <w:r w:rsidRPr="008E13E6">
        <w:rPr>
          <w:spacing w:val="-3"/>
          <w:sz w:val="20"/>
          <w:szCs w:val="22"/>
        </w:rPr>
        <w:t xml:space="preserve">Oplysninger om foreningen, afdelingerne og andelsklasser kan </w:t>
      </w:r>
      <w:r w:rsidR="000247E2" w:rsidRPr="008E13E6">
        <w:rPr>
          <w:spacing w:val="-3"/>
          <w:sz w:val="20"/>
          <w:szCs w:val="22"/>
        </w:rPr>
        <w:t>fås ved henvendelse til foreningens investeringsforvaltningsselskab Fundmarket A/S</w:t>
      </w:r>
      <w:r w:rsidR="004A326C" w:rsidRPr="008E13E6">
        <w:rPr>
          <w:spacing w:val="-3"/>
          <w:sz w:val="20"/>
          <w:szCs w:val="22"/>
        </w:rPr>
        <w:t xml:space="preserve"> eller på foreningens hjemmeside www.portfoliomanager.dk</w:t>
      </w:r>
      <w:r w:rsidR="005E0462" w:rsidRPr="008E13E6">
        <w:rPr>
          <w:spacing w:val="-3"/>
          <w:sz w:val="20"/>
          <w:szCs w:val="22"/>
        </w:rPr>
        <w:t xml:space="preserve">. </w:t>
      </w:r>
      <w:r w:rsidR="004A326C" w:rsidRPr="008E13E6">
        <w:rPr>
          <w:spacing w:val="-3"/>
          <w:sz w:val="20"/>
          <w:szCs w:val="22"/>
        </w:rPr>
        <w:t xml:space="preserve"> </w:t>
      </w:r>
    </w:p>
    <w:p w14:paraId="4BC98B30" w14:textId="77777777" w:rsidR="00C67DD8" w:rsidRPr="008E13E6" w:rsidRDefault="00C67DD8" w:rsidP="00C33F3E">
      <w:pPr>
        <w:pStyle w:val="Bo"/>
        <w:numPr>
          <w:ilvl w:val="0"/>
          <w:numId w:val="2"/>
        </w:numPr>
        <w:tabs>
          <w:tab w:val="clear" w:pos="502"/>
          <w:tab w:val="num" w:pos="284"/>
        </w:tabs>
        <w:spacing w:after="120"/>
        <w:ind w:left="142" w:hanging="142"/>
        <w:rPr>
          <w:i/>
          <w:sz w:val="20"/>
          <w:szCs w:val="22"/>
        </w:rPr>
      </w:pPr>
      <w:bookmarkStart w:id="358" w:name="_Toc395703435"/>
      <w:bookmarkStart w:id="359" w:name="_Toc414000061"/>
      <w:bookmarkStart w:id="360" w:name="_Toc9239937"/>
      <w:r w:rsidRPr="008E13E6">
        <w:rPr>
          <w:i/>
          <w:sz w:val="20"/>
          <w:szCs w:val="22"/>
        </w:rPr>
        <w:t>Regnskabsaflæggelse</w:t>
      </w:r>
      <w:bookmarkEnd w:id="358"/>
      <w:bookmarkEnd w:id="359"/>
      <w:bookmarkEnd w:id="360"/>
    </w:p>
    <w:p w14:paraId="0DED8615" w14:textId="77777777" w:rsidR="009450C8" w:rsidRPr="008E13E6" w:rsidRDefault="009450C8" w:rsidP="00E74BD6">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spacing w:val="-3"/>
          <w:sz w:val="20"/>
          <w:szCs w:val="22"/>
        </w:rPr>
      </w:pPr>
      <w:r w:rsidRPr="008E13E6">
        <w:rPr>
          <w:spacing w:val="-3"/>
          <w:sz w:val="20"/>
          <w:szCs w:val="22"/>
        </w:rPr>
        <w:t>A</w:t>
      </w:r>
      <w:r w:rsidR="00AB366A" w:rsidRPr="008E13E6">
        <w:rPr>
          <w:spacing w:val="-3"/>
          <w:sz w:val="20"/>
          <w:szCs w:val="22"/>
        </w:rPr>
        <w:t>ndelsklassens</w:t>
      </w:r>
      <w:r w:rsidRPr="008E13E6">
        <w:rPr>
          <w:spacing w:val="-3"/>
          <w:sz w:val="20"/>
          <w:szCs w:val="22"/>
        </w:rPr>
        <w:t xml:space="preserve"> midler administreres og regnskabsføres særskilt.</w:t>
      </w:r>
    </w:p>
    <w:p w14:paraId="6C3D9EB4" w14:textId="77777777" w:rsidR="00AB366A" w:rsidRPr="008E13E6" w:rsidRDefault="00424A43" w:rsidP="00A91D4B">
      <w:pPr>
        <w:spacing w:before="120"/>
        <w:rPr>
          <w:sz w:val="20"/>
          <w:szCs w:val="22"/>
        </w:rPr>
      </w:pPr>
      <w:bookmarkStart w:id="361" w:name="_Toc308188808"/>
      <w:bookmarkStart w:id="362" w:name="_Toc357087630"/>
      <w:r w:rsidRPr="008E13E6">
        <w:rPr>
          <w:sz w:val="20"/>
          <w:szCs w:val="22"/>
        </w:rPr>
        <w:t>Årsrapport</w:t>
      </w:r>
      <w:r w:rsidR="0083439C" w:rsidRPr="008E13E6">
        <w:rPr>
          <w:sz w:val="20"/>
          <w:szCs w:val="22"/>
        </w:rPr>
        <w:t xml:space="preserve"> </w:t>
      </w:r>
      <w:r w:rsidR="00BF0A5D" w:rsidRPr="008E13E6">
        <w:rPr>
          <w:sz w:val="20"/>
          <w:szCs w:val="22"/>
        </w:rPr>
        <w:t xml:space="preserve">aflægges i henhold til § 82 i lov om investeringsforeninger m.v. samt Finanstilsynets bekendtgørelse om finansielle rapporter for </w:t>
      </w:r>
      <w:r w:rsidR="00B95B4D" w:rsidRPr="008E13E6">
        <w:rPr>
          <w:sz w:val="20"/>
          <w:szCs w:val="22"/>
        </w:rPr>
        <w:t>danske UCITS</w:t>
      </w:r>
      <w:r w:rsidR="00BF0A5D" w:rsidRPr="008E13E6">
        <w:rPr>
          <w:sz w:val="20"/>
          <w:szCs w:val="22"/>
        </w:rPr>
        <w:t xml:space="preserve">. </w:t>
      </w:r>
    </w:p>
    <w:p w14:paraId="12FE5FBF" w14:textId="77777777" w:rsidR="00BF0A5D" w:rsidRPr="008E13E6" w:rsidRDefault="00BF0A5D" w:rsidP="00A91D4B">
      <w:pPr>
        <w:spacing w:before="120"/>
        <w:rPr>
          <w:sz w:val="20"/>
          <w:szCs w:val="22"/>
        </w:rPr>
      </w:pPr>
      <w:r w:rsidRPr="008E13E6">
        <w:rPr>
          <w:sz w:val="20"/>
          <w:szCs w:val="22"/>
        </w:rPr>
        <w:t xml:space="preserve">Regnskabsåret følger kalenderåret. </w:t>
      </w:r>
    </w:p>
    <w:p w14:paraId="43ABDBB5" w14:textId="6E7D0FB2" w:rsidR="00AE1A54" w:rsidRPr="008E13E6" w:rsidRDefault="0006750A" w:rsidP="00276914">
      <w:pPr>
        <w:spacing w:before="120"/>
        <w:rPr>
          <w:sz w:val="20"/>
          <w:szCs w:val="22"/>
        </w:rPr>
      </w:pPr>
      <w:r w:rsidRPr="008E13E6">
        <w:rPr>
          <w:sz w:val="20"/>
          <w:szCs w:val="22"/>
        </w:rPr>
        <w:t>A</w:t>
      </w:r>
      <w:r w:rsidR="0073481B" w:rsidRPr="008E13E6">
        <w:rPr>
          <w:sz w:val="20"/>
          <w:szCs w:val="22"/>
        </w:rPr>
        <w:t>ndelsklassens</w:t>
      </w:r>
      <w:r w:rsidRPr="008E13E6">
        <w:rPr>
          <w:sz w:val="20"/>
          <w:szCs w:val="22"/>
        </w:rPr>
        <w:t xml:space="preserve"> </w:t>
      </w:r>
      <w:r w:rsidR="00186AF9" w:rsidRPr="008E13E6">
        <w:rPr>
          <w:sz w:val="20"/>
          <w:szCs w:val="22"/>
        </w:rPr>
        <w:t xml:space="preserve">første regnskabsår løber fra </w:t>
      </w:r>
      <w:r w:rsidR="000A64EC">
        <w:rPr>
          <w:sz w:val="20"/>
          <w:szCs w:val="22"/>
        </w:rPr>
        <w:t>13</w:t>
      </w:r>
      <w:r w:rsidRPr="008E13E6">
        <w:rPr>
          <w:sz w:val="20"/>
          <w:szCs w:val="22"/>
        </w:rPr>
        <w:t xml:space="preserve">. </w:t>
      </w:r>
      <w:r w:rsidR="00A079F1" w:rsidRPr="008E13E6">
        <w:rPr>
          <w:sz w:val="20"/>
          <w:szCs w:val="22"/>
        </w:rPr>
        <w:t>marts</w:t>
      </w:r>
      <w:r w:rsidRPr="008E13E6">
        <w:rPr>
          <w:sz w:val="20"/>
          <w:szCs w:val="22"/>
        </w:rPr>
        <w:t xml:space="preserve"> 201</w:t>
      </w:r>
      <w:r w:rsidR="000A64EC">
        <w:rPr>
          <w:sz w:val="20"/>
          <w:szCs w:val="22"/>
        </w:rPr>
        <w:t>8</w:t>
      </w:r>
      <w:r w:rsidRPr="008E13E6">
        <w:rPr>
          <w:sz w:val="20"/>
          <w:szCs w:val="22"/>
        </w:rPr>
        <w:t xml:space="preserve"> </w:t>
      </w:r>
      <w:r w:rsidR="004B5D97" w:rsidRPr="008E13E6">
        <w:rPr>
          <w:sz w:val="20"/>
          <w:szCs w:val="22"/>
        </w:rPr>
        <w:t xml:space="preserve">til </w:t>
      </w:r>
      <w:r w:rsidR="00186AF9" w:rsidRPr="008E13E6">
        <w:rPr>
          <w:sz w:val="20"/>
          <w:szCs w:val="22"/>
        </w:rPr>
        <w:t>31. december 201</w:t>
      </w:r>
      <w:r w:rsidR="00A079F1" w:rsidRPr="008E13E6">
        <w:rPr>
          <w:sz w:val="20"/>
          <w:szCs w:val="22"/>
        </w:rPr>
        <w:t>9</w:t>
      </w:r>
      <w:r w:rsidR="00186AF9" w:rsidRPr="008E13E6">
        <w:rPr>
          <w:sz w:val="20"/>
          <w:szCs w:val="22"/>
        </w:rPr>
        <w:t>.</w:t>
      </w:r>
    </w:p>
    <w:bookmarkEnd w:id="361"/>
    <w:bookmarkEnd w:id="362"/>
    <w:p w14:paraId="331886DF" w14:textId="77777777" w:rsidR="00AE1A54" w:rsidRPr="008E13E6" w:rsidRDefault="00AE1A54" w:rsidP="00E74BD6">
      <w:pPr>
        <w:rPr>
          <w:spacing w:val="-3"/>
          <w:sz w:val="20"/>
          <w:szCs w:val="22"/>
        </w:rPr>
      </w:pPr>
    </w:p>
    <w:p w14:paraId="4EFAE3DD" w14:textId="77777777" w:rsidR="00C67DD8" w:rsidRPr="008E13E6" w:rsidRDefault="009450C8" w:rsidP="00560861">
      <w:pPr>
        <w:pStyle w:val="Overskrift2"/>
        <w:numPr>
          <w:ilvl w:val="0"/>
          <w:numId w:val="0"/>
        </w:numPr>
        <w:spacing w:before="0"/>
        <w:ind w:left="576" w:hanging="576"/>
        <w:jc w:val="right"/>
        <w:rPr>
          <w:rFonts w:ascii="Times New Roman" w:hAnsi="Times New Roman"/>
          <w:i w:val="0"/>
          <w:color w:val="002060"/>
          <w:sz w:val="24"/>
          <w:szCs w:val="28"/>
        </w:rPr>
      </w:pPr>
      <w:r w:rsidRPr="008E13E6">
        <w:rPr>
          <w:rFonts w:ascii="Times New Roman" w:hAnsi="Times New Roman"/>
          <w:sz w:val="20"/>
        </w:rPr>
        <w:br w:type="page"/>
      </w:r>
      <w:bookmarkStart w:id="363" w:name="_Toc414000064"/>
      <w:bookmarkStart w:id="364" w:name="_Toc9239938"/>
      <w:r w:rsidR="00C67DD8" w:rsidRPr="008E13E6">
        <w:rPr>
          <w:rFonts w:ascii="Times New Roman" w:hAnsi="Times New Roman"/>
          <w:i w:val="0"/>
          <w:color w:val="002060"/>
          <w:sz w:val="24"/>
          <w:szCs w:val="28"/>
        </w:rPr>
        <w:lastRenderedPageBreak/>
        <w:t>Bilag 1</w:t>
      </w:r>
      <w:bookmarkEnd w:id="363"/>
      <w:bookmarkEnd w:id="364"/>
    </w:p>
    <w:p w14:paraId="0A0480BC" w14:textId="77777777" w:rsidR="009450C8" w:rsidRPr="008E13E6" w:rsidRDefault="009450C8" w:rsidP="007F6B2B">
      <w:pPr>
        <w:keepNext/>
        <w:spacing w:after="60"/>
        <w:outlineLvl w:val="1"/>
        <w:rPr>
          <w:b/>
          <w:sz w:val="20"/>
          <w:szCs w:val="22"/>
        </w:rPr>
      </w:pPr>
    </w:p>
    <w:p w14:paraId="69CB71E7" w14:textId="77777777" w:rsidR="009450C8" w:rsidRPr="008E13E6" w:rsidRDefault="00436305" w:rsidP="00E81404">
      <w:pPr>
        <w:tabs>
          <w:tab w:val="left" w:pos="1985"/>
        </w:tabs>
        <w:spacing w:before="120" w:after="120"/>
        <w:rPr>
          <w:i/>
          <w:sz w:val="20"/>
          <w:szCs w:val="22"/>
        </w:rPr>
      </w:pPr>
      <w:r w:rsidRPr="008E13E6">
        <w:rPr>
          <w:i/>
          <w:sz w:val="20"/>
          <w:szCs w:val="22"/>
        </w:rPr>
        <w:t>Bilag til prospekt</w:t>
      </w:r>
      <w:r w:rsidR="00EF66DC" w:rsidRPr="008E13E6">
        <w:rPr>
          <w:i/>
          <w:sz w:val="20"/>
          <w:szCs w:val="22"/>
        </w:rPr>
        <w:t>et</w:t>
      </w:r>
      <w:r w:rsidRPr="008E13E6">
        <w:rPr>
          <w:i/>
          <w:sz w:val="20"/>
          <w:szCs w:val="22"/>
        </w:rPr>
        <w:t xml:space="preserve"> for </w:t>
      </w:r>
      <w:bookmarkStart w:id="365" w:name="_Hlk523415125"/>
      <w:r w:rsidR="000764CC" w:rsidRPr="008E13E6">
        <w:rPr>
          <w:i/>
          <w:sz w:val="20"/>
          <w:szCs w:val="22"/>
        </w:rPr>
        <w:t xml:space="preserve">PP Capital – </w:t>
      </w:r>
      <w:r w:rsidR="009C3621" w:rsidRPr="008E13E6">
        <w:rPr>
          <w:i/>
          <w:sz w:val="20"/>
          <w:szCs w:val="22"/>
        </w:rPr>
        <w:t xml:space="preserve">BASIS, </w:t>
      </w:r>
      <w:r w:rsidR="003D49F1" w:rsidRPr="008E13E6">
        <w:rPr>
          <w:i/>
          <w:sz w:val="20"/>
          <w:szCs w:val="22"/>
        </w:rPr>
        <w:t>kl n EUR</w:t>
      </w:r>
      <w:r w:rsidR="00A079F1" w:rsidRPr="008E13E6">
        <w:rPr>
          <w:i/>
          <w:sz w:val="20"/>
          <w:szCs w:val="22"/>
        </w:rPr>
        <w:t xml:space="preserve"> </w:t>
      </w:r>
      <w:r w:rsidRPr="008E13E6">
        <w:rPr>
          <w:i/>
          <w:sz w:val="20"/>
          <w:szCs w:val="22"/>
        </w:rPr>
        <w:t xml:space="preserve">under </w:t>
      </w:r>
      <w:r w:rsidR="00757287" w:rsidRPr="008E13E6">
        <w:rPr>
          <w:i/>
          <w:sz w:val="20"/>
          <w:szCs w:val="22"/>
        </w:rPr>
        <w:t>Investeringsforeningen PortfolioManager</w:t>
      </w:r>
      <w:r w:rsidR="003C663A" w:rsidRPr="008E13E6">
        <w:rPr>
          <w:i/>
          <w:sz w:val="20"/>
          <w:szCs w:val="22"/>
        </w:rPr>
        <w:t xml:space="preserve"> </w:t>
      </w:r>
      <w:r w:rsidR="009450C8" w:rsidRPr="008E13E6">
        <w:rPr>
          <w:i/>
          <w:sz w:val="20"/>
          <w:szCs w:val="22"/>
        </w:rPr>
        <w:t xml:space="preserve"> </w:t>
      </w:r>
      <w:bookmarkEnd w:id="365"/>
    </w:p>
    <w:p w14:paraId="3CDDA14E" w14:textId="77777777" w:rsidR="009450C8" w:rsidRPr="008E13E6" w:rsidRDefault="009450C8" w:rsidP="00E81404">
      <w:pPr>
        <w:spacing w:before="120" w:after="120"/>
        <w:rPr>
          <w:b/>
          <w:sz w:val="20"/>
          <w:szCs w:val="22"/>
        </w:rPr>
      </w:pPr>
      <w:r w:rsidRPr="008E13E6">
        <w:rPr>
          <w:b/>
          <w:sz w:val="20"/>
          <w:szCs w:val="22"/>
        </w:rPr>
        <w:t>Emissionstillæggets sammensætning og maksimale størrelse i procent inden kursafrunding</w:t>
      </w:r>
    </w:p>
    <w:tbl>
      <w:tblPr>
        <w:tblW w:w="469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1"/>
        <w:gridCol w:w="1659"/>
        <w:gridCol w:w="1617"/>
        <w:gridCol w:w="942"/>
        <w:gridCol w:w="800"/>
      </w:tblGrid>
      <w:tr w:rsidR="00A079F1" w:rsidRPr="008E13E6" w14:paraId="60DAC351" w14:textId="77777777" w:rsidTr="00BF3A00">
        <w:trPr>
          <w:tblHeader/>
        </w:trPr>
        <w:tc>
          <w:tcPr>
            <w:tcW w:w="2139" w:type="pct"/>
            <w:vAlign w:val="center"/>
          </w:tcPr>
          <w:p w14:paraId="1D8206E1" w14:textId="77777777" w:rsidR="00A079F1" w:rsidRPr="008E13E6" w:rsidRDefault="00A079F1" w:rsidP="0007116B">
            <w:pPr>
              <w:spacing w:before="60" w:after="60"/>
              <w:jc w:val="center"/>
              <w:rPr>
                <w:b/>
                <w:spacing w:val="-3"/>
                <w:sz w:val="20"/>
              </w:rPr>
            </w:pPr>
            <w:r w:rsidRPr="008E13E6">
              <w:rPr>
                <w:b/>
                <w:bCs/>
                <w:spacing w:val="-3"/>
                <w:sz w:val="20"/>
                <w:szCs w:val="22"/>
              </w:rPr>
              <w:t>Andelsklasse</w:t>
            </w:r>
            <w:r w:rsidRPr="008E13E6">
              <w:rPr>
                <w:b/>
                <w:spacing w:val="-3"/>
                <w:sz w:val="20"/>
                <w:szCs w:val="22"/>
              </w:rPr>
              <w:t xml:space="preserve"> </w:t>
            </w:r>
          </w:p>
          <w:p w14:paraId="204E9B8A" w14:textId="77777777" w:rsidR="00A079F1" w:rsidRPr="008E13E6" w:rsidRDefault="00A079F1" w:rsidP="0007116B">
            <w:pPr>
              <w:spacing w:before="60" w:after="60"/>
              <w:jc w:val="center"/>
              <w:rPr>
                <w:b/>
                <w:sz w:val="20"/>
              </w:rPr>
            </w:pPr>
          </w:p>
        </w:tc>
        <w:tc>
          <w:tcPr>
            <w:tcW w:w="946" w:type="pct"/>
          </w:tcPr>
          <w:p w14:paraId="02B1C0A6" w14:textId="77777777" w:rsidR="00A079F1" w:rsidRPr="008E13E6" w:rsidRDefault="00A079F1" w:rsidP="0007116B">
            <w:pPr>
              <w:spacing w:before="60" w:after="60"/>
              <w:jc w:val="center"/>
              <w:rPr>
                <w:b/>
                <w:bCs/>
                <w:sz w:val="20"/>
              </w:rPr>
            </w:pPr>
            <w:r w:rsidRPr="008E13E6">
              <w:rPr>
                <w:b/>
                <w:bCs/>
                <w:sz w:val="20"/>
                <w:szCs w:val="22"/>
              </w:rPr>
              <w:t>Kurtage og alle øvrige direkte handelsudgifter ved køb af instrumenter, ca.</w:t>
            </w:r>
          </w:p>
        </w:tc>
        <w:tc>
          <w:tcPr>
            <w:tcW w:w="922" w:type="pct"/>
          </w:tcPr>
          <w:p w14:paraId="783846AA" w14:textId="77777777" w:rsidR="00A079F1" w:rsidRPr="008E13E6" w:rsidRDefault="00A079F1" w:rsidP="002B677B">
            <w:pPr>
              <w:spacing w:before="60" w:after="60"/>
              <w:jc w:val="center"/>
              <w:rPr>
                <w:b/>
                <w:bCs/>
                <w:sz w:val="20"/>
              </w:rPr>
            </w:pPr>
            <w:r w:rsidRPr="008E13E6">
              <w:rPr>
                <w:b/>
                <w:bCs/>
                <w:sz w:val="20"/>
                <w:szCs w:val="22"/>
              </w:rPr>
              <w:t>Øvrige markedsafledte udgifter ved køb af instrumenter, ca.</w:t>
            </w:r>
            <w:r w:rsidRPr="008E13E6">
              <w:rPr>
                <w:b/>
                <w:bCs/>
                <w:sz w:val="20"/>
                <w:szCs w:val="22"/>
                <w:vertAlign w:val="superscript"/>
              </w:rPr>
              <w:t xml:space="preserve"> </w:t>
            </w:r>
          </w:p>
        </w:tc>
        <w:tc>
          <w:tcPr>
            <w:tcW w:w="537" w:type="pct"/>
          </w:tcPr>
          <w:p w14:paraId="21FBE7F7" w14:textId="77777777" w:rsidR="00A079F1" w:rsidRPr="008E13E6" w:rsidRDefault="00A079F1" w:rsidP="0007116B">
            <w:pPr>
              <w:spacing w:before="60" w:after="60"/>
              <w:jc w:val="center"/>
              <w:rPr>
                <w:b/>
                <w:bCs/>
                <w:sz w:val="20"/>
              </w:rPr>
            </w:pPr>
            <w:r w:rsidRPr="008E13E6">
              <w:rPr>
                <w:b/>
                <w:bCs/>
                <w:sz w:val="20"/>
                <w:szCs w:val="22"/>
              </w:rPr>
              <w:t>Øvrige omkostninger, ca.</w:t>
            </w:r>
          </w:p>
        </w:tc>
        <w:tc>
          <w:tcPr>
            <w:tcW w:w="456" w:type="pct"/>
          </w:tcPr>
          <w:p w14:paraId="57FEB10A" w14:textId="77777777" w:rsidR="00A079F1" w:rsidRPr="008E13E6" w:rsidRDefault="00A079F1" w:rsidP="0007116B">
            <w:pPr>
              <w:spacing w:before="60" w:after="60"/>
              <w:jc w:val="center"/>
              <w:rPr>
                <w:b/>
                <w:bCs/>
                <w:sz w:val="20"/>
                <w:vertAlign w:val="superscript"/>
              </w:rPr>
            </w:pPr>
            <w:r w:rsidRPr="008E13E6">
              <w:rPr>
                <w:b/>
                <w:bCs/>
                <w:sz w:val="20"/>
                <w:szCs w:val="22"/>
              </w:rPr>
              <w:t>I alt, maksimalt</w:t>
            </w:r>
            <w:r w:rsidRPr="008E13E6">
              <w:rPr>
                <w:b/>
                <w:bCs/>
                <w:sz w:val="20"/>
                <w:szCs w:val="22"/>
                <w:vertAlign w:val="superscript"/>
              </w:rPr>
              <w:t>1)</w:t>
            </w:r>
          </w:p>
        </w:tc>
      </w:tr>
      <w:tr w:rsidR="00A079F1" w:rsidRPr="008E13E6" w14:paraId="4B819587" w14:textId="77777777" w:rsidTr="00A079F1">
        <w:trPr>
          <w:trHeight w:val="454"/>
          <w:tblHeader/>
        </w:trPr>
        <w:tc>
          <w:tcPr>
            <w:tcW w:w="2139" w:type="pct"/>
            <w:vAlign w:val="center"/>
          </w:tcPr>
          <w:p w14:paraId="4383EFD7" w14:textId="77777777" w:rsidR="00A079F1" w:rsidRPr="00BF3A00" w:rsidRDefault="00A079F1" w:rsidP="0007116B">
            <w:pPr>
              <w:spacing w:before="60" w:after="60"/>
              <w:rPr>
                <w:sz w:val="20"/>
              </w:rPr>
            </w:pPr>
            <w:r w:rsidRPr="00BF3A00">
              <w:rPr>
                <w:sz w:val="20"/>
                <w:szCs w:val="22"/>
              </w:rPr>
              <w:t>PP Capital – BASIS, kl n EUR</w:t>
            </w:r>
          </w:p>
        </w:tc>
        <w:tc>
          <w:tcPr>
            <w:tcW w:w="946" w:type="pct"/>
            <w:vAlign w:val="center"/>
          </w:tcPr>
          <w:p w14:paraId="3794D6C9" w14:textId="77777777" w:rsidR="00A079F1" w:rsidRPr="008E13E6" w:rsidRDefault="00A079F1" w:rsidP="0007116B">
            <w:pPr>
              <w:spacing w:before="60" w:after="60"/>
              <w:jc w:val="center"/>
              <w:rPr>
                <w:bCs/>
                <w:color w:val="000000" w:themeColor="text1"/>
                <w:sz w:val="20"/>
                <w:lang w:val="en-US"/>
              </w:rPr>
            </w:pPr>
            <w:r w:rsidRPr="008E13E6">
              <w:rPr>
                <w:bCs/>
                <w:color w:val="000000" w:themeColor="text1"/>
                <w:sz w:val="20"/>
                <w:szCs w:val="22"/>
                <w:lang w:val="en-US"/>
              </w:rPr>
              <w:t>0,15</w:t>
            </w:r>
          </w:p>
        </w:tc>
        <w:tc>
          <w:tcPr>
            <w:tcW w:w="922" w:type="pct"/>
            <w:vAlign w:val="center"/>
          </w:tcPr>
          <w:p w14:paraId="6400A207" w14:textId="77777777" w:rsidR="00A079F1" w:rsidRPr="008E13E6" w:rsidRDefault="00A079F1" w:rsidP="0007116B">
            <w:pPr>
              <w:spacing w:before="60" w:after="60"/>
              <w:jc w:val="center"/>
              <w:rPr>
                <w:bCs/>
                <w:color w:val="000000" w:themeColor="text1"/>
                <w:sz w:val="20"/>
                <w:lang w:val="en-US"/>
              </w:rPr>
            </w:pPr>
            <w:r w:rsidRPr="008E13E6">
              <w:rPr>
                <w:bCs/>
                <w:color w:val="000000" w:themeColor="text1"/>
                <w:sz w:val="20"/>
                <w:szCs w:val="22"/>
                <w:lang w:val="en-US"/>
              </w:rPr>
              <w:t>0,05</w:t>
            </w:r>
          </w:p>
        </w:tc>
        <w:tc>
          <w:tcPr>
            <w:tcW w:w="537" w:type="pct"/>
            <w:vAlign w:val="center"/>
          </w:tcPr>
          <w:p w14:paraId="0754CB8D" w14:textId="77777777" w:rsidR="00A079F1" w:rsidRPr="008E13E6" w:rsidRDefault="00A079F1" w:rsidP="0007116B">
            <w:pPr>
              <w:spacing w:before="60" w:after="60"/>
              <w:jc w:val="center"/>
              <w:rPr>
                <w:bCs/>
                <w:color w:val="000000" w:themeColor="text1"/>
                <w:sz w:val="20"/>
                <w:lang w:val="en-US"/>
              </w:rPr>
            </w:pPr>
            <w:r w:rsidRPr="008E13E6">
              <w:rPr>
                <w:color w:val="000000" w:themeColor="text1"/>
                <w:sz w:val="20"/>
                <w:szCs w:val="22"/>
              </w:rPr>
              <w:t>0,00</w:t>
            </w:r>
          </w:p>
        </w:tc>
        <w:tc>
          <w:tcPr>
            <w:tcW w:w="456" w:type="pct"/>
            <w:vAlign w:val="center"/>
          </w:tcPr>
          <w:p w14:paraId="5B118E01" w14:textId="77777777" w:rsidR="00A079F1" w:rsidRPr="008E13E6" w:rsidRDefault="00A079F1" w:rsidP="002B677B">
            <w:pPr>
              <w:spacing w:before="60" w:after="60"/>
              <w:jc w:val="center"/>
              <w:rPr>
                <w:bCs/>
                <w:color w:val="000000" w:themeColor="text1"/>
                <w:sz w:val="20"/>
                <w:lang w:val="en-US"/>
              </w:rPr>
            </w:pPr>
            <w:r w:rsidRPr="008E13E6">
              <w:rPr>
                <w:bCs/>
                <w:color w:val="000000" w:themeColor="text1"/>
                <w:sz w:val="20"/>
                <w:szCs w:val="22"/>
                <w:lang w:val="en-US"/>
              </w:rPr>
              <w:t>0,20</w:t>
            </w:r>
          </w:p>
        </w:tc>
      </w:tr>
    </w:tbl>
    <w:p w14:paraId="45523BBA" w14:textId="77777777" w:rsidR="0007116B" w:rsidRPr="008E13E6" w:rsidRDefault="0007116B" w:rsidP="0007116B">
      <w:pPr>
        <w:pStyle w:val="Kommentartekst"/>
        <w:spacing w:before="120"/>
        <w:rPr>
          <w:spacing w:val="-3"/>
          <w:szCs w:val="22"/>
          <w:vertAlign w:val="superscript"/>
        </w:rPr>
      </w:pPr>
      <w:r w:rsidRPr="008E13E6">
        <w:rPr>
          <w:i/>
          <w:iCs/>
          <w:szCs w:val="22"/>
          <w:vertAlign w:val="superscript"/>
        </w:rPr>
        <w:t xml:space="preserve">1) </w:t>
      </w:r>
      <w:r w:rsidRPr="008E13E6">
        <w:rPr>
          <w:i/>
          <w:iCs/>
          <w:szCs w:val="22"/>
        </w:rPr>
        <w:t>Inden kursafrunding.</w:t>
      </w:r>
      <w:r w:rsidRPr="008E13E6">
        <w:rPr>
          <w:spacing w:val="-3"/>
          <w:szCs w:val="22"/>
          <w:vertAlign w:val="superscript"/>
        </w:rPr>
        <w:t xml:space="preserve"> </w:t>
      </w:r>
    </w:p>
    <w:p w14:paraId="7ECA26AF" w14:textId="77777777" w:rsidR="00276914" w:rsidRPr="008E13E6" w:rsidRDefault="00276914" w:rsidP="00276914">
      <w:pPr>
        <w:rPr>
          <w:i/>
          <w:sz w:val="20"/>
          <w:szCs w:val="22"/>
        </w:rPr>
      </w:pPr>
    </w:p>
    <w:p w14:paraId="2C3AF8CB" w14:textId="77777777" w:rsidR="002B677B" w:rsidRPr="008E13E6" w:rsidRDefault="002B677B" w:rsidP="002B677B">
      <w:pPr>
        <w:rPr>
          <w:sz w:val="20"/>
        </w:rPr>
      </w:pPr>
      <w:r w:rsidRPr="008E13E6">
        <w:rPr>
          <w:sz w:val="20"/>
        </w:rPr>
        <w:t xml:space="preserve">Det angivne maksimale emissionstillæg kan overskrides i perioder med usædvanlige markedsforhold, som medfører en stigning i ”øvrige markedsafledte udgifter ved køb af instrumenter”. Såfremt en sådan situation opstår, vil foreningen i den pågældende periode oplyse om de konkrete emissionstillæg </w:t>
      </w:r>
      <w:r w:rsidRPr="008E13E6">
        <w:rPr>
          <w:sz w:val="20"/>
          <w:szCs w:val="22"/>
        </w:rPr>
        <w:t>på www.</w:t>
      </w:r>
      <w:r w:rsidR="000764CC" w:rsidRPr="008E13E6">
        <w:rPr>
          <w:sz w:val="20"/>
          <w:szCs w:val="22"/>
        </w:rPr>
        <w:t>portfoliomanager</w:t>
      </w:r>
      <w:r w:rsidRPr="008E13E6">
        <w:rPr>
          <w:sz w:val="20"/>
          <w:szCs w:val="22"/>
        </w:rPr>
        <w:t>.dk.</w:t>
      </w:r>
    </w:p>
    <w:p w14:paraId="6D6748E7" w14:textId="77777777" w:rsidR="00A51F0C" w:rsidRPr="008E13E6" w:rsidRDefault="00A51F0C" w:rsidP="007F6B2B">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b/>
          <w:sz w:val="20"/>
          <w:szCs w:val="22"/>
        </w:rPr>
      </w:pPr>
    </w:p>
    <w:p w14:paraId="2E64B8DC" w14:textId="77777777" w:rsidR="007F5997" w:rsidRPr="008E13E6" w:rsidRDefault="007F5997" w:rsidP="007F5997">
      <w:pPr>
        <w:rPr>
          <w:iCs/>
          <w:sz w:val="20"/>
          <w:szCs w:val="22"/>
        </w:rPr>
      </w:pPr>
    </w:p>
    <w:p w14:paraId="69149BF9" w14:textId="77777777" w:rsidR="00861776" w:rsidRPr="008E13E6" w:rsidRDefault="00861776">
      <w:pPr>
        <w:rPr>
          <w:b/>
          <w:sz w:val="24"/>
          <w:szCs w:val="28"/>
        </w:rPr>
      </w:pPr>
      <w:bookmarkStart w:id="366" w:name="_Toc303843935"/>
      <w:bookmarkStart w:id="367" w:name="_Toc305590840"/>
      <w:bookmarkStart w:id="368" w:name="_Toc357087633"/>
      <w:r w:rsidRPr="008E13E6">
        <w:rPr>
          <w:b/>
          <w:sz w:val="24"/>
          <w:szCs w:val="28"/>
        </w:rPr>
        <w:br w:type="page"/>
      </w:r>
    </w:p>
    <w:p w14:paraId="56B0874E" w14:textId="77777777" w:rsidR="00C67DD8" w:rsidRPr="008E13E6" w:rsidRDefault="00C67DD8" w:rsidP="00C67DD8">
      <w:pPr>
        <w:pStyle w:val="Overskrift2"/>
        <w:numPr>
          <w:ilvl w:val="0"/>
          <w:numId w:val="0"/>
        </w:numPr>
        <w:spacing w:before="0"/>
        <w:ind w:left="576" w:hanging="576"/>
        <w:jc w:val="right"/>
        <w:rPr>
          <w:rFonts w:ascii="Times New Roman" w:hAnsi="Times New Roman"/>
          <w:i w:val="0"/>
          <w:color w:val="002060"/>
          <w:sz w:val="24"/>
          <w:szCs w:val="28"/>
        </w:rPr>
      </w:pPr>
      <w:bookmarkStart w:id="369" w:name="_Toc414000065"/>
      <w:bookmarkStart w:id="370" w:name="_Toc9239939"/>
      <w:bookmarkEnd w:id="366"/>
      <w:bookmarkEnd w:id="367"/>
      <w:bookmarkEnd w:id="368"/>
      <w:r w:rsidRPr="008E13E6">
        <w:rPr>
          <w:rFonts w:ascii="Times New Roman" w:hAnsi="Times New Roman"/>
          <w:i w:val="0"/>
          <w:color w:val="002060"/>
          <w:sz w:val="24"/>
          <w:szCs w:val="28"/>
        </w:rPr>
        <w:lastRenderedPageBreak/>
        <w:t>Bilag 2</w:t>
      </w:r>
      <w:bookmarkEnd w:id="369"/>
      <w:bookmarkEnd w:id="370"/>
    </w:p>
    <w:p w14:paraId="4D43B219" w14:textId="77777777" w:rsidR="009450C8" w:rsidRPr="008E13E6" w:rsidRDefault="009450C8" w:rsidP="00E74BD6">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pacing w:after="120"/>
        <w:rPr>
          <w:b/>
          <w:sz w:val="20"/>
          <w:szCs w:val="22"/>
        </w:rPr>
      </w:pPr>
    </w:p>
    <w:p w14:paraId="39143F1A" w14:textId="77777777" w:rsidR="0007116B" w:rsidRPr="008E13E6" w:rsidRDefault="0007116B" w:rsidP="0007116B">
      <w:pPr>
        <w:tabs>
          <w:tab w:val="left" w:pos="1985"/>
        </w:tabs>
        <w:spacing w:before="120" w:after="120"/>
        <w:rPr>
          <w:i/>
          <w:sz w:val="20"/>
          <w:szCs w:val="22"/>
        </w:rPr>
      </w:pPr>
      <w:r w:rsidRPr="008E13E6">
        <w:rPr>
          <w:i/>
          <w:sz w:val="20"/>
          <w:szCs w:val="22"/>
        </w:rPr>
        <w:t xml:space="preserve">Bilag til prospektet for </w:t>
      </w:r>
      <w:r w:rsidR="000764CC" w:rsidRPr="008E13E6">
        <w:rPr>
          <w:i/>
          <w:sz w:val="20"/>
          <w:szCs w:val="22"/>
        </w:rPr>
        <w:t xml:space="preserve">PP Capital – </w:t>
      </w:r>
      <w:r w:rsidR="009C3621" w:rsidRPr="008E13E6">
        <w:rPr>
          <w:i/>
          <w:sz w:val="20"/>
          <w:szCs w:val="22"/>
        </w:rPr>
        <w:t xml:space="preserve">BASIS, </w:t>
      </w:r>
      <w:r w:rsidR="003D49F1" w:rsidRPr="008E13E6">
        <w:rPr>
          <w:i/>
          <w:sz w:val="20"/>
          <w:szCs w:val="22"/>
        </w:rPr>
        <w:t>kl n EUR</w:t>
      </w:r>
      <w:r w:rsidR="00A079F1" w:rsidRPr="008E13E6">
        <w:rPr>
          <w:i/>
          <w:sz w:val="20"/>
          <w:szCs w:val="22"/>
        </w:rPr>
        <w:t xml:space="preserve"> </w:t>
      </w:r>
      <w:r w:rsidR="000764CC" w:rsidRPr="008E13E6">
        <w:rPr>
          <w:i/>
          <w:sz w:val="20"/>
          <w:szCs w:val="22"/>
        </w:rPr>
        <w:t xml:space="preserve">under Investeringsforeningen PortfolioManager  </w:t>
      </w:r>
    </w:p>
    <w:p w14:paraId="58C59000" w14:textId="77777777" w:rsidR="0007116B" w:rsidRPr="008E13E6" w:rsidRDefault="00D17C62" w:rsidP="0007116B">
      <w:pPr>
        <w:spacing w:before="360" w:after="120"/>
        <w:rPr>
          <w:b/>
          <w:sz w:val="20"/>
          <w:szCs w:val="22"/>
        </w:rPr>
      </w:pPr>
      <w:bookmarkStart w:id="371" w:name="_Toc303843936"/>
      <w:bookmarkStart w:id="372" w:name="_Toc305590841"/>
      <w:bookmarkStart w:id="373" w:name="_Toc357087634"/>
      <w:r w:rsidRPr="008E13E6">
        <w:rPr>
          <w:b/>
          <w:sz w:val="20"/>
          <w:szCs w:val="22"/>
        </w:rPr>
        <w:t>Indløsningsfradragets</w:t>
      </w:r>
      <w:r w:rsidR="0007116B" w:rsidRPr="008E13E6">
        <w:rPr>
          <w:b/>
          <w:sz w:val="20"/>
          <w:szCs w:val="22"/>
        </w:rPr>
        <w:t xml:space="preserve"> sammensætning og maksimale størrelse i procent inden kursafrunding</w:t>
      </w: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2346"/>
        <w:gridCol w:w="1765"/>
        <w:gridCol w:w="1134"/>
        <w:gridCol w:w="989"/>
      </w:tblGrid>
      <w:tr w:rsidR="0007116B" w:rsidRPr="008E13E6" w14:paraId="6D3CAB74" w14:textId="77777777" w:rsidTr="00BF3A00">
        <w:trPr>
          <w:trHeight w:val="454"/>
          <w:tblHeader/>
        </w:trPr>
        <w:tc>
          <w:tcPr>
            <w:tcW w:w="1640" w:type="pct"/>
            <w:vAlign w:val="center"/>
          </w:tcPr>
          <w:p w14:paraId="2E323BC0" w14:textId="77777777" w:rsidR="0007116B" w:rsidRPr="008E13E6" w:rsidRDefault="0007116B" w:rsidP="0007116B">
            <w:pPr>
              <w:spacing w:before="60" w:after="60"/>
              <w:jc w:val="center"/>
              <w:rPr>
                <w:b/>
                <w:spacing w:val="-3"/>
                <w:sz w:val="20"/>
              </w:rPr>
            </w:pPr>
            <w:r w:rsidRPr="008E13E6">
              <w:rPr>
                <w:b/>
                <w:bCs/>
                <w:spacing w:val="-3"/>
                <w:sz w:val="20"/>
                <w:szCs w:val="22"/>
              </w:rPr>
              <w:t>A</w:t>
            </w:r>
            <w:r w:rsidR="000764CC" w:rsidRPr="008E13E6">
              <w:rPr>
                <w:b/>
                <w:bCs/>
                <w:spacing w:val="-3"/>
                <w:sz w:val="20"/>
                <w:szCs w:val="22"/>
              </w:rPr>
              <w:t>ndelsklasse</w:t>
            </w:r>
          </w:p>
          <w:p w14:paraId="582AEFDE" w14:textId="77777777" w:rsidR="0007116B" w:rsidRPr="008E13E6" w:rsidRDefault="0007116B" w:rsidP="0007116B">
            <w:pPr>
              <w:spacing w:before="60" w:after="60"/>
              <w:jc w:val="center"/>
              <w:rPr>
                <w:b/>
                <w:sz w:val="20"/>
              </w:rPr>
            </w:pPr>
          </w:p>
        </w:tc>
        <w:tc>
          <w:tcPr>
            <w:tcW w:w="1264" w:type="pct"/>
          </w:tcPr>
          <w:p w14:paraId="0240FD8E" w14:textId="77777777" w:rsidR="0007116B" w:rsidRPr="008E13E6" w:rsidRDefault="0007116B" w:rsidP="0007116B">
            <w:pPr>
              <w:spacing w:before="60" w:after="60"/>
              <w:jc w:val="center"/>
              <w:rPr>
                <w:b/>
                <w:bCs/>
                <w:sz w:val="20"/>
              </w:rPr>
            </w:pPr>
            <w:r w:rsidRPr="008E13E6">
              <w:rPr>
                <w:b/>
                <w:bCs/>
                <w:sz w:val="20"/>
                <w:szCs w:val="22"/>
              </w:rPr>
              <w:t>Kurtage og alle øvrige direkte handelsudgifter ved salg af instrumenter, ca.</w:t>
            </w:r>
          </w:p>
        </w:tc>
        <w:tc>
          <w:tcPr>
            <w:tcW w:w="951" w:type="pct"/>
          </w:tcPr>
          <w:p w14:paraId="124BE543" w14:textId="77777777" w:rsidR="0007116B" w:rsidRPr="008E13E6" w:rsidRDefault="0007116B" w:rsidP="002B677B">
            <w:pPr>
              <w:spacing w:before="60" w:after="60"/>
              <w:jc w:val="center"/>
              <w:rPr>
                <w:b/>
                <w:bCs/>
                <w:sz w:val="20"/>
              </w:rPr>
            </w:pPr>
            <w:r w:rsidRPr="008E13E6">
              <w:rPr>
                <w:b/>
                <w:bCs/>
                <w:sz w:val="20"/>
                <w:szCs w:val="22"/>
              </w:rPr>
              <w:t>Øvrige markedsafledte udgifter ved salg af instrumenter, ca.</w:t>
            </w:r>
            <w:r w:rsidRPr="008E13E6">
              <w:rPr>
                <w:b/>
                <w:bCs/>
                <w:sz w:val="20"/>
                <w:szCs w:val="22"/>
                <w:vertAlign w:val="superscript"/>
              </w:rPr>
              <w:t xml:space="preserve"> </w:t>
            </w:r>
          </w:p>
        </w:tc>
        <w:tc>
          <w:tcPr>
            <w:tcW w:w="611" w:type="pct"/>
          </w:tcPr>
          <w:p w14:paraId="04A7096C" w14:textId="77777777" w:rsidR="0007116B" w:rsidRPr="008E13E6" w:rsidRDefault="0007116B" w:rsidP="0007116B">
            <w:pPr>
              <w:spacing w:before="60" w:after="60"/>
              <w:jc w:val="center"/>
              <w:rPr>
                <w:b/>
                <w:bCs/>
                <w:sz w:val="20"/>
              </w:rPr>
            </w:pPr>
            <w:r w:rsidRPr="008E13E6">
              <w:rPr>
                <w:b/>
                <w:bCs/>
                <w:sz w:val="20"/>
                <w:szCs w:val="22"/>
              </w:rPr>
              <w:t>Øvrige omkostninger, ca.</w:t>
            </w:r>
          </w:p>
        </w:tc>
        <w:tc>
          <w:tcPr>
            <w:tcW w:w="533" w:type="pct"/>
          </w:tcPr>
          <w:p w14:paraId="172122B1" w14:textId="77777777" w:rsidR="0007116B" w:rsidRPr="008E13E6" w:rsidRDefault="0007116B" w:rsidP="0007116B">
            <w:pPr>
              <w:spacing w:before="60" w:after="60"/>
              <w:jc w:val="center"/>
              <w:rPr>
                <w:b/>
                <w:bCs/>
                <w:sz w:val="20"/>
                <w:vertAlign w:val="superscript"/>
              </w:rPr>
            </w:pPr>
            <w:r w:rsidRPr="008E13E6">
              <w:rPr>
                <w:b/>
                <w:bCs/>
                <w:sz w:val="20"/>
                <w:szCs w:val="22"/>
              </w:rPr>
              <w:t>I alt, maksimalt</w:t>
            </w:r>
            <w:r w:rsidRPr="008E13E6">
              <w:rPr>
                <w:b/>
                <w:bCs/>
                <w:sz w:val="20"/>
                <w:szCs w:val="22"/>
                <w:vertAlign w:val="superscript"/>
              </w:rPr>
              <w:t>1)</w:t>
            </w:r>
          </w:p>
        </w:tc>
      </w:tr>
      <w:tr w:rsidR="000764CC" w:rsidRPr="008E13E6" w14:paraId="6413E618" w14:textId="77777777" w:rsidTr="00143DF1">
        <w:trPr>
          <w:trHeight w:val="454"/>
          <w:tblHeader/>
        </w:trPr>
        <w:tc>
          <w:tcPr>
            <w:tcW w:w="1640" w:type="pct"/>
          </w:tcPr>
          <w:p w14:paraId="4B8A6219" w14:textId="77777777" w:rsidR="000764CC" w:rsidRPr="00BF3A00" w:rsidRDefault="000764CC" w:rsidP="000764CC">
            <w:pPr>
              <w:spacing w:before="60" w:after="60"/>
              <w:rPr>
                <w:sz w:val="20"/>
                <w:szCs w:val="22"/>
              </w:rPr>
            </w:pPr>
            <w:r w:rsidRPr="00BF3A00">
              <w:rPr>
                <w:sz w:val="20"/>
                <w:szCs w:val="22"/>
              </w:rPr>
              <w:t xml:space="preserve">PP Capital – </w:t>
            </w:r>
            <w:r w:rsidR="009C3621" w:rsidRPr="00BF3A00">
              <w:rPr>
                <w:sz w:val="20"/>
                <w:szCs w:val="22"/>
              </w:rPr>
              <w:t>BASIS, kl n</w:t>
            </w:r>
            <w:r w:rsidR="00A079F1" w:rsidRPr="00BF3A00">
              <w:rPr>
                <w:sz w:val="20"/>
                <w:szCs w:val="22"/>
              </w:rPr>
              <w:t xml:space="preserve"> EUR</w:t>
            </w:r>
          </w:p>
        </w:tc>
        <w:tc>
          <w:tcPr>
            <w:tcW w:w="1264" w:type="pct"/>
          </w:tcPr>
          <w:p w14:paraId="16E234B9" w14:textId="77777777" w:rsidR="000764CC" w:rsidRPr="00BF3A00" w:rsidRDefault="000764CC" w:rsidP="000764CC">
            <w:pPr>
              <w:spacing w:before="60" w:after="60"/>
              <w:jc w:val="center"/>
              <w:rPr>
                <w:sz w:val="20"/>
                <w:szCs w:val="22"/>
              </w:rPr>
            </w:pPr>
            <w:r w:rsidRPr="00BF3A00">
              <w:rPr>
                <w:sz w:val="20"/>
                <w:szCs w:val="22"/>
              </w:rPr>
              <w:t>0,</w:t>
            </w:r>
            <w:r w:rsidR="00A079F1" w:rsidRPr="00BF3A00">
              <w:rPr>
                <w:sz w:val="20"/>
                <w:szCs w:val="22"/>
              </w:rPr>
              <w:t>15</w:t>
            </w:r>
          </w:p>
        </w:tc>
        <w:tc>
          <w:tcPr>
            <w:tcW w:w="951" w:type="pct"/>
          </w:tcPr>
          <w:p w14:paraId="7F0D564D" w14:textId="77777777" w:rsidR="000764CC" w:rsidRPr="00BF3A00" w:rsidRDefault="000764CC" w:rsidP="000764CC">
            <w:pPr>
              <w:spacing w:before="60" w:after="60"/>
              <w:jc w:val="center"/>
              <w:rPr>
                <w:sz w:val="20"/>
                <w:szCs w:val="22"/>
              </w:rPr>
            </w:pPr>
            <w:r w:rsidRPr="00BF3A00">
              <w:rPr>
                <w:sz w:val="20"/>
                <w:szCs w:val="22"/>
              </w:rPr>
              <w:t>0,</w:t>
            </w:r>
            <w:r w:rsidR="00A079F1" w:rsidRPr="00BF3A00">
              <w:rPr>
                <w:sz w:val="20"/>
                <w:szCs w:val="22"/>
              </w:rPr>
              <w:t>05</w:t>
            </w:r>
          </w:p>
        </w:tc>
        <w:tc>
          <w:tcPr>
            <w:tcW w:w="611" w:type="pct"/>
          </w:tcPr>
          <w:p w14:paraId="3DB4B18C" w14:textId="77777777" w:rsidR="000764CC" w:rsidRPr="00BF3A00" w:rsidRDefault="000764CC" w:rsidP="000764CC">
            <w:pPr>
              <w:spacing w:before="60" w:after="60"/>
              <w:jc w:val="center"/>
              <w:rPr>
                <w:sz w:val="20"/>
                <w:szCs w:val="22"/>
              </w:rPr>
            </w:pPr>
            <w:r w:rsidRPr="00BF3A00">
              <w:rPr>
                <w:sz w:val="20"/>
                <w:szCs w:val="22"/>
              </w:rPr>
              <w:t>0,00</w:t>
            </w:r>
          </w:p>
        </w:tc>
        <w:tc>
          <w:tcPr>
            <w:tcW w:w="533" w:type="pct"/>
          </w:tcPr>
          <w:p w14:paraId="580C1F26" w14:textId="77777777" w:rsidR="000764CC" w:rsidRPr="00BF3A00" w:rsidRDefault="000764CC" w:rsidP="000764CC">
            <w:pPr>
              <w:spacing w:before="60" w:after="60"/>
              <w:jc w:val="center"/>
              <w:rPr>
                <w:sz w:val="20"/>
                <w:szCs w:val="22"/>
              </w:rPr>
            </w:pPr>
            <w:r w:rsidRPr="00BF3A00">
              <w:rPr>
                <w:sz w:val="20"/>
                <w:szCs w:val="22"/>
              </w:rPr>
              <w:t>0,</w:t>
            </w:r>
            <w:r w:rsidR="00A079F1" w:rsidRPr="00BF3A00">
              <w:rPr>
                <w:sz w:val="20"/>
                <w:szCs w:val="22"/>
              </w:rPr>
              <w:t>2</w:t>
            </w:r>
            <w:r w:rsidRPr="00BF3A00">
              <w:rPr>
                <w:sz w:val="20"/>
                <w:szCs w:val="22"/>
              </w:rPr>
              <w:t>0</w:t>
            </w:r>
          </w:p>
        </w:tc>
      </w:tr>
    </w:tbl>
    <w:p w14:paraId="6A6F1922" w14:textId="77777777" w:rsidR="0007116B" w:rsidRPr="008E13E6" w:rsidRDefault="0007116B" w:rsidP="0007116B">
      <w:pPr>
        <w:pStyle w:val="Kommentartekst"/>
        <w:spacing w:before="120"/>
        <w:rPr>
          <w:spacing w:val="-3"/>
          <w:szCs w:val="22"/>
          <w:vertAlign w:val="superscript"/>
        </w:rPr>
      </w:pPr>
      <w:r w:rsidRPr="008E13E6">
        <w:rPr>
          <w:i/>
          <w:iCs/>
          <w:szCs w:val="22"/>
          <w:vertAlign w:val="superscript"/>
        </w:rPr>
        <w:t xml:space="preserve">1) </w:t>
      </w:r>
      <w:r w:rsidRPr="008E13E6">
        <w:rPr>
          <w:i/>
          <w:iCs/>
          <w:szCs w:val="22"/>
        </w:rPr>
        <w:t>Inden kursafrunding.</w:t>
      </w:r>
      <w:r w:rsidRPr="008E13E6">
        <w:rPr>
          <w:spacing w:val="-3"/>
          <w:szCs w:val="22"/>
          <w:vertAlign w:val="superscript"/>
        </w:rPr>
        <w:t xml:space="preserve"> </w:t>
      </w:r>
    </w:p>
    <w:p w14:paraId="43241534" w14:textId="77777777" w:rsidR="002B677B" w:rsidRPr="008E13E6" w:rsidRDefault="002B677B" w:rsidP="002B677B">
      <w:pPr>
        <w:spacing w:before="120"/>
        <w:rPr>
          <w:sz w:val="20"/>
          <w:szCs w:val="22"/>
        </w:rPr>
      </w:pPr>
      <w:r w:rsidRPr="008E13E6">
        <w:rPr>
          <w:sz w:val="20"/>
          <w:szCs w:val="22"/>
        </w:rPr>
        <w:t>Det angivne maksimale indløsningsfradrag kan overskrides i perioder med usædvanlige markedsforhold, som medfører en stigning i ”øvrige markedsafledte udgifter ved salg af instrumenter”. Såfremt en sådan situation opstår, vil foreningen i den pågældende periode oplyse om de konkrete indløsningsfradrag på www.</w:t>
      </w:r>
      <w:r w:rsidR="000764CC" w:rsidRPr="008E13E6">
        <w:rPr>
          <w:sz w:val="20"/>
          <w:szCs w:val="22"/>
        </w:rPr>
        <w:t>portfoliomanager</w:t>
      </w:r>
      <w:r w:rsidRPr="008E13E6">
        <w:rPr>
          <w:sz w:val="20"/>
          <w:szCs w:val="22"/>
        </w:rPr>
        <w:t>.dk.</w:t>
      </w:r>
    </w:p>
    <w:p w14:paraId="5A4E3C4A" w14:textId="77777777" w:rsidR="00A51F0C" w:rsidRPr="008E13E6" w:rsidRDefault="00A51F0C">
      <w:pPr>
        <w:rPr>
          <w:b/>
          <w:sz w:val="20"/>
          <w:szCs w:val="22"/>
        </w:rPr>
      </w:pPr>
      <w:r w:rsidRPr="008E13E6">
        <w:rPr>
          <w:b/>
          <w:sz w:val="20"/>
          <w:szCs w:val="22"/>
        </w:rPr>
        <w:br w:type="page"/>
      </w:r>
    </w:p>
    <w:p w14:paraId="066BB8E8" w14:textId="77777777" w:rsidR="00C67DD8" w:rsidRPr="008E13E6" w:rsidRDefault="00C67DD8" w:rsidP="00560861">
      <w:pPr>
        <w:pStyle w:val="Overskrift2"/>
        <w:numPr>
          <w:ilvl w:val="0"/>
          <w:numId w:val="0"/>
        </w:numPr>
        <w:spacing w:before="0"/>
        <w:ind w:left="576" w:hanging="576"/>
        <w:jc w:val="right"/>
        <w:rPr>
          <w:rFonts w:ascii="Times New Roman" w:hAnsi="Times New Roman"/>
          <w:i w:val="0"/>
          <w:color w:val="002060"/>
          <w:sz w:val="24"/>
          <w:szCs w:val="28"/>
        </w:rPr>
      </w:pPr>
      <w:bookmarkStart w:id="374" w:name="_Toc404773394"/>
      <w:bookmarkStart w:id="375" w:name="_Toc408562131"/>
      <w:bookmarkStart w:id="376" w:name="_Toc409096249"/>
      <w:bookmarkStart w:id="377" w:name="_Toc412022655"/>
      <w:bookmarkStart w:id="378" w:name="_Toc414000066"/>
      <w:bookmarkStart w:id="379" w:name="_Toc9239940"/>
      <w:bookmarkEnd w:id="371"/>
      <w:bookmarkEnd w:id="372"/>
      <w:bookmarkEnd w:id="373"/>
      <w:r w:rsidRPr="008E13E6">
        <w:rPr>
          <w:rFonts w:ascii="Times New Roman" w:hAnsi="Times New Roman"/>
          <w:i w:val="0"/>
          <w:color w:val="002060"/>
          <w:sz w:val="24"/>
          <w:szCs w:val="28"/>
        </w:rPr>
        <w:lastRenderedPageBreak/>
        <w:t xml:space="preserve">Bilag </w:t>
      </w:r>
      <w:bookmarkEnd w:id="374"/>
      <w:bookmarkEnd w:id="375"/>
      <w:bookmarkEnd w:id="376"/>
      <w:bookmarkEnd w:id="377"/>
      <w:r w:rsidRPr="008E13E6">
        <w:rPr>
          <w:rFonts w:ascii="Times New Roman" w:hAnsi="Times New Roman"/>
          <w:i w:val="0"/>
          <w:color w:val="002060"/>
          <w:sz w:val="24"/>
          <w:szCs w:val="28"/>
        </w:rPr>
        <w:t>3</w:t>
      </w:r>
      <w:bookmarkEnd w:id="378"/>
      <w:bookmarkEnd w:id="379"/>
    </w:p>
    <w:p w14:paraId="6DA13D79" w14:textId="77777777" w:rsidR="00C67DD8" w:rsidRPr="008E13E6" w:rsidRDefault="00C67DD8" w:rsidP="00C67DD8">
      <w:pPr>
        <w:rPr>
          <w:sz w:val="20"/>
          <w:szCs w:val="22"/>
        </w:rPr>
      </w:pPr>
    </w:p>
    <w:p w14:paraId="5DC036B4" w14:textId="77777777" w:rsidR="0007116B" w:rsidRPr="008E13E6" w:rsidRDefault="0007116B" w:rsidP="000764CC">
      <w:pPr>
        <w:tabs>
          <w:tab w:val="left" w:pos="1985"/>
        </w:tabs>
        <w:spacing w:before="120" w:after="120"/>
        <w:rPr>
          <w:b/>
          <w:sz w:val="20"/>
          <w:szCs w:val="22"/>
        </w:rPr>
      </w:pPr>
      <w:r w:rsidRPr="008E13E6">
        <w:rPr>
          <w:i/>
          <w:sz w:val="20"/>
          <w:szCs w:val="22"/>
        </w:rPr>
        <w:t xml:space="preserve">Bilag til prospektet for </w:t>
      </w:r>
      <w:r w:rsidR="000764CC" w:rsidRPr="008E13E6">
        <w:rPr>
          <w:i/>
          <w:sz w:val="20"/>
          <w:szCs w:val="22"/>
        </w:rPr>
        <w:t xml:space="preserve">PP Capital – </w:t>
      </w:r>
      <w:r w:rsidR="009C3621" w:rsidRPr="008E13E6">
        <w:rPr>
          <w:i/>
          <w:sz w:val="20"/>
          <w:szCs w:val="22"/>
        </w:rPr>
        <w:t xml:space="preserve">BASIS, </w:t>
      </w:r>
      <w:r w:rsidR="003D49F1" w:rsidRPr="008E13E6">
        <w:rPr>
          <w:i/>
          <w:sz w:val="20"/>
          <w:szCs w:val="22"/>
        </w:rPr>
        <w:t>kl n EUR</w:t>
      </w:r>
      <w:r w:rsidR="00A079F1" w:rsidRPr="008E13E6">
        <w:rPr>
          <w:i/>
          <w:sz w:val="20"/>
          <w:szCs w:val="22"/>
        </w:rPr>
        <w:t xml:space="preserve"> </w:t>
      </w:r>
      <w:r w:rsidR="000764CC" w:rsidRPr="008E13E6">
        <w:rPr>
          <w:i/>
          <w:sz w:val="20"/>
          <w:szCs w:val="22"/>
        </w:rPr>
        <w:t xml:space="preserve">under Investeringsforeningen PortfolioManager  </w:t>
      </w:r>
    </w:p>
    <w:p w14:paraId="31FF7906" w14:textId="77777777" w:rsidR="00AB366A" w:rsidRPr="008E13E6" w:rsidRDefault="00AB366A" w:rsidP="00E81404">
      <w:pPr>
        <w:spacing w:before="120" w:after="120"/>
        <w:rPr>
          <w:b/>
          <w:sz w:val="20"/>
          <w:szCs w:val="22"/>
        </w:rPr>
      </w:pPr>
    </w:p>
    <w:p w14:paraId="30D2A8A8" w14:textId="77777777" w:rsidR="00791464" w:rsidRPr="008E13E6" w:rsidRDefault="00A079F1" w:rsidP="00E81404">
      <w:pPr>
        <w:spacing w:before="120" w:after="120"/>
        <w:rPr>
          <w:b/>
          <w:sz w:val="20"/>
          <w:szCs w:val="22"/>
        </w:rPr>
      </w:pPr>
      <w:r w:rsidRPr="008E13E6">
        <w:rPr>
          <w:b/>
          <w:sz w:val="20"/>
          <w:szCs w:val="22"/>
        </w:rPr>
        <w:t>Administrations</w:t>
      </w:r>
      <w:r w:rsidR="00791464" w:rsidRPr="008E13E6">
        <w:rPr>
          <w:b/>
          <w:sz w:val="20"/>
          <w:szCs w:val="22"/>
        </w:rPr>
        <w:t>honorar</w:t>
      </w:r>
      <w:r w:rsidR="00235809" w:rsidRPr="008E13E6">
        <w:rPr>
          <w:b/>
          <w:sz w:val="20"/>
          <w:szCs w:val="22"/>
        </w:rPr>
        <w:t xml:space="preserve"> </w:t>
      </w:r>
    </w:p>
    <w:p w14:paraId="1C9D07D4" w14:textId="77777777" w:rsidR="00791464" w:rsidRPr="008E13E6" w:rsidRDefault="00791464" w:rsidP="00E81404">
      <w:pPr>
        <w:spacing w:before="120" w:after="120"/>
        <w:rPr>
          <w:i/>
          <w:sz w:val="20"/>
          <w:szCs w:val="22"/>
        </w:rPr>
      </w:pPr>
      <w:bookmarkStart w:id="380" w:name="_Hlk3976129"/>
      <w:r w:rsidRPr="008E13E6">
        <w:rPr>
          <w:i/>
          <w:sz w:val="20"/>
          <w:szCs w:val="22"/>
        </w:rPr>
        <w:t>Honorarerne beregnes af den gennemsnitlige formue.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969"/>
      </w:tblGrid>
      <w:tr w:rsidR="00745434" w:rsidRPr="008E13E6" w14:paraId="18A44AE6" w14:textId="77777777" w:rsidTr="00DC56D0">
        <w:trPr>
          <w:trHeight w:val="454"/>
        </w:trPr>
        <w:tc>
          <w:tcPr>
            <w:tcW w:w="5245" w:type="dxa"/>
            <w:vAlign w:val="center"/>
          </w:tcPr>
          <w:p w14:paraId="4F421ED7" w14:textId="77777777" w:rsidR="00745434" w:rsidRPr="008E13E6" w:rsidRDefault="00745434" w:rsidP="00745434">
            <w:pPr>
              <w:spacing w:before="120" w:after="120"/>
              <w:rPr>
                <w:bCs/>
                <w:sz w:val="20"/>
                <w:szCs w:val="22"/>
              </w:rPr>
            </w:pPr>
            <w:r w:rsidRPr="008E13E6">
              <w:rPr>
                <w:b/>
                <w:sz w:val="20"/>
                <w:szCs w:val="22"/>
              </w:rPr>
              <w:t>Andelsklasse</w:t>
            </w:r>
          </w:p>
        </w:tc>
        <w:tc>
          <w:tcPr>
            <w:tcW w:w="3969" w:type="dxa"/>
            <w:vAlign w:val="center"/>
          </w:tcPr>
          <w:p w14:paraId="36A5FB3E" w14:textId="77777777" w:rsidR="00745434" w:rsidRPr="008E13E6" w:rsidRDefault="00745434" w:rsidP="00BF3A00">
            <w:pPr>
              <w:spacing w:before="120" w:after="120"/>
              <w:rPr>
                <w:bCs/>
                <w:sz w:val="20"/>
                <w:szCs w:val="22"/>
              </w:rPr>
            </w:pPr>
            <w:r w:rsidRPr="008E13E6">
              <w:rPr>
                <w:b/>
                <w:sz w:val="20"/>
                <w:szCs w:val="22"/>
              </w:rPr>
              <w:t>Honorar til Fundmarket A/S for administrations</w:t>
            </w:r>
            <w:r w:rsidRPr="008E13E6">
              <w:rPr>
                <w:b/>
                <w:sz w:val="20"/>
                <w:szCs w:val="22"/>
              </w:rPr>
              <w:softHyphen/>
              <w:t>opgaver, pct. p.a.</w:t>
            </w:r>
          </w:p>
        </w:tc>
      </w:tr>
      <w:tr w:rsidR="00745434" w:rsidRPr="008E13E6" w14:paraId="4F7B1D81" w14:textId="77777777" w:rsidTr="00DC56D0">
        <w:trPr>
          <w:trHeight w:val="454"/>
        </w:trPr>
        <w:tc>
          <w:tcPr>
            <w:tcW w:w="5245" w:type="dxa"/>
            <w:vAlign w:val="center"/>
          </w:tcPr>
          <w:p w14:paraId="71DA1711" w14:textId="77777777" w:rsidR="00745434" w:rsidRPr="008E13E6" w:rsidRDefault="00745434" w:rsidP="00745434">
            <w:pPr>
              <w:spacing w:before="120" w:after="120"/>
              <w:rPr>
                <w:bCs/>
                <w:sz w:val="20"/>
                <w:szCs w:val="22"/>
              </w:rPr>
            </w:pPr>
            <w:bookmarkStart w:id="381" w:name="_Hlk531790773"/>
            <w:r w:rsidRPr="008E13E6">
              <w:rPr>
                <w:bCs/>
                <w:sz w:val="20"/>
                <w:szCs w:val="22"/>
              </w:rPr>
              <w:t>Af formue indtil 100 mio. kr.:</w:t>
            </w:r>
          </w:p>
        </w:tc>
        <w:tc>
          <w:tcPr>
            <w:tcW w:w="3969" w:type="dxa"/>
            <w:vAlign w:val="center"/>
          </w:tcPr>
          <w:p w14:paraId="56B3EC3F" w14:textId="7FEDF355" w:rsidR="00745434" w:rsidRPr="008E13E6" w:rsidRDefault="00745434" w:rsidP="00745434">
            <w:pPr>
              <w:spacing w:before="120" w:after="120"/>
              <w:jc w:val="center"/>
              <w:rPr>
                <w:bCs/>
                <w:sz w:val="20"/>
                <w:szCs w:val="22"/>
              </w:rPr>
            </w:pPr>
            <w:r w:rsidRPr="008E13E6">
              <w:rPr>
                <w:bCs/>
                <w:sz w:val="20"/>
                <w:szCs w:val="22"/>
              </w:rPr>
              <w:t>0,20</w:t>
            </w:r>
            <w:r w:rsidR="007A065E" w:rsidRPr="007A065E">
              <w:rPr>
                <w:bCs/>
                <w:sz w:val="20"/>
                <w:szCs w:val="22"/>
                <w:vertAlign w:val="superscript"/>
              </w:rPr>
              <w:t>1</w:t>
            </w:r>
            <w:r w:rsidRPr="007A065E">
              <w:rPr>
                <w:bCs/>
                <w:sz w:val="20"/>
                <w:szCs w:val="22"/>
                <w:vertAlign w:val="superscript"/>
              </w:rPr>
              <w:t>)</w:t>
            </w:r>
          </w:p>
        </w:tc>
      </w:tr>
      <w:tr w:rsidR="00745434" w:rsidRPr="008E13E6" w14:paraId="2EC2EAE0" w14:textId="77777777" w:rsidTr="00DC56D0">
        <w:trPr>
          <w:trHeight w:val="454"/>
        </w:trPr>
        <w:tc>
          <w:tcPr>
            <w:tcW w:w="5245" w:type="dxa"/>
            <w:vAlign w:val="center"/>
          </w:tcPr>
          <w:p w14:paraId="4127B7ED" w14:textId="77777777" w:rsidR="00745434" w:rsidRPr="008E13E6" w:rsidRDefault="00745434" w:rsidP="00745434">
            <w:pPr>
              <w:spacing w:before="120" w:after="120"/>
              <w:rPr>
                <w:bCs/>
                <w:sz w:val="20"/>
                <w:szCs w:val="22"/>
              </w:rPr>
            </w:pPr>
            <w:r w:rsidRPr="008E13E6">
              <w:rPr>
                <w:bCs/>
                <w:sz w:val="20"/>
                <w:szCs w:val="22"/>
              </w:rPr>
              <w:t>Af formue mellem 100 mio. kr. og 250 mio. kr.:</w:t>
            </w:r>
          </w:p>
        </w:tc>
        <w:tc>
          <w:tcPr>
            <w:tcW w:w="3969" w:type="dxa"/>
            <w:vAlign w:val="center"/>
          </w:tcPr>
          <w:p w14:paraId="2BC7E5AD" w14:textId="77777777" w:rsidR="00745434" w:rsidRPr="008E13E6" w:rsidRDefault="00745434" w:rsidP="00745434">
            <w:pPr>
              <w:spacing w:before="120" w:after="120"/>
              <w:jc w:val="center"/>
              <w:rPr>
                <w:bCs/>
                <w:sz w:val="20"/>
                <w:szCs w:val="22"/>
              </w:rPr>
            </w:pPr>
            <w:r w:rsidRPr="008E13E6">
              <w:rPr>
                <w:bCs/>
                <w:sz w:val="20"/>
                <w:szCs w:val="22"/>
              </w:rPr>
              <w:t>0,18</w:t>
            </w:r>
          </w:p>
        </w:tc>
      </w:tr>
      <w:tr w:rsidR="00745434" w:rsidRPr="008E13E6" w14:paraId="4393FF5D" w14:textId="77777777" w:rsidTr="00DC56D0">
        <w:trPr>
          <w:trHeight w:val="454"/>
        </w:trPr>
        <w:tc>
          <w:tcPr>
            <w:tcW w:w="5245" w:type="dxa"/>
            <w:vAlign w:val="center"/>
          </w:tcPr>
          <w:p w14:paraId="06B962BA" w14:textId="77777777" w:rsidR="00745434" w:rsidRPr="008E13E6" w:rsidRDefault="00745434" w:rsidP="00745434">
            <w:pPr>
              <w:spacing w:before="120" w:after="120"/>
              <w:rPr>
                <w:bCs/>
                <w:sz w:val="20"/>
                <w:szCs w:val="22"/>
              </w:rPr>
            </w:pPr>
            <w:r w:rsidRPr="008E13E6">
              <w:rPr>
                <w:bCs/>
                <w:sz w:val="20"/>
                <w:szCs w:val="22"/>
              </w:rPr>
              <w:t>Af yderligere formue:</w:t>
            </w:r>
          </w:p>
        </w:tc>
        <w:tc>
          <w:tcPr>
            <w:tcW w:w="3969" w:type="dxa"/>
            <w:vAlign w:val="center"/>
          </w:tcPr>
          <w:p w14:paraId="110D3AC3" w14:textId="77777777" w:rsidR="00745434" w:rsidRPr="008E13E6" w:rsidRDefault="00745434" w:rsidP="00745434">
            <w:pPr>
              <w:spacing w:before="120" w:after="120"/>
              <w:jc w:val="center"/>
              <w:rPr>
                <w:bCs/>
                <w:sz w:val="20"/>
                <w:szCs w:val="22"/>
              </w:rPr>
            </w:pPr>
            <w:r w:rsidRPr="008E13E6">
              <w:rPr>
                <w:bCs/>
                <w:sz w:val="20"/>
                <w:szCs w:val="22"/>
              </w:rPr>
              <w:t>0,15</w:t>
            </w:r>
          </w:p>
        </w:tc>
      </w:tr>
    </w:tbl>
    <w:bookmarkEnd w:id="381"/>
    <w:p w14:paraId="1FB8794A" w14:textId="77777777" w:rsidR="00745434" w:rsidRPr="008E13E6" w:rsidRDefault="00745434" w:rsidP="00745434">
      <w:pPr>
        <w:spacing w:before="120" w:after="120"/>
        <w:rPr>
          <w:bCs/>
          <w:sz w:val="20"/>
          <w:szCs w:val="22"/>
        </w:rPr>
      </w:pPr>
      <w:r w:rsidRPr="008E13E6">
        <w:rPr>
          <w:bCs/>
          <w:sz w:val="20"/>
          <w:szCs w:val="22"/>
        </w:rPr>
        <w:t xml:space="preserve">Ved en afdelings investering i andre afdelinger administreret af Fundmarket A/S reduceres det beregnede vederlag for afdelingen med det forholdsmæssige vederlag de andre afdelinger betaler.  </w:t>
      </w:r>
    </w:p>
    <w:p w14:paraId="0311D1F2" w14:textId="2EFA9F3D" w:rsidR="00745434" w:rsidRPr="008E13E6" w:rsidRDefault="007A065E" w:rsidP="00745434">
      <w:pPr>
        <w:spacing w:before="120" w:after="120"/>
        <w:rPr>
          <w:i/>
          <w:iCs/>
          <w:sz w:val="20"/>
          <w:szCs w:val="22"/>
        </w:rPr>
      </w:pPr>
      <w:r>
        <w:rPr>
          <w:i/>
          <w:iCs/>
          <w:sz w:val="20"/>
          <w:szCs w:val="22"/>
          <w:vertAlign w:val="superscript"/>
        </w:rPr>
        <w:t>1</w:t>
      </w:r>
      <w:r w:rsidR="00745434" w:rsidRPr="008E13E6">
        <w:rPr>
          <w:i/>
          <w:iCs/>
          <w:sz w:val="20"/>
          <w:szCs w:val="22"/>
          <w:vertAlign w:val="superscript"/>
        </w:rPr>
        <w:t xml:space="preserve">) </w:t>
      </w:r>
      <w:r w:rsidR="00745434" w:rsidRPr="008E13E6">
        <w:rPr>
          <w:i/>
          <w:iCs/>
          <w:sz w:val="20"/>
          <w:szCs w:val="22"/>
        </w:rPr>
        <w:t>Vederlaget reduceres med de omkostninger, der måtte overstige 0,1 pct. p.a. af den gennemsnitlige formue for afdelingen/andelsklassen, som relaterer sig til</w:t>
      </w:r>
    </w:p>
    <w:p w14:paraId="5DAFDE05" w14:textId="77777777" w:rsidR="00745434" w:rsidRPr="008E13E6" w:rsidRDefault="00745434" w:rsidP="00745434">
      <w:pPr>
        <w:numPr>
          <w:ilvl w:val="0"/>
          <w:numId w:val="12"/>
        </w:numPr>
        <w:rPr>
          <w:i/>
          <w:iCs/>
          <w:sz w:val="20"/>
          <w:szCs w:val="22"/>
        </w:rPr>
      </w:pPr>
      <w:r w:rsidRPr="008E13E6">
        <w:rPr>
          <w:i/>
          <w:iCs/>
          <w:sz w:val="20"/>
          <w:szCs w:val="22"/>
        </w:rPr>
        <w:t>Bestyrelse</w:t>
      </w:r>
    </w:p>
    <w:p w14:paraId="3EE54CFF" w14:textId="77777777" w:rsidR="00745434" w:rsidRPr="008E13E6" w:rsidRDefault="00745434" w:rsidP="00745434">
      <w:pPr>
        <w:numPr>
          <w:ilvl w:val="0"/>
          <w:numId w:val="12"/>
        </w:numPr>
        <w:rPr>
          <w:i/>
          <w:iCs/>
          <w:sz w:val="20"/>
          <w:szCs w:val="22"/>
        </w:rPr>
      </w:pPr>
      <w:r w:rsidRPr="008E13E6">
        <w:rPr>
          <w:i/>
          <w:iCs/>
          <w:sz w:val="20"/>
          <w:szCs w:val="22"/>
        </w:rPr>
        <w:t>Revision</w:t>
      </w:r>
    </w:p>
    <w:p w14:paraId="7DC7A1AF" w14:textId="77777777" w:rsidR="00745434" w:rsidRPr="008E13E6" w:rsidRDefault="00745434" w:rsidP="00745434">
      <w:pPr>
        <w:numPr>
          <w:ilvl w:val="0"/>
          <w:numId w:val="12"/>
        </w:numPr>
        <w:rPr>
          <w:i/>
          <w:iCs/>
          <w:sz w:val="20"/>
          <w:szCs w:val="22"/>
        </w:rPr>
      </w:pPr>
      <w:r w:rsidRPr="008E13E6">
        <w:rPr>
          <w:i/>
          <w:iCs/>
          <w:sz w:val="20"/>
          <w:szCs w:val="22"/>
        </w:rPr>
        <w:t>Finanstilsynet</w:t>
      </w:r>
    </w:p>
    <w:p w14:paraId="6E92A89D" w14:textId="77777777" w:rsidR="00745434" w:rsidRPr="008E13E6" w:rsidRDefault="00745434" w:rsidP="00745434">
      <w:pPr>
        <w:numPr>
          <w:ilvl w:val="0"/>
          <w:numId w:val="12"/>
        </w:numPr>
        <w:rPr>
          <w:i/>
          <w:iCs/>
          <w:sz w:val="20"/>
          <w:szCs w:val="22"/>
        </w:rPr>
      </w:pPr>
      <w:r w:rsidRPr="008E13E6">
        <w:rPr>
          <w:i/>
          <w:iCs/>
          <w:sz w:val="20"/>
          <w:szCs w:val="22"/>
        </w:rPr>
        <w:t>InvesteringDanmark</w:t>
      </w:r>
    </w:p>
    <w:p w14:paraId="0B5B7A90" w14:textId="77777777" w:rsidR="00745434" w:rsidRPr="008E13E6" w:rsidRDefault="00745434" w:rsidP="00745434">
      <w:pPr>
        <w:numPr>
          <w:ilvl w:val="0"/>
          <w:numId w:val="12"/>
        </w:numPr>
        <w:rPr>
          <w:i/>
          <w:iCs/>
          <w:sz w:val="20"/>
          <w:szCs w:val="22"/>
        </w:rPr>
      </w:pPr>
      <w:r w:rsidRPr="008E13E6">
        <w:rPr>
          <w:i/>
          <w:iCs/>
          <w:sz w:val="20"/>
          <w:szCs w:val="22"/>
        </w:rPr>
        <w:t>Føring af ejerbog</w:t>
      </w:r>
    </w:p>
    <w:p w14:paraId="4F798C9A" w14:textId="77777777" w:rsidR="006F0D3C" w:rsidRPr="008E13E6" w:rsidRDefault="006F0D3C" w:rsidP="00745434">
      <w:pPr>
        <w:pStyle w:val="Default"/>
        <w:spacing w:before="240" w:after="120"/>
        <w:rPr>
          <w:b/>
          <w:sz w:val="20"/>
          <w:szCs w:val="22"/>
        </w:rPr>
      </w:pPr>
      <w:bookmarkStart w:id="382" w:name="_Toc443370922"/>
      <w:bookmarkEnd w:id="380"/>
      <w:r w:rsidRPr="008E13E6">
        <w:rPr>
          <w:b/>
          <w:sz w:val="20"/>
          <w:szCs w:val="22"/>
        </w:rPr>
        <w:t>Honorarer vedrørende depotbankopgaver</w:t>
      </w:r>
      <w:r w:rsidR="005D00CE" w:rsidRPr="008E13E6">
        <w:rPr>
          <w:b/>
          <w:sz w:val="20"/>
          <w:szCs w:val="22"/>
        </w:rPr>
        <w:t xml:space="preserve"> m.v.</w:t>
      </w:r>
    </w:p>
    <w:p w14:paraId="0513C2D2" w14:textId="77777777" w:rsidR="001739D5" w:rsidRDefault="001739D5" w:rsidP="001739D5">
      <w:pPr>
        <w:pStyle w:val="Default"/>
        <w:spacing w:before="120" w:after="120"/>
        <w:rPr>
          <w:i/>
          <w:sz w:val="20"/>
          <w:szCs w:val="22"/>
        </w:rPr>
      </w:pPr>
      <w:r w:rsidRPr="008E13E6">
        <w:rPr>
          <w:i/>
          <w:sz w:val="20"/>
          <w:szCs w:val="22"/>
        </w:rPr>
        <w:t>Honorarerne beregnes af henholdsvis den gennemsnitlige.</w:t>
      </w:r>
    </w:p>
    <w:tbl>
      <w:tblPr>
        <w:tblStyle w:val="Tabel-Gitter"/>
        <w:tblW w:w="9356" w:type="dxa"/>
        <w:tblInd w:w="-5" w:type="dxa"/>
        <w:tblLayout w:type="fixed"/>
        <w:tblLook w:val="04A0" w:firstRow="1" w:lastRow="0" w:firstColumn="1" w:lastColumn="0" w:noHBand="0" w:noVBand="1"/>
      </w:tblPr>
      <w:tblGrid>
        <w:gridCol w:w="5245"/>
        <w:gridCol w:w="4111"/>
      </w:tblGrid>
      <w:tr w:rsidR="00DC56D0" w:rsidRPr="00DC56D0" w14:paraId="6F2711AB" w14:textId="77777777" w:rsidTr="00BF3A00">
        <w:trPr>
          <w:trHeight w:val="454"/>
        </w:trPr>
        <w:tc>
          <w:tcPr>
            <w:tcW w:w="5245" w:type="dxa"/>
            <w:vAlign w:val="center"/>
          </w:tcPr>
          <w:p w14:paraId="6225A1B8" w14:textId="77777777" w:rsidR="00DC56D0" w:rsidRPr="00DC56D0" w:rsidRDefault="00DC56D0" w:rsidP="00BF3A00">
            <w:pPr>
              <w:spacing w:before="60" w:after="60"/>
              <w:rPr>
                <w:b/>
                <w:highlight w:val="yellow"/>
              </w:rPr>
            </w:pPr>
            <w:r w:rsidRPr="00DC56D0">
              <w:rPr>
                <w:b/>
              </w:rPr>
              <w:t xml:space="preserve">Afdeling </w:t>
            </w:r>
          </w:p>
        </w:tc>
        <w:tc>
          <w:tcPr>
            <w:tcW w:w="4111" w:type="dxa"/>
            <w:vAlign w:val="center"/>
          </w:tcPr>
          <w:p w14:paraId="58B9E8DB" w14:textId="28C0FFCB" w:rsidR="00DC56D0" w:rsidRPr="00DC56D0" w:rsidRDefault="00DC56D0" w:rsidP="00BF3A00">
            <w:pPr>
              <w:spacing w:before="60" w:after="120"/>
              <w:ind w:left="116"/>
              <w:rPr>
                <w:b/>
              </w:rPr>
            </w:pPr>
            <w:r w:rsidRPr="00DC56D0">
              <w:rPr>
                <w:b/>
              </w:rPr>
              <w:t>Honorar til Danske Bank A/S</w:t>
            </w:r>
            <w:r w:rsidRPr="00DC56D0">
              <w:rPr>
                <w:b/>
              </w:rPr>
              <w:br/>
              <w:t>for depotbank</w:t>
            </w:r>
            <w:r w:rsidRPr="00DC56D0">
              <w:rPr>
                <w:b/>
              </w:rPr>
              <w:softHyphen/>
              <w:t>opgaver m.v.,</w:t>
            </w:r>
            <w:r w:rsidR="00BF3A00">
              <w:rPr>
                <w:b/>
              </w:rPr>
              <w:t xml:space="preserve"> </w:t>
            </w:r>
            <w:r w:rsidRPr="00DC56D0">
              <w:rPr>
                <w:b/>
              </w:rPr>
              <w:t>pct. p.a.</w:t>
            </w:r>
            <w:r w:rsidR="007A065E">
              <w:rPr>
                <w:vertAlign w:val="superscript"/>
              </w:rPr>
              <w:t>2</w:t>
            </w:r>
            <w:r w:rsidRPr="00DC56D0">
              <w:rPr>
                <w:vertAlign w:val="superscript"/>
              </w:rPr>
              <w:t>)</w:t>
            </w:r>
          </w:p>
        </w:tc>
      </w:tr>
      <w:tr w:rsidR="00DC56D0" w:rsidRPr="00DC56D0" w14:paraId="099DFE41" w14:textId="77777777" w:rsidTr="00BF3A00">
        <w:trPr>
          <w:trHeight w:val="315"/>
        </w:trPr>
        <w:tc>
          <w:tcPr>
            <w:tcW w:w="5245" w:type="dxa"/>
            <w:vMerge w:val="restart"/>
            <w:vAlign w:val="center"/>
          </w:tcPr>
          <w:p w14:paraId="48DDAD7B" w14:textId="77777777" w:rsidR="00DC56D0" w:rsidRPr="00DC56D0" w:rsidDel="007643F4" w:rsidRDefault="00DC56D0" w:rsidP="00DC56D0">
            <w:pPr>
              <w:spacing w:before="60" w:after="60"/>
            </w:pPr>
            <w:r w:rsidRPr="00DC56D0">
              <w:t>PP Capital – BASIS, kl n EUR</w:t>
            </w:r>
          </w:p>
        </w:tc>
        <w:tc>
          <w:tcPr>
            <w:tcW w:w="4111" w:type="dxa"/>
            <w:vAlign w:val="center"/>
          </w:tcPr>
          <w:p w14:paraId="7B5511EF" w14:textId="77777777" w:rsidR="00DC56D0" w:rsidRPr="00DC56D0" w:rsidRDefault="00DC56D0" w:rsidP="00BF3A00">
            <w:pPr>
              <w:spacing w:before="60" w:after="60"/>
            </w:pPr>
            <w:r w:rsidRPr="00DC56D0">
              <w:t>Danske aktier: 0 pct. p.a.</w:t>
            </w:r>
          </w:p>
        </w:tc>
      </w:tr>
      <w:tr w:rsidR="00DC56D0" w:rsidRPr="00DC56D0" w14:paraId="0EEF6E21" w14:textId="77777777" w:rsidTr="00BF3A00">
        <w:trPr>
          <w:trHeight w:val="315"/>
        </w:trPr>
        <w:tc>
          <w:tcPr>
            <w:tcW w:w="5245" w:type="dxa"/>
            <w:vMerge/>
            <w:vAlign w:val="center"/>
          </w:tcPr>
          <w:p w14:paraId="0D2FC3FB" w14:textId="77777777" w:rsidR="00DC56D0" w:rsidRPr="00DC56D0" w:rsidRDefault="00DC56D0" w:rsidP="00BF3A00">
            <w:pPr>
              <w:spacing w:before="60" w:after="60"/>
            </w:pPr>
          </w:p>
        </w:tc>
        <w:tc>
          <w:tcPr>
            <w:tcW w:w="4111" w:type="dxa"/>
            <w:vAlign w:val="center"/>
          </w:tcPr>
          <w:p w14:paraId="7C7E28C8" w14:textId="77777777" w:rsidR="00DC56D0" w:rsidRPr="00DC56D0" w:rsidRDefault="00DC56D0" w:rsidP="00BF3A00">
            <w:pPr>
              <w:spacing w:before="60" w:after="60"/>
            </w:pPr>
            <w:r w:rsidRPr="00DC56D0">
              <w:t>Danske obligationer: 0,005 pct. p.a.</w:t>
            </w:r>
          </w:p>
        </w:tc>
      </w:tr>
      <w:tr w:rsidR="00DC56D0" w:rsidRPr="00DC56D0" w14:paraId="789AB718" w14:textId="77777777" w:rsidTr="00BF3A00">
        <w:trPr>
          <w:trHeight w:val="315"/>
        </w:trPr>
        <w:tc>
          <w:tcPr>
            <w:tcW w:w="5245" w:type="dxa"/>
            <w:vMerge/>
            <w:vAlign w:val="center"/>
          </w:tcPr>
          <w:p w14:paraId="1260AA01" w14:textId="77777777" w:rsidR="00DC56D0" w:rsidRPr="00DC56D0" w:rsidRDefault="00DC56D0" w:rsidP="00BF3A00">
            <w:pPr>
              <w:spacing w:before="60" w:after="60"/>
            </w:pPr>
          </w:p>
        </w:tc>
        <w:tc>
          <w:tcPr>
            <w:tcW w:w="4111" w:type="dxa"/>
            <w:vAlign w:val="center"/>
          </w:tcPr>
          <w:p w14:paraId="21669CD1" w14:textId="77777777" w:rsidR="00DC56D0" w:rsidRPr="00DC56D0" w:rsidRDefault="00DC56D0" w:rsidP="00BF3A00">
            <w:pPr>
              <w:spacing w:before="60" w:after="60"/>
            </w:pPr>
            <w:r w:rsidRPr="00DC56D0">
              <w:t>Udenlandske værdipapirer: 0,05 pct. p.a.</w:t>
            </w:r>
          </w:p>
        </w:tc>
      </w:tr>
    </w:tbl>
    <w:bookmarkEnd w:id="382"/>
    <w:p w14:paraId="626F0442" w14:textId="3A5F2534" w:rsidR="004649BD" w:rsidRPr="00DC56D0" w:rsidRDefault="007A065E" w:rsidP="005D00CE">
      <w:pPr>
        <w:spacing w:before="120"/>
        <w:rPr>
          <w:i/>
          <w:sz w:val="20"/>
        </w:rPr>
      </w:pPr>
      <w:r>
        <w:rPr>
          <w:i/>
          <w:sz w:val="20"/>
          <w:vertAlign w:val="superscript"/>
        </w:rPr>
        <w:t>2</w:t>
      </w:r>
      <w:r w:rsidR="005D00CE" w:rsidRPr="00DC56D0">
        <w:rPr>
          <w:i/>
          <w:sz w:val="20"/>
          <w:vertAlign w:val="superscript"/>
        </w:rPr>
        <w:t>)</w:t>
      </w:r>
      <w:r w:rsidR="00745434" w:rsidRPr="00DC56D0">
        <w:rPr>
          <w:i/>
          <w:sz w:val="20"/>
          <w:vertAlign w:val="superscript"/>
        </w:rPr>
        <w:t xml:space="preserve"> </w:t>
      </w:r>
      <w:r w:rsidR="00745434" w:rsidRPr="00DC56D0">
        <w:rPr>
          <w:i/>
          <w:sz w:val="20"/>
        </w:rPr>
        <w:t>He</w:t>
      </w:r>
      <w:r w:rsidR="005D00CE" w:rsidRPr="00DC56D0">
        <w:rPr>
          <w:i/>
          <w:sz w:val="20"/>
        </w:rPr>
        <w:t>rtil kommer et årligt grundgebyr for depositarydelser på 2</w:t>
      </w:r>
      <w:r w:rsidR="00DC56D0" w:rsidRPr="00DC56D0">
        <w:rPr>
          <w:i/>
          <w:sz w:val="20"/>
        </w:rPr>
        <w:t>0</w:t>
      </w:r>
      <w:r w:rsidR="005D00CE" w:rsidRPr="00DC56D0">
        <w:rPr>
          <w:i/>
          <w:sz w:val="20"/>
        </w:rPr>
        <w:t xml:space="preserve">.000 kr. </w:t>
      </w:r>
    </w:p>
    <w:p w14:paraId="58035196" w14:textId="77777777" w:rsidR="00F3679D" w:rsidRPr="008E13E6" w:rsidRDefault="00F3679D" w:rsidP="004649BD">
      <w:pPr>
        <w:tabs>
          <w:tab w:val="left" w:pos="3080"/>
        </w:tabs>
        <w:rPr>
          <w:sz w:val="20"/>
          <w:szCs w:val="22"/>
        </w:rPr>
      </w:pPr>
    </w:p>
    <w:p w14:paraId="125DB9C4" w14:textId="77777777" w:rsidR="00D76BB2" w:rsidRPr="008E13E6" w:rsidRDefault="00D76BB2" w:rsidP="00CB1635">
      <w:pPr>
        <w:tabs>
          <w:tab w:val="left" w:pos="3080"/>
        </w:tabs>
        <w:spacing w:after="120"/>
        <w:rPr>
          <w:b/>
          <w:sz w:val="20"/>
          <w:szCs w:val="22"/>
        </w:rPr>
      </w:pPr>
      <w:r w:rsidRPr="008E13E6">
        <w:rPr>
          <w:b/>
          <w:sz w:val="20"/>
          <w:szCs w:val="22"/>
        </w:rPr>
        <w:t xml:space="preserve">Porteføljeforvaltningshonorar og </w:t>
      </w:r>
      <w:r w:rsidR="0025531C" w:rsidRPr="008E13E6">
        <w:rPr>
          <w:b/>
          <w:sz w:val="20"/>
          <w:szCs w:val="22"/>
        </w:rPr>
        <w:t>formidling af salg</w:t>
      </w:r>
    </w:p>
    <w:p w14:paraId="30AC589D" w14:textId="77777777" w:rsidR="00CB1635" w:rsidRPr="008E13E6" w:rsidRDefault="00CB1635" w:rsidP="00CB1635">
      <w:pPr>
        <w:tabs>
          <w:tab w:val="left" w:pos="3080"/>
        </w:tabs>
        <w:spacing w:after="120"/>
        <w:rPr>
          <w:i/>
          <w:sz w:val="20"/>
          <w:szCs w:val="22"/>
        </w:rPr>
      </w:pPr>
      <w:r w:rsidRPr="008E13E6">
        <w:rPr>
          <w:i/>
          <w:sz w:val="20"/>
          <w:szCs w:val="22"/>
        </w:rPr>
        <w:t>Honorarerne beregnes af den gennemsnitlige formue og betales af andelsklassen.</w:t>
      </w:r>
    </w:p>
    <w:tbl>
      <w:tblPr>
        <w:tblStyle w:val="Tabel-Gitter"/>
        <w:tblW w:w="9351" w:type="dxa"/>
        <w:tblLayout w:type="fixed"/>
        <w:tblLook w:val="04A0" w:firstRow="1" w:lastRow="0" w:firstColumn="1" w:lastColumn="0" w:noHBand="0" w:noVBand="1"/>
      </w:tblPr>
      <w:tblGrid>
        <w:gridCol w:w="3256"/>
        <w:gridCol w:w="3402"/>
        <w:gridCol w:w="2693"/>
      </w:tblGrid>
      <w:tr w:rsidR="00CB1635" w:rsidRPr="008E13E6" w14:paraId="420EE9B0" w14:textId="77777777" w:rsidTr="00055A71">
        <w:trPr>
          <w:trHeight w:val="772"/>
        </w:trPr>
        <w:tc>
          <w:tcPr>
            <w:tcW w:w="3256" w:type="dxa"/>
            <w:vAlign w:val="center"/>
          </w:tcPr>
          <w:p w14:paraId="5ED052A7" w14:textId="77777777" w:rsidR="00CB1635" w:rsidRPr="008E13E6" w:rsidRDefault="00CB1635" w:rsidP="00CB1635">
            <w:pPr>
              <w:tabs>
                <w:tab w:val="left" w:pos="3080"/>
              </w:tabs>
              <w:rPr>
                <w:b/>
                <w:szCs w:val="22"/>
              </w:rPr>
            </w:pPr>
            <w:r w:rsidRPr="008E13E6">
              <w:rPr>
                <w:b/>
                <w:szCs w:val="22"/>
              </w:rPr>
              <w:t>Andelsklasse</w:t>
            </w:r>
          </w:p>
          <w:p w14:paraId="78FFC5C7" w14:textId="77777777" w:rsidR="00CB1635" w:rsidRPr="008E13E6" w:rsidRDefault="00CB1635" w:rsidP="00CB1635">
            <w:pPr>
              <w:tabs>
                <w:tab w:val="left" w:pos="3080"/>
              </w:tabs>
              <w:rPr>
                <w:b/>
                <w:szCs w:val="22"/>
              </w:rPr>
            </w:pPr>
          </w:p>
        </w:tc>
        <w:tc>
          <w:tcPr>
            <w:tcW w:w="3402" w:type="dxa"/>
          </w:tcPr>
          <w:p w14:paraId="07535FD4" w14:textId="77777777" w:rsidR="00CB1635" w:rsidRPr="008E13E6" w:rsidRDefault="00CB1635" w:rsidP="00D76BB2">
            <w:pPr>
              <w:tabs>
                <w:tab w:val="left" w:pos="3080"/>
              </w:tabs>
              <w:rPr>
                <w:b/>
                <w:szCs w:val="22"/>
              </w:rPr>
            </w:pPr>
            <w:r w:rsidRPr="008E13E6">
              <w:rPr>
                <w:b/>
                <w:szCs w:val="22"/>
              </w:rPr>
              <w:t>Porteføljeforvaltningshonorar til</w:t>
            </w:r>
            <w:r w:rsidR="00D76BB2" w:rsidRPr="008E13E6">
              <w:rPr>
                <w:b/>
                <w:szCs w:val="22"/>
              </w:rPr>
              <w:t xml:space="preserve"> </w:t>
            </w:r>
            <w:r w:rsidRPr="008E13E6">
              <w:rPr>
                <w:b/>
                <w:szCs w:val="22"/>
              </w:rPr>
              <w:t>PP Capital Asset Management Fondsmæglerselskab A/S, pct. p.a.</w:t>
            </w:r>
          </w:p>
        </w:tc>
        <w:tc>
          <w:tcPr>
            <w:tcW w:w="2693" w:type="dxa"/>
          </w:tcPr>
          <w:p w14:paraId="248FF74C" w14:textId="77777777" w:rsidR="00CB1635" w:rsidRPr="008E13E6" w:rsidRDefault="0025531C" w:rsidP="00CB1635">
            <w:pPr>
              <w:tabs>
                <w:tab w:val="left" w:pos="3080"/>
              </w:tabs>
              <w:rPr>
                <w:b/>
                <w:szCs w:val="22"/>
              </w:rPr>
            </w:pPr>
            <w:r w:rsidRPr="008E13E6">
              <w:rPr>
                <w:b/>
                <w:szCs w:val="22"/>
              </w:rPr>
              <w:t>Formidlings</w:t>
            </w:r>
            <w:r w:rsidR="00CB1635" w:rsidRPr="008E13E6">
              <w:rPr>
                <w:b/>
                <w:szCs w:val="22"/>
              </w:rPr>
              <w:t>honorar,</w:t>
            </w:r>
            <w:r w:rsidR="00CB1635" w:rsidRPr="008E13E6">
              <w:rPr>
                <w:b/>
                <w:szCs w:val="22"/>
              </w:rPr>
              <w:br/>
              <w:t>pct. p.a.</w:t>
            </w:r>
          </w:p>
        </w:tc>
      </w:tr>
      <w:tr w:rsidR="00CB1635" w:rsidRPr="008E13E6" w14:paraId="0A9DADE6" w14:textId="77777777" w:rsidTr="00BF3A00">
        <w:trPr>
          <w:trHeight w:val="454"/>
        </w:trPr>
        <w:tc>
          <w:tcPr>
            <w:tcW w:w="3256" w:type="dxa"/>
            <w:vAlign w:val="center"/>
          </w:tcPr>
          <w:p w14:paraId="5127DEED" w14:textId="77777777" w:rsidR="00CB1635" w:rsidRPr="008E13E6" w:rsidRDefault="00CB1635" w:rsidP="00CB1635">
            <w:pPr>
              <w:tabs>
                <w:tab w:val="left" w:pos="3080"/>
              </w:tabs>
              <w:rPr>
                <w:szCs w:val="22"/>
              </w:rPr>
            </w:pPr>
            <w:r w:rsidRPr="008E13E6">
              <w:rPr>
                <w:szCs w:val="22"/>
              </w:rPr>
              <w:t>PP Capital – BASIS, kl n EUR</w:t>
            </w:r>
          </w:p>
        </w:tc>
        <w:tc>
          <w:tcPr>
            <w:tcW w:w="3402" w:type="dxa"/>
            <w:vAlign w:val="center"/>
          </w:tcPr>
          <w:p w14:paraId="01A009B6" w14:textId="639A2940" w:rsidR="00CB1635" w:rsidRPr="008E13E6" w:rsidRDefault="00CB1635" w:rsidP="00745434">
            <w:pPr>
              <w:tabs>
                <w:tab w:val="left" w:pos="3080"/>
              </w:tabs>
              <w:jc w:val="center"/>
              <w:rPr>
                <w:szCs w:val="22"/>
              </w:rPr>
            </w:pPr>
            <w:r w:rsidRPr="008E13E6">
              <w:rPr>
                <w:szCs w:val="22"/>
              </w:rPr>
              <w:t>0,</w:t>
            </w:r>
            <w:r w:rsidR="00745434" w:rsidRPr="008E13E6">
              <w:rPr>
                <w:szCs w:val="22"/>
              </w:rPr>
              <w:t>60</w:t>
            </w:r>
          </w:p>
        </w:tc>
        <w:tc>
          <w:tcPr>
            <w:tcW w:w="2693" w:type="dxa"/>
            <w:vAlign w:val="center"/>
          </w:tcPr>
          <w:p w14:paraId="73A135E6" w14:textId="64FE62FD" w:rsidR="00CB1635" w:rsidRPr="008E13E6" w:rsidRDefault="00CB1635" w:rsidP="00745434">
            <w:pPr>
              <w:tabs>
                <w:tab w:val="left" w:pos="3080"/>
              </w:tabs>
              <w:jc w:val="center"/>
              <w:rPr>
                <w:szCs w:val="22"/>
              </w:rPr>
            </w:pPr>
            <w:r w:rsidRPr="00927452">
              <w:rPr>
                <w:szCs w:val="22"/>
              </w:rPr>
              <w:t>0,</w:t>
            </w:r>
            <w:r w:rsidR="00B37211">
              <w:rPr>
                <w:szCs w:val="22"/>
              </w:rPr>
              <w:t>50</w:t>
            </w:r>
            <w:r w:rsidR="00A11101">
              <w:rPr>
                <w:szCs w:val="22"/>
                <w:vertAlign w:val="superscript"/>
              </w:rPr>
              <w:t>3</w:t>
            </w:r>
            <w:r w:rsidRPr="00927452">
              <w:rPr>
                <w:szCs w:val="22"/>
                <w:vertAlign w:val="superscript"/>
              </w:rPr>
              <w:t>)</w:t>
            </w:r>
          </w:p>
        </w:tc>
      </w:tr>
    </w:tbl>
    <w:p w14:paraId="5E24FA70" w14:textId="3ED212B7" w:rsidR="00CB1635" w:rsidRPr="008E13E6" w:rsidRDefault="00A11101" w:rsidP="00CB1635">
      <w:pPr>
        <w:pStyle w:val="Default"/>
        <w:spacing w:before="120" w:after="120"/>
        <w:rPr>
          <w:i/>
          <w:sz w:val="20"/>
          <w:szCs w:val="22"/>
        </w:rPr>
      </w:pPr>
      <w:r>
        <w:rPr>
          <w:i/>
          <w:sz w:val="20"/>
          <w:szCs w:val="22"/>
          <w:vertAlign w:val="superscript"/>
        </w:rPr>
        <w:t>3</w:t>
      </w:r>
      <w:r w:rsidR="00CB1635" w:rsidRPr="008E13E6">
        <w:rPr>
          <w:i/>
          <w:sz w:val="20"/>
          <w:szCs w:val="22"/>
          <w:vertAlign w:val="superscript"/>
        </w:rPr>
        <w:t>)</w:t>
      </w:r>
      <w:r w:rsidR="00745434" w:rsidRPr="008E13E6">
        <w:rPr>
          <w:i/>
          <w:sz w:val="20"/>
          <w:szCs w:val="22"/>
          <w:vertAlign w:val="superscript"/>
        </w:rPr>
        <w:t xml:space="preserve"> </w:t>
      </w:r>
      <w:r w:rsidR="00CB1635" w:rsidRPr="008E13E6">
        <w:rPr>
          <w:i/>
          <w:sz w:val="20"/>
          <w:szCs w:val="22"/>
        </w:rPr>
        <w:t xml:space="preserve">Maksimal sats baseret på omfanget af investeringsbeviser i beholdning hos </w:t>
      </w:r>
      <w:r w:rsidR="0025531C" w:rsidRPr="008E13E6">
        <w:rPr>
          <w:i/>
          <w:sz w:val="20"/>
          <w:szCs w:val="22"/>
        </w:rPr>
        <w:t>formidleren/</w:t>
      </w:r>
      <w:r w:rsidR="00CB1635" w:rsidRPr="008E13E6">
        <w:rPr>
          <w:i/>
          <w:sz w:val="20"/>
          <w:szCs w:val="22"/>
        </w:rPr>
        <w:t>distributøren.</w:t>
      </w:r>
    </w:p>
    <w:p w14:paraId="4BA88922" w14:textId="77777777" w:rsidR="00CB1635" w:rsidRPr="008E13E6" w:rsidRDefault="00CB1635" w:rsidP="004649BD">
      <w:pPr>
        <w:tabs>
          <w:tab w:val="left" w:pos="3080"/>
        </w:tabs>
        <w:rPr>
          <w:sz w:val="20"/>
          <w:szCs w:val="22"/>
        </w:rPr>
      </w:pPr>
      <w:bookmarkStart w:id="383" w:name="_GoBack"/>
      <w:bookmarkEnd w:id="383"/>
    </w:p>
    <w:sectPr w:rsidR="00CB1635" w:rsidRPr="008E13E6" w:rsidSect="008E13E6">
      <w:headerReference w:type="even" r:id="rId10"/>
      <w:footerReference w:type="even" r:id="rId11"/>
      <w:footerReference w:type="default" r:id="rId12"/>
      <w:footerReference w:type="first" r:id="rId13"/>
      <w:pgSz w:w="11907" w:h="16840" w:code="9"/>
      <w:pgMar w:top="1560" w:right="1134" w:bottom="993" w:left="1418" w:header="709" w:footer="45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236B0" w14:textId="77777777" w:rsidR="00407DFE" w:rsidRDefault="00407DFE">
      <w:r>
        <w:separator/>
      </w:r>
    </w:p>
  </w:endnote>
  <w:endnote w:type="continuationSeparator" w:id="0">
    <w:p w14:paraId="5B3F3F7B" w14:textId="77777777" w:rsidR="00407DFE" w:rsidRDefault="0040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nske Text">
    <w:altName w:val="Calibri"/>
    <w:charset w:val="00"/>
    <w:family w:val="auto"/>
    <w:pitch w:val="variable"/>
    <w:sig w:usb0="00000007" w:usb1="00000000" w:usb2="00000000" w:usb3="00000000" w:csb0="0000008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D955" w14:textId="77777777" w:rsidR="00407DFE" w:rsidRPr="00A96C44" w:rsidRDefault="00407DFE">
    <w:pPr>
      <w:pStyle w:val="Sidefod"/>
      <w:framePr w:wrap="around" w:vAnchor="text" w:hAnchor="margin" w:xAlign="right" w:y="1"/>
      <w:rPr>
        <w:rStyle w:val="Sidetal"/>
      </w:rPr>
    </w:pPr>
    <w:r w:rsidRPr="00A96C44">
      <w:rPr>
        <w:rStyle w:val="Sidetal"/>
      </w:rPr>
      <w:fldChar w:fldCharType="begin"/>
    </w:r>
    <w:r w:rsidRPr="00A96C44">
      <w:rPr>
        <w:rStyle w:val="Sidetal"/>
      </w:rPr>
      <w:instrText xml:space="preserve">PAGE  </w:instrText>
    </w:r>
    <w:r w:rsidRPr="00A96C44">
      <w:rPr>
        <w:rStyle w:val="Sidetal"/>
      </w:rPr>
      <w:fldChar w:fldCharType="separate"/>
    </w:r>
    <w:r w:rsidRPr="00A96C44">
      <w:rPr>
        <w:rStyle w:val="Sidetal"/>
        <w:noProof/>
      </w:rPr>
      <w:t>7</w:t>
    </w:r>
    <w:r w:rsidRPr="00A96C44">
      <w:rPr>
        <w:rStyle w:val="Sidetal"/>
      </w:rPr>
      <w:fldChar w:fldCharType="end"/>
    </w:r>
  </w:p>
  <w:p w14:paraId="3D195218" w14:textId="77777777" w:rsidR="00407DFE" w:rsidRPr="00A96C44" w:rsidRDefault="00407DF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81BD" w14:textId="77777777" w:rsidR="00407DFE" w:rsidRPr="00A96C44" w:rsidRDefault="00407DFE">
    <w:pPr>
      <w:pStyle w:val="Sidefod"/>
      <w:framePr w:wrap="around" w:vAnchor="text" w:hAnchor="margin" w:xAlign="right" w:y="1"/>
      <w:rPr>
        <w:rStyle w:val="Sidetal"/>
      </w:rPr>
    </w:pPr>
    <w:r w:rsidRPr="00A96C44">
      <w:rPr>
        <w:rStyle w:val="Sidetal"/>
      </w:rPr>
      <w:fldChar w:fldCharType="begin"/>
    </w:r>
    <w:r w:rsidRPr="00A96C44">
      <w:rPr>
        <w:rStyle w:val="Sidetal"/>
      </w:rPr>
      <w:instrText xml:space="preserve">PAGE  </w:instrText>
    </w:r>
    <w:r w:rsidRPr="00A96C44">
      <w:rPr>
        <w:rStyle w:val="Sidetal"/>
      </w:rPr>
      <w:fldChar w:fldCharType="separate"/>
    </w:r>
    <w:r>
      <w:rPr>
        <w:rStyle w:val="Sidetal"/>
        <w:noProof/>
      </w:rPr>
      <w:t>18</w:t>
    </w:r>
    <w:r w:rsidRPr="00A96C44">
      <w:rPr>
        <w:rStyle w:val="Sidetal"/>
      </w:rPr>
      <w:fldChar w:fldCharType="end"/>
    </w:r>
  </w:p>
  <w:p w14:paraId="6488F0D9" w14:textId="26ADD683" w:rsidR="00407DFE" w:rsidRPr="00D352F0" w:rsidRDefault="00407DFE" w:rsidP="00B32EDE">
    <w:pPr>
      <w:pStyle w:val="Sidefod"/>
      <w:tabs>
        <w:tab w:val="left" w:pos="142"/>
      </w:tabs>
      <w:ind w:right="360"/>
      <w:rPr>
        <w:sz w:val="16"/>
        <w:szCs w:val="16"/>
      </w:rPr>
    </w:pPr>
    <w:r w:rsidRPr="00D352F0">
      <w:rPr>
        <w:noProof/>
        <w:sz w:val="16"/>
        <w:szCs w:val="16"/>
      </w:rPr>
      <w:fldChar w:fldCharType="begin"/>
    </w:r>
    <w:r w:rsidRPr="00D352F0">
      <w:rPr>
        <w:noProof/>
        <w:sz w:val="16"/>
        <w:szCs w:val="16"/>
      </w:rPr>
      <w:instrText xml:space="preserve"> FILENAME   \* MERGEFORMAT </w:instrText>
    </w:r>
    <w:r w:rsidRPr="00D352F0">
      <w:rPr>
        <w:noProof/>
        <w:sz w:val="16"/>
        <w:szCs w:val="16"/>
      </w:rPr>
      <w:fldChar w:fldCharType="separate"/>
    </w:r>
    <w:r w:rsidR="00195831">
      <w:rPr>
        <w:noProof/>
        <w:sz w:val="16"/>
        <w:szCs w:val="16"/>
      </w:rPr>
      <w:t>Prospekt - PP Capital - BASIS kl n EUR - 2019-05-20</w:t>
    </w:r>
    <w:r w:rsidRPr="00D352F0">
      <w:rPr>
        <w:noProof/>
        <w:sz w:val="16"/>
        <w:szCs w:val="16"/>
      </w:rPr>
      <w:fldChar w:fldCharType="end"/>
    </w:r>
    <w:bookmarkStart w:id="384" w:name="_Toc170616129"/>
    <w:bookmarkEnd w:id="38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C7CC" w14:textId="704D5D4B" w:rsidR="00407DFE" w:rsidRPr="008509CE" w:rsidRDefault="00407DFE" w:rsidP="007D6A93">
    <w:pPr>
      <w:pStyle w:val="Sidefod"/>
      <w:tabs>
        <w:tab w:val="clear" w:pos="4819"/>
        <w:tab w:val="clear" w:pos="9638"/>
      </w:tabs>
      <w:ind w:left="-482" w:right="360"/>
      <w:rPr>
        <w:sz w:val="20"/>
      </w:rPr>
    </w:pPr>
    <w:r>
      <w:rPr>
        <w:sz w:val="20"/>
      </w:rPr>
      <w:t xml:space="preserve">20. maj </w:t>
    </w:r>
    <w:r w:rsidRPr="008509CE">
      <w:rPr>
        <w:sz w:val="20"/>
      </w:rPr>
      <w:t>201</w:t>
    </w:r>
    <w:r>
      <w:rPr>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320A1" w14:textId="77777777" w:rsidR="00407DFE" w:rsidRDefault="00407DFE">
      <w:r>
        <w:separator/>
      </w:r>
    </w:p>
  </w:footnote>
  <w:footnote w:type="continuationSeparator" w:id="0">
    <w:p w14:paraId="53C9740D" w14:textId="77777777" w:rsidR="00407DFE" w:rsidRDefault="0040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A9AC" w14:textId="37225564" w:rsidR="00407DFE" w:rsidRPr="00A96C44" w:rsidRDefault="00407DFE">
    <w:pPr>
      <w:pStyle w:val="Sidehoved"/>
      <w:framePr w:wrap="around" w:vAnchor="text" w:hAnchor="margin" w:xAlign="center" w:y="1"/>
      <w:rPr>
        <w:rStyle w:val="Sidetal"/>
      </w:rPr>
    </w:pPr>
    <w:r w:rsidRPr="00A96C44">
      <w:rPr>
        <w:rStyle w:val="Sidetal"/>
      </w:rPr>
      <w:fldChar w:fldCharType="begin"/>
    </w:r>
    <w:r w:rsidRPr="00A96C44">
      <w:rPr>
        <w:rStyle w:val="Sidetal"/>
      </w:rPr>
      <w:instrText xml:space="preserve">PAGE  </w:instrText>
    </w:r>
    <w:r w:rsidRPr="00A96C44">
      <w:rPr>
        <w:rStyle w:val="Sidetal"/>
      </w:rPr>
      <w:fldChar w:fldCharType="separate"/>
    </w:r>
    <w:r w:rsidRPr="00A96C44">
      <w:rPr>
        <w:rStyle w:val="Sidetal"/>
        <w:noProof/>
      </w:rPr>
      <w:t>7</w:t>
    </w:r>
    <w:r w:rsidRPr="00A96C44">
      <w:rPr>
        <w:rStyle w:val="Sidetal"/>
      </w:rPr>
      <w:fldChar w:fldCharType="end"/>
    </w:r>
  </w:p>
  <w:p w14:paraId="413A2BB0" w14:textId="77777777" w:rsidR="00407DFE" w:rsidRPr="00A96C44" w:rsidRDefault="00407D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2E05"/>
    <w:multiLevelType w:val="hybridMultilevel"/>
    <w:tmpl w:val="5E5ECA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874924"/>
    <w:multiLevelType w:val="hybridMultilevel"/>
    <w:tmpl w:val="D9B8F0EE"/>
    <w:lvl w:ilvl="0" w:tplc="3C224A5E">
      <w:start w:val="501"/>
      <w:numFmt w:val="bullet"/>
      <w:pStyle w:val="Bo1"/>
      <w:lvlText w:val="–"/>
      <w:lvlJc w:val="left"/>
      <w:pPr>
        <w:tabs>
          <w:tab w:val="num" w:pos="570"/>
        </w:tabs>
        <w:ind w:left="570" w:hanging="570"/>
      </w:pPr>
      <w:rPr>
        <w:rFonts w:hint="default"/>
      </w:rPr>
    </w:lvl>
    <w:lvl w:ilvl="1" w:tplc="57CA4B6A">
      <w:start w:val="2"/>
      <w:numFmt w:val="bullet"/>
      <w:lvlText w:val="-"/>
      <w:lvlJc w:val="left"/>
      <w:pPr>
        <w:tabs>
          <w:tab w:val="num" w:pos="1935"/>
        </w:tabs>
        <w:ind w:left="1935" w:hanging="855"/>
      </w:pPr>
      <w:rPr>
        <w:rFonts w:ascii="Times New Roman" w:eastAsia="Times New Roman" w:hAnsi="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261CB"/>
    <w:multiLevelType w:val="hybridMultilevel"/>
    <w:tmpl w:val="F31AE2E8"/>
    <w:lvl w:ilvl="0" w:tplc="04060001">
      <w:start w:val="1"/>
      <w:numFmt w:val="bullet"/>
      <w:lvlText w:val=""/>
      <w:lvlJc w:val="left"/>
      <w:pPr>
        <w:ind w:left="831" w:hanging="360"/>
      </w:pPr>
      <w:rPr>
        <w:rFonts w:ascii="Symbol" w:hAnsi="Symbol" w:hint="default"/>
      </w:rPr>
    </w:lvl>
    <w:lvl w:ilvl="1" w:tplc="04060003">
      <w:start w:val="1"/>
      <w:numFmt w:val="bullet"/>
      <w:lvlText w:val="o"/>
      <w:lvlJc w:val="left"/>
      <w:pPr>
        <w:ind w:left="1551" w:hanging="360"/>
      </w:pPr>
      <w:rPr>
        <w:rFonts w:ascii="Courier New" w:hAnsi="Courier New" w:cs="Courier New" w:hint="default"/>
      </w:rPr>
    </w:lvl>
    <w:lvl w:ilvl="2" w:tplc="04060005" w:tentative="1">
      <w:start w:val="1"/>
      <w:numFmt w:val="bullet"/>
      <w:lvlText w:val=""/>
      <w:lvlJc w:val="left"/>
      <w:pPr>
        <w:ind w:left="2271" w:hanging="360"/>
      </w:pPr>
      <w:rPr>
        <w:rFonts w:ascii="Wingdings" w:hAnsi="Wingdings" w:hint="default"/>
      </w:rPr>
    </w:lvl>
    <w:lvl w:ilvl="3" w:tplc="04060001" w:tentative="1">
      <w:start w:val="1"/>
      <w:numFmt w:val="bullet"/>
      <w:lvlText w:val=""/>
      <w:lvlJc w:val="left"/>
      <w:pPr>
        <w:ind w:left="2991" w:hanging="360"/>
      </w:pPr>
      <w:rPr>
        <w:rFonts w:ascii="Symbol" w:hAnsi="Symbol" w:hint="default"/>
      </w:rPr>
    </w:lvl>
    <w:lvl w:ilvl="4" w:tplc="04060003" w:tentative="1">
      <w:start w:val="1"/>
      <w:numFmt w:val="bullet"/>
      <w:lvlText w:val="o"/>
      <w:lvlJc w:val="left"/>
      <w:pPr>
        <w:ind w:left="3711" w:hanging="360"/>
      </w:pPr>
      <w:rPr>
        <w:rFonts w:ascii="Courier New" w:hAnsi="Courier New" w:cs="Courier New" w:hint="default"/>
      </w:rPr>
    </w:lvl>
    <w:lvl w:ilvl="5" w:tplc="04060005" w:tentative="1">
      <w:start w:val="1"/>
      <w:numFmt w:val="bullet"/>
      <w:lvlText w:val=""/>
      <w:lvlJc w:val="left"/>
      <w:pPr>
        <w:ind w:left="4431" w:hanging="360"/>
      </w:pPr>
      <w:rPr>
        <w:rFonts w:ascii="Wingdings" w:hAnsi="Wingdings" w:hint="default"/>
      </w:rPr>
    </w:lvl>
    <w:lvl w:ilvl="6" w:tplc="04060001" w:tentative="1">
      <w:start w:val="1"/>
      <w:numFmt w:val="bullet"/>
      <w:lvlText w:val=""/>
      <w:lvlJc w:val="left"/>
      <w:pPr>
        <w:ind w:left="5151" w:hanging="360"/>
      </w:pPr>
      <w:rPr>
        <w:rFonts w:ascii="Symbol" w:hAnsi="Symbol" w:hint="default"/>
      </w:rPr>
    </w:lvl>
    <w:lvl w:ilvl="7" w:tplc="04060003" w:tentative="1">
      <w:start w:val="1"/>
      <w:numFmt w:val="bullet"/>
      <w:lvlText w:val="o"/>
      <w:lvlJc w:val="left"/>
      <w:pPr>
        <w:ind w:left="5871" w:hanging="360"/>
      </w:pPr>
      <w:rPr>
        <w:rFonts w:ascii="Courier New" w:hAnsi="Courier New" w:cs="Courier New" w:hint="default"/>
      </w:rPr>
    </w:lvl>
    <w:lvl w:ilvl="8" w:tplc="04060005" w:tentative="1">
      <w:start w:val="1"/>
      <w:numFmt w:val="bullet"/>
      <w:lvlText w:val=""/>
      <w:lvlJc w:val="left"/>
      <w:pPr>
        <w:ind w:left="6591" w:hanging="360"/>
      </w:pPr>
      <w:rPr>
        <w:rFonts w:ascii="Wingdings" w:hAnsi="Wingdings" w:hint="default"/>
      </w:rPr>
    </w:lvl>
  </w:abstractNum>
  <w:abstractNum w:abstractNumId="3" w15:restartNumberingAfterBreak="0">
    <w:nsid w:val="27CF6751"/>
    <w:multiLevelType w:val="hybridMultilevel"/>
    <w:tmpl w:val="BBA67410"/>
    <w:lvl w:ilvl="0" w:tplc="BD3AFF3E">
      <w:start w:val="1"/>
      <w:numFmt w:val="decimal"/>
      <w:lvlText w:val="%1."/>
      <w:lvlJc w:val="left"/>
      <w:pPr>
        <w:tabs>
          <w:tab w:val="num" w:pos="502"/>
        </w:tabs>
        <w:ind w:left="502" w:hanging="360"/>
      </w:pPr>
      <w:rPr>
        <w:rFonts w:cs="Times New Roman" w:hint="default"/>
      </w:rPr>
    </w:lvl>
    <w:lvl w:ilvl="1" w:tplc="15E8DFCC">
      <w:start w:val="11"/>
      <w:numFmt w:val="bullet"/>
      <w:lvlText w:val="–"/>
      <w:lvlJc w:val="left"/>
      <w:pPr>
        <w:tabs>
          <w:tab w:val="num" w:pos="1650"/>
        </w:tabs>
        <w:ind w:left="1650" w:hanging="570"/>
      </w:pPr>
      <w:rPr>
        <w:rFonts w:ascii="Times New Roman" w:eastAsia="Times New Roman" w:hAnsi="Times New Roman"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4068AE"/>
    <w:multiLevelType w:val="hybridMultilevel"/>
    <w:tmpl w:val="50343B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D40BA7"/>
    <w:multiLevelType w:val="hybridMultilevel"/>
    <w:tmpl w:val="6CEC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D60C9"/>
    <w:multiLevelType w:val="hybridMultilevel"/>
    <w:tmpl w:val="71BA7748"/>
    <w:lvl w:ilvl="0" w:tplc="A99AF9F0">
      <w:start w:val="1"/>
      <w:numFmt w:val="bullet"/>
      <w:lvlText w:val=""/>
      <w:lvlJc w:val="left"/>
      <w:pPr>
        <w:tabs>
          <w:tab w:val="num" w:pos="720"/>
        </w:tabs>
        <w:ind w:left="720" w:hanging="360"/>
      </w:pPr>
      <w:rPr>
        <w:rFonts w:ascii="Symbol" w:hAnsi="Symbol" w:hint="default"/>
      </w:rPr>
    </w:lvl>
    <w:lvl w:ilvl="1" w:tplc="13145A76" w:tentative="1">
      <w:start w:val="1"/>
      <w:numFmt w:val="bullet"/>
      <w:lvlText w:val=""/>
      <w:lvlJc w:val="left"/>
      <w:pPr>
        <w:tabs>
          <w:tab w:val="num" w:pos="1440"/>
        </w:tabs>
        <w:ind w:left="1440" w:hanging="360"/>
      </w:pPr>
      <w:rPr>
        <w:rFonts w:ascii="Symbol" w:hAnsi="Symbol" w:hint="default"/>
      </w:rPr>
    </w:lvl>
    <w:lvl w:ilvl="2" w:tplc="F88845AA" w:tentative="1">
      <w:start w:val="1"/>
      <w:numFmt w:val="bullet"/>
      <w:lvlText w:val=""/>
      <w:lvlJc w:val="left"/>
      <w:pPr>
        <w:tabs>
          <w:tab w:val="num" w:pos="2160"/>
        </w:tabs>
        <w:ind w:left="2160" w:hanging="360"/>
      </w:pPr>
      <w:rPr>
        <w:rFonts w:ascii="Symbol" w:hAnsi="Symbol" w:hint="default"/>
      </w:rPr>
    </w:lvl>
    <w:lvl w:ilvl="3" w:tplc="DE0AE7DC" w:tentative="1">
      <w:start w:val="1"/>
      <w:numFmt w:val="bullet"/>
      <w:lvlText w:val=""/>
      <w:lvlJc w:val="left"/>
      <w:pPr>
        <w:tabs>
          <w:tab w:val="num" w:pos="2880"/>
        </w:tabs>
        <w:ind w:left="2880" w:hanging="360"/>
      </w:pPr>
      <w:rPr>
        <w:rFonts w:ascii="Symbol" w:hAnsi="Symbol" w:hint="default"/>
      </w:rPr>
    </w:lvl>
    <w:lvl w:ilvl="4" w:tplc="A8544C80" w:tentative="1">
      <w:start w:val="1"/>
      <w:numFmt w:val="bullet"/>
      <w:lvlText w:val=""/>
      <w:lvlJc w:val="left"/>
      <w:pPr>
        <w:tabs>
          <w:tab w:val="num" w:pos="3600"/>
        </w:tabs>
        <w:ind w:left="3600" w:hanging="360"/>
      </w:pPr>
      <w:rPr>
        <w:rFonts w:ascii="Symbol" w:hAnsi="Symbol" w:hint="default"/>
      </w:rPr>
    </w:lvl>
    <w:lvl w:ilvl="5" w:tplc="25C089EC" w:tentative="1">
      <w:start w:val="1"/>
      <w:numFmt w:val="bullet"/>
      <w:lvlText w:val=""/>
      <w:lvlJc w:val="left"/>
      <w:pPr>
        <w:tabs>
          <w:tab w:val="num" w:pos="4320"/>
        </w:tabs>
        <w:ind w:left="4320" w:hanging="360"/>
      </w:pPr>
      <w:rPr>
        <w:rFonts w:ascii="Symbol" w:hAnsi="Symbol" w:hint="default"/>
      </w:rPr>
    </w:lvl>
    <w:lvl w:ilvl="6" w:tplc="CA12B50A" w:tentative="1">
      <w:start w:val="1"/>
      <w:numFmt w:val="bullet"/>
      <w:lvlText w:val=""/>
      <w:lvlJc w:val="left"/>
      <w:pPr>
        <w:tabs>
          <w:tab w:val="num" w:pos="5040"/>
        </w:tabs>
        <w:ind w:left="5040" w:hanging="360"/>
      </w:pPr>
      <w:rPr>
        <w:rFonts w:ascii="Symbol" w:hAnsi="Symbol" w:hint="default"/>
      </w:rPr>
    </w:lvl>
    <w:lvl w:ilvl="7" w:tplc="C4D8173E" w:tentative="1">
      <w:start w:val="1"/>
      <w:numFmt w:val="bullet"/>
      <w:lvlText w:val=""/>
      <w:lvlJc w:val="left"/>
      <w:pPr>
        <w:tabs>
          <w:tab w:val="num" w:pos="5760"/>
        </w:tabs>
        <w:ind w:left="5760" w:hanging="360"/>
      </w:pPr>
      <w:rPr>
        <w:rFonts w:ascii="Symbol" w:hAnsi="Symbol" w:hint="default"/>
      </w:rPr>
    </w:lvl>
    <w:lvl w:ilvl="8" w:tplc="FF70045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5F17DB0"/>
    <w:multiLevelType w:val="hybridMultilevel"/>
    <w:tmpl w:val="2F44A930"/>
    <w:lvl w:ilvl="0" w:tplc="606A3F60">
      <w:start w:val="12"/>
      <w:numFmt w:val="bullet"/>
      <w:lvlText w:val="-"/>
      <w:lvlJc w:val="left"/>
      <w:pPr>
        <w:tabs>
          <w:tab w:val="num" w:pos="644"/>
        </w:tabs>
        <w:ind w:left="644" w:hanging="284"/>
      </w:pPr>
      <w:rPr>
        <w:rFonts w:ascii="Times New Roman" w:eastAsia="Times New Roman" w:hAnsi="Times New Roman" w:hint="default"/>
      </w:rPr>
    </w:lvl>
    <w:lvl w:ilvl="1" w:tplc="04060003">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0F11E5"/>
    <w:multiLevelType w:val="hybridMultilevel"/>
    <w:tmpl w:val="4A40C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91112D"/>
    <w:multiLevelType w:val="hybridMultilevel"/>
    <w:tmpl w:val="603A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B7464"/>
    <w:multiLevelType w:val="hybridMultilevel"/>
    <w:tmpl w:val="04802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E8267A"/>
    <w:multiLevelType w:val="hybridMultilevel"/>
    <w:tmpl w:val="D64CB7B8"/>
    <w:lvl w:ilvl="0" w:tplc="14BCDCB8">
      <w:numFmt w:val="bullet"/>
      <w:lvlText w:val="-"/>
      <w:lvlJc w:val="left"/>
      <w:pPr>
        <w:ind w:left="720" w:hanging="360"/>
      </w:pPr>
      <w:rPr>
        <w:rFonts w:ascii="Times New Roman" w:eastAsia="MS Mincho"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5E4485"/>
    <w:multiLevelType w:val="multilevel"/>
    <w:tmpl w:val="0A8E5288"/>
    <w:lvl w:ilvl="0">
      <w:start w:val="4"/>
      <w:numFmt w:val="decimal"/>
      <w:pStyle w:val="Opstilling-punkttegn"/>
      <w:lvlText w:val="%1"/>
      <w:lvlJc w:val="left"/>
      <w:pPr>
        <w:tabs>
          <w:tab w:val="num" w:pos="360"/>
        </w:tabs>
        <w:ind w:left="284" w:hanging="284"/>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3" w15:restartNumberingAfterBreak="0">
    <w:nsid w:val="7C2E51C8"/>
    <w:multiLevelType w:val="hybridMultilevel"/>
    <w:tmpl w:val="429C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5"/>
  </w:num>
  <w:num w:numId="5">
    <w:abstractNumId w:val="13"/>
  </w:num>
  <w:num w:numId="6">
    <w:abstractNumId w:val="9"/>
  </w:num>
  <w:num w:numId="7">
    <w:abstractNumId w:val="7"/>
  </w:num>
  <w:num w:numId="8">
    <w:abstractNumId w:val="6"/>
  </w:num>
  <w:num w:numId="9">
    <w:abstractNumId w:val="11"/>
  </w:num>
  <w:num w:numId="10">
    <w:abstractNumId w:val="10"/>
  </w:num>
  <w:num w:numId="11">
    <w:abstractNumId w:val="4"/>
  </w:num>
  <w:num w:numId="12">
    <w:abstractNumId w:val="0"/>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8"/>
  </w:num>
  <w:num w:numId="5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autoHyphenation/>
  <w:consecutiveHyphenLimit w:val="4"/>
  <w:hyphenationZone w:val="39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5C"/>
    <w:rsid w:val="000000B2"/>
    <w:rsid w:val="00001CA8"/>
    <w:rsid w:val="0000574B"/>
    <w:rsid w:val="000059DC"/>
    <w:rsid w:val="00005D8B"/>
    <w:rsid w:val="000078B9"/>
    <w:rsid w:val="00007BE6"/>
    <w:rsid w:val="00010DD9"/>
    <w:rsid w:val="00011231"/>
    <w:rsid w:val="0001174F"/>
    <w:rsid w:val="00011E08"/>
    <w:rsid w:val="000137C7"/>
    <w:rsid w:val="00015436"/>
    <w:rsid w:val="000172AC"/>
    <w:rsid w:val="000173A8"/>
    <w:rsid w:val="000219BB"/>
    <w:rsid w:val="00021D09"/>
    <w:rsid w:val="00023734"/>
    <w:rsid w:val="00024225"/>
    <w:rsid w:val="000247E2"/>
    <w:rsid w:val="0002520E"/>
    <w:rsid w:val="000253E7"/>
    <w:rsid w:val="00025B67"/>
    <w:rsid w:val="00026A42"/>
    <w:rsid w:val="00027157"/>
    <w:rsid w:val="00027517"/>
    <w:rsid w:val="00027C4A"/>
    <w:rsid w:val="000301A0"/>
    <w:rsid w:val="00030FB2"/>
    <w:rsid w:val="00031D7C"/>
    <w:rsid w:val="00032BC0"/>
    <w:rsid w:val="00033B55"/>
    <w:rsid w:val="00035838"/>
    <w:rsid w:val="00037D6F"/>
    <w:rsid w:val="00037E63"/>
    <w:rsid w:val="00043477"/>
    <w:rsid w:val="00043712"/>
    <w:rsid w:val="000468D9"/>
    <w:rsid w:val="0004787A"/>
    <w:rsid w:val="0004787B"/>
    <w:rsid w:val="000503C6"/>
    <w:rsid w:val="00050F62"/>
    <w:rsid w:val="00050F84"/>
    <w:rsid w:val="00052F0E"/>
    <w:rsid w:val="000530DE"/>
    <w:rsid w:val="00053B7C"/>
    <w:rsid w:val="00053DB2"/>
    <w:rsid w:val="00055139"/>
    <w:rsid w:val="000554C0"/>
    <w:rsid w:val="00055A71"/>
    <w:rsid w:val="0005617A"/>
    <w:rsid w:val="000578B7"/>
    <w:rsid w:val="0005793E"/>
    <w:rsid w:val="00060489"/>
    <w:rsid w:val="0006147B"/>
    <w:rsid w:val="00062247"/>
    <w:rsid w:val="00064922"/>
    <w:rsid w:val="000667FB"/>
    <w:rsid w:val="00067316"/>
    <w:rsid w:val="000673D4"/>
    <w:rsid w:val="0006750A"/>
    <w:rsid w:val="0007003B"/>
    <w:rsid w:val="00070397"/>
    <w:rsid w:val="00070A9A"/>
    <w:rsid w:val="0007116B"/>
    <w:rsid w:val="00071FE7"/>
    <w:rsid w:val="000747E4"/>
    <w:rsid w:val="000764CC"/>
    <w:rsid w:val="000769A6"/>
    <w:rsid w:val="00076DED"/>
    <w:rsid w:val="000775DB"/>
    <w:rsid w:val="00082E95"/>
    <w:rsid w:val="000836DF"/>
    <w:rsid w:val="0008438F"/>
    <w:rsid w:val="00084BDC"/>
    <w:rsid w:val="00084C5C"/>
    <w:rsid w:val="00085A5E"/>
    <w:rsid w:val="00086AA0"/>
    <w:rsid w:val="00087FDA"/>
    <w:rsid w:val="00090458"/>
    <w:rsid w:val="00090D2A"/>
    <w:rsid w:val="00090E7D"/>
    <w:rsid w:val="00091885"/>
    <w:rsid w:val="00091B52"/>
    <w:rsid w:val="00092158"/>
    <w:rsid w:val="000926C5"/>
    <w:rsid w:val="00094F7E"/>
    <w:rsid w:val="00094FC8"/>
    <w:rsid w:val="000950E6"/>
    <w:rsid w:val="00096802"/>
    <w:rsid w:val="00096A93"/>
    <w:rsid w:val="000A0301"/>
    <w:rsid w:val="000A0659"/>
    <w:rsid w:val="000A16B7"/>
    <w:rsid w:val="000A1C97"/>
    <w:rsid w:val="000A27CE"/>
    <w:rsid w:val="000A320D"/>
    <w:rsid w:val="000A59B6"/>
    <w:rsid w:val="000A5DB6"/>
    <w:rsid w:val="000A64EC"/>
    <w:rsid w:val="000B058D"/>
    <w:rsid w:val="000B0B4E"/>
    <w:rsid w:val="000B0B89"/>
    <w:rsid w:val="000B1211"/>
    <w:rsid w:val="000B5079"/>
    <w:rsid w:val="000B5A2E"/>
    <w:rsid w:val="000B6445"/>
    <w:rsid w:val="000B6C4F"/>
    <w:rsid w:val="000B6DC7"/>
    <w:rsid w:val="000B6E00"/>
    <w:rsid w:val="000B76D0"/>
    <w:rsid w:val="000C00C9"/>
    <w:rsid w:val="000C2656"/>
    <w:rsid w:val="000C26C0"/>
    <w:rsid w:val="000C2E05"/>
    <w:rsid w:val="000C325C"/>
    <w:rsid w:val="000C416B"/>
    <w:rsid w:val="000C4B7D"/>
    <w:rsid w:val="000C51B2"/>
    <w:rsid w:val="000C6CB8"/>
    <w:rsid w:val="000C7792"/>
    <w:rsid w:val="000C7E31"/>
    <w:rsid w:val="000D2E91"/>
    <w:rsid w:val="000D39B7"/>
    <w:rsid w:val="000D45CA"/>
    <w:rsid w:val="000D4992"/>
    <w:rsid w:val="000D5386"/>
    <w:rsid w:val="000D6648"/>
    <w:rsid w:val="000D68B9"/>
    <w:rsid w:val="000D6E44"/>
    <w:rsid w:val="000D75D1"/>
    <w:rsid w:val="000D774F"/>
    <w:rsid w:val="000D798B"/>
    <w:rsid w:val="000E07F6"/>
    <w:rsid w:val="000E2DB8"/>
    <w:rsid w:val="000E3B4F"/>
    <w:rsid w:val="000E5DDD"/>
    <w:rsid w:val="000F1539"/>
    <w:rsid w:val="000F3132"/>
    <w:rsid w:val="000F31D8"/>
    <w:rsid w:val="000F328A"/>
    <w:rsid w:val="000F3CFB"/>
    <w:rsid w:val="000F5AB0"/>
    <w:rsid w:val="000F6161"/>
    <w:rsid w:val="000F6E13"/>
    <w:rsid w:val="000F74B5"/>
    <w:rsid w:val="001006B9"/>
    <w:rsid w:val="0010189C"/>
    <w:rsid w:val="0010299D"/>
    <w:rsid w:val="00104D8E"/>
    <w:rsid w:val="00104F8E"/>
    <w:rsid w:val="00104FA1"/>
    <w:rsid w:val="0010542E"/>
    <w:rsid w:val="001060A9"/>
    <w:rsid w:val="001070EF"/>
    <w:rsid w:val="001117D3"/>
    <w:rsid w:val="00113650"/>
    <w:rsid w:val="00113E14"/>
    <w:rsid w:val="001148E4"/>
    <w:rsid w:val="00114CEF"/>
    <w:rsid w:val="00115592"/>
    <w:rsid w:val="00115630"/>
    <w:rsid w:val="001157F6"/>
    <w:rsid w:val="00116690"/>
    <w:rsid w:val="001167F2"/>
    <w:rsid w:val="00120C31"/>
    <w:rsid w:val="00121C21"/>
    <w:rsid w:val="00122C13"/>
    <w:rsid w:val="00122CC0"/>
    <w:rsid w:val="00123084"/>
    <w:rsid w:val="00123A1E"/>
    <w:rsid w:val="00131319"/>
    <w:rsid w:val="0013168B"/>
    <w:rsid w:val="001319A1"/>
    <w:rsid w:val="00133120"/>
    <w:rsid w:val="00133ADC"/>
    <w:rsid w:val="00134349"/>
    <w:rsid w:val="001343AA"/>
    <w:rsid w:val="001370F9"/>
    <w:rsid w:val="0013737C"/>
    <w:rsid w:val="00140DE7"/>
    <w:rsid w:val="00142FD0"/>
    <w:rsid w:val="00143447"/>
    <w:rsid w:val="001435CC"/>
    <w:rsid w:val="00143DF1"/>
    <w:rsid w:val="001455E5"/>
    <w:rsid w:val="001465C3"/>
    <w:rsid w:val="00146A37"/>
    <w:rsid w:val="00147B53"/>
    <w:rsid w:val="0015013F"/>
    <w:rsid w:val="00151149"/>
    <w:rsid w:val="001520DD"/>
    <w:rsid w:val="00153104"/>
    <w:rsid w:val="00153223"/>
    <w:rsid w:val="001536D2"/>
    <w:rsid w:val="001539D0"/>
    <w:rsid w:val="00154AA5"/>
    <w:rsid w:val="00154C60"/>
    <w:rsid w:val="00155435"/>
    <w:rsid w:val="00156C3F"/>
    <w:rsid w:val="0015749E"/>
    <w:rsid w:val="00157618"/>
    <w:rsid w:val="0015797F"/>
    <w:rsid w:val="00160A49"/>
    <w:rsid w:val="001616AD"/>
    <w:rsid w:val="0016185E"/>
    <w:rsid w:val="00162276"/>
    <w:rsid w:val="00166355"/>
    <w:rsid w:val="00166B19"/>
    <w:rsid w:val="00166D12"/>
    <w:rsid w:val="00167A0E"/>
    <w:rsid w:val="001702D5"/>
    <w:rsid w:val="00170879"/>
    <w:rsid w:val="001708D2"/>
    <w:rsid w:val="001720C2"/>
    <w:rsid w:val="0017389A"/>
    <w:rsid w:val="001739D5"/>
    <w:rsid w:val="00174503"/>
    <w:rsid w:val="00176708"/>
    <w:rsid w:val="00177003"/>
    <w:rsid w:val="00180008"/>
    <w:rsid w:val="001800BE"/>
    <w:rsid w:val="00180B08"/>
    <w:rsid w:val="00181369"/>
    <w:rsid w:val="0018154F"/>
    <w:rsid w:val="00181EEB"/>
    <w:rsid w:val="00186AF9"/>
    <w:rsid w:val="00187979"/>
    <w:rsid w:val="00187D5F"/>
    <w:rsid w:val="00190667"/>
    <w:rsid w:val="00190B1C"/>
    <w:rsid w:val="00191C60"/>
    <w:rsid w:val="001925BD"/>
    <w:rsid w:val="0019421C"/>
    <w:rsid w:val="00194FCC"/>
    <w:rsid w:val="00195831"/>
    <w:rsid w:val="00195F3F"/>
    <w:rsid w:val="00196B45"/>
    <w:rsid w:val="00196D20"/>
    <w:rsid w:val="00197077"/>
    <w:rsid w:val="001972DB"/>
    <w:rsid w:val="001A0194"/>
    <w:rsid w:val="001A09D3"/>
    <w:rsid w:val="001A0F92"/>
    <w:rsid w:val="001A10AC"/>
    <w:rsid w:val="001A23FE"/>
    <w:rsid w:val="001A3734"/>
    <w:rsid w:val="001A4B81"/>
    <w:rsid w:val="001B0EE1"/>
    <w:rsid w:val="001B0F53"/>
    <w:rsid w:val="001B4A2B"/>
    <w:rsid w:val="001B55F1"/>
    <w:rsid w:val="001B5B9F"/>
    <w:rsid w:val="001B5DBC"/>
    <w:rsid w:val="001B5F23"/>
    <w:rsid w:val="001B64B3"/>
    <w:rsid w:val="001B7BC1"/>
    <w:rsid w:val="001B7E7C"/>
    <w:rsid w:val="001C19E9"/>
    <w:rsid w:val="001C206D"/>
    <w:rsid w:val="001C293E"/>
    <w:rsid w:val="001C34AB"/>
    <w:rsid w:val="001C39A1"/>
    <w:rsid w:val="001C5B59"/>
    <w:rsid w:val="001C5D17"/>
    <w:rsid w:val="001C7D9A"/>
    <w:rsid w:val="001D1314"/>
    <w:rsid w:val="001D178A"/>
    <w:rsid w:val="001D17AB"/>
    <w:rsid w:val="001D187F"/>
    <w:rsid w:val="001D38A0"/>
    <w:rsid w:val="001D39B3"/>
    <w:rsid w:val="001D3D47"/>
    <w:rsid w:val="001D4099"/>
    <w:rsid w:val="001D43DC"/>
    <w:rsid w:val="001D496F"/>
    <w:rsid w:val="001D4BA8"/>
    <w:rsid w:val="001D5E00"/>
    <w:rsid w:val="001D68E9"/>
    <w:rsid w:val="001D6BEC"/>
    <w:rsid w:val="001E1061"/>
    <w:rsid w:val="001E2571"/>
    <w:rsid w:val="001E65F9"/>
    <w:rsid w:val="001E6673"/>
    <w:rsid w:val="001E70F3"/>
    <w:rsid w:val="001F00ED"/>
    <w:rsid w:val="001F26DA"/>
    <w:rsid w:val="001F2CC8"/>
    <w:rsid w:val="001F4831"/>
    <w:rsid w:val="001F4A17"/>
    <w:rsid w:val="001F4B2F"/>
    <w:rsid w:val="001F533C"/>
    <w:rsid w:val="001F69C5"/>
    <w:rsid w:val="00200D17"/>
    <w:rsid w:val="00200D2B"/>
    <w:rsid w:val="00202039"/>
    <w:rsid w:val="00202D48"/>
    <w:rsid w:val="00202DEB"/>
    <w:rsid w:val="002031BC"/>
    <w:rsid w:val="002032CF"/>
    <w:rsid w:val="00204976"/>
    <w:rsid w:val="0020530C"/>
    <w:rsid w:val="0020628F"/>
    <w:rsid w:val="00207213"/>
    <w:rsid w:val="002078F3"/>
    <w:rsid w:val="002101BD"/>
    <w:rsid w:val="002110DB"/>
    <w:rsid w:val="00211522"/>
    <w:rsid w:val="00212712"/>
    <w:rsid w:val="0021272D"/>
    <w:rsid w:val="00213A38"/>
    <w:rsid w:val="00214A17"/>
    <w:rsid w:val="00214A80"/>
    <w:rsid w:val="002153BB"/>
    <w:rsid w:val="002159F4"/>
    <w:rsid w:val="00216314"/>
    <w:rsid w:val="00216729"/>
    <w:rsid w:val="00220658"/>
    <w:rsid w:val="00221850"/>
    <w:rsid w:val="00221C02"/>
    <w:rsid w:val="00221ED9"/>
    <w:rsid w:val="00222220"/>
    <w:rsid w:val="00224B6A"/>
    <w:rsid w:val="00224D5A"/>
    <w:rsid w:val="002255FE"/>
    <w:rsid w:val="0022755A"/>
    <w:rsid w:val="0022782B"/>
    <w:rsid w:val="00227CCD"/>
    <w:rsid w:val="00227D97"/>
    <w:rsid w:val="00227EBF"/>
    <w:rsid w:val="00227F74"/>
    <w:rsid w:val="00230691"/>
    <w:rsid w:val="00230893"/>
    <w:rsid w:val="00231FA0"/>
    <w:rsid w:val="00232905"/>
    <w:rsid w:val="002329B9"/>
    <w:rsid w:val="00232F0B"/>
    <w:rsid w:val="00233094"/>
    <w:rsid w:val="00233291"/>
    <w:rsid w:val="002335CE"/>
    <w:rsid w:val="00234B49"/>
    <w:rsid w:val="00234BB8"/>
    <w:rsid w:val="00234C36"/>
    <w:rsid w:val="00234FF6"/>
    <w:rsid w:val="00235114"/>
    <w:rsid w:val="00235809"/>
    <w:rsid w:val="00235CA1"/>
    <w:rsid w:val="00236301"/>
    <w:rsid w:val="002367A8"/>
    <w:rsid w:val="00236957"/>
    <w:rsid w:val="00237BA8"/>
    <w:rsid w:val="00242041"/>
    <w:rsid w:val="002430C2"/>
    <w:rsid w:val="0024339D"/>
    <w:rsid w:val="00243886"/>
    <w:rsid w:val="002445E5"/>
    <w:rsid w:val="00244751"/>
    <w:rsid w:val="00244C25"/>
    <w:rsid w:val="00246488"/>
    <w:rsid w:val="00247719"/>
    <w:rsid w:val="00250355"/>
    <w:rsid w:val="002506FD"/>
    <w:rsid w:val="00251310"/>
    <w:rsid w:val="00252FFC"/>
    <w:rsid w:val="0025309F"/>
    <w:rsid w:val="0025395C"/>
    <w:rsid w:val="0025531C"/>
    <w:rsid w:val="00257109"/>
    <w:rsid w:val="0025747D"/>
    <w:rsid w:val="00260654"/>
    <w:rsid w:val="0026296D"/>
    <w:rsid w:val="00262A6F"/>
    <w:rsid w:val="00262D33"/>
    <w:rsid w:val="00263289"/>
    <w:rsid w:val="00263963"/>
    <w:rsid w:val="00264A1D"/>
    <w:rsid w:val="00264D22"/>
    <w:rsid w:val="0026587A"/>
    <w:rsid w:val="00266986"/>
    <w:rsid w:val="0027153D"/>
    <w:rsid w:val="00271D90"/>
    <w:rsid w:val="00271E67"/>
    <w:rsid w:val="00271EB1"/>
    <w:rsid w:val="00272DFE"/>
    <w:rsid w:val="002730C4"/>
    <w:rsid w:val="00273136"/>
    <w:rsid w:val="0027485B"/>
    <w:rsid w:val="002752A9"/>
    <w:rsid w:val="00275E17"/>
    <w:rsid w:val="00276914"/>
    <w:rsid w:val="0027722F"/>
    <w:rsid w:val="00277FA6"/>
    <w:rsid w:val="002801AF"/>
    <w:rsid w:val="00280CC0"/>
    <w:rsid w:val="0028113C"/>
    <w:rsid w:val="00281DF9"/>
    <w:rsid w:val="002820B3"/>
    <w:rsid w:val="00282232"/>
    <w:rsid w:val="00283B7A"/>
    <w:rsid w:val="00284545"/>
    <w:rsid w:val="002851C8"/>
    <w:rsid w:val="00285D16"/>
    <w:rsid w:val="00286478"/>
    <w:rsid w:val="00286D6C"/>
    <w:rsid w:val="00287A50"/>
    <w:rsid w:val="0029315E"/>
    <w:rsid w:val="002939E1"/>
    <w:rsid w:val="0029546F"/>
    <w:rsid w:val="002962DA"/>
    <w:rsid w:val="002A049B"/>
    <w:rsid w:val="002A0CBC"/>
    <w:rsid w:val="002A1675"/>
    <w:rsid w:val="002A2432"/>
    <w:rsid w:val="002A342F"/>
    <w:rsid w:val="002A352E"/>
    <w:rsid w:val="002A3B73"/>
    <w:rsid w:val="002A3C8A"/>
    <w:rsid w:val="002A3CA1"/>
    <w:rsid w:val="002A4A77"/>
    <w:rsid w:val="002A4FA8"/>
    <w:rsid w:val="002A5004"/>
    <w:rsid w:val="002A5170"/>
    <w:rsid w:val="002A5541"/>
    <w:rsid w:val="002A5CFD"/>
    <w:rsid w:val="002A6D42"/>
    <w:rsid w:val="002B0BB3"/>
    <w:rsid w:val="002B1B42"/>
    <w:rsid w:val="002B1C47"/>
    <w:rsid w:val="002B320F"/>
    <w:rsid w:val="002B4469"/>
    <w:rsid w:val="002B4873"/>
    <w:rsid w:val="002B634B"/>
    <w:rsid w:val="002B677B"/>
    <w:rsid w:val="002B7049"/>
    <w:rsid w:val="002B718D"/>
    <w:rsid w:val="002C15B1"/>
    <w:rsid w:val="002C2EFB"/>
    <w:rsid w:val="002C317B"/>
    <w:rsid w:val="002C45FC"/>
    <w:rsid w:val="002C48C1"/>
    <w:rsid w:val="002C4A27"/>
    <w:rsid w:val="002C4BF4"/>
    <w:rsid w:val="002C6242"/>
    <w:rsid w:val="002C786D"/>
    <w:rsid w:val="002C7C28"/>
    <w:rsid w:val="002D1159"/>
    <w:rsid w:val="002D37C6"/>
    <w:rsid w:val="002D3F59"/>
    <w:rsid w:val="002D51C7"/>
    <w:rsid w:val="002D51CA"/>
    <w:rsid w:val="002D549C"/>
    <w:rsid w:val="002D5552"/>
    <w:rsid w:val="002D66D7"/>
    <w:rsid w:val="002D7901"/>
    <w:rsid w:val="002E02CB"/>
    <w:rsid w:val="002E0385"/>
    <w:rsid w:val="002E1A33"/>
    <w:rsid w:val="002E28F9"/>
    <w:rsid w:val="002E31C7"/>
    <w:rsid w:val="002E3646"/>
    <w:rsid w:val="002E454F"/>
    <w:rsid w:val="002E4605"/>
    <w:rsid w:val="002E70B2"/>
    <w:rsid w:val="002F1488"/>
    <w:rsid w:val="002F1D89"/>
    <w:rsid w:val="002F1DF8"/>
    <w:rsid w:val="002F363A"/>
    <w:rsid w:val="002F36E1"/>
    <w:rsid w:val="002F4041"/>
    <w:rsid w:val="002F4099"/>
    <w:rsid w:val="002F4A00"/>
    <w:rsid w:val="002F4ABD"/>
    <w:rsid w:val="002F4DC8"/>
    <w:rsid w:val="0030047F"/>
    <w:rsid w:val="00300D35"/>
    <w:rsid w:val="003024FC"/>
    <w:rsid w:val="003029DC"/>
    <w:rsid w:val="00302A3B"/>
    <w:rsid w:val="00303AAD"/>
    <w:rsid w:val="00305138"/>
    <w:rsid w:val="003070D7"/>
    <w:rsid w:val="00307160"/>
    <w:rsid w:val="00307937"/>
    <w:rsid w:val="00307FD1"/>
    <w:rsid w:val="0031105C"/>
    <w:rsid w:val="00311655"/>
    <w:rsid w:val="00311D10"/>
    <w:rsid w:val="003125AC"/>
    <w:rsid w:val="0031356E"/>
    <w:rsid w:val="00313B8C"/>
    <w:rsid w:val="00314620"/>
    <w:rsid w:val="00315289"/>
    <w:rsid w:val="0031618A"/>
    <w:rsid w:val="00317970"/>
    <w:rsid w:val="00317F38"/>
    <w:rsid w:val="00320041"/>
    <w:rsid w:val="003204A7"/>
    <w:rsid w:val="00320608"/>
    <w:rsid w:val="003214B5"/>
    <w:rsid w:val="003224DE"/>
    <w:rsid w:val="00322E3F"/>
    <w:rsid w:val="00323C22"/>
    <w:rsid w:val="003251CD"/>
    <w:rsid w:val="003253E0"/>
    <w:rsid w:val="00326EB6"/>
    <w:rsid w:val="00326F32"/>
    <w:rsid w:val="00327939"/>
    <w:rsid w:val="00327D66"/>
    <w:rsid w:val="00332076"/>
    <w:rsid w:val="00333CFA"/>
    <w:rsid w:val="00334E9F"/>
    <w:rsid w:val="00337324"/>
    <w:rsid w:val="0034144D"/>
    <w:rsid w:val="003420DD"/>
    <w:rsid w:val="003422B2"/>
    <w:rsid w:val="00342C3E"/>
    <w:rsid w:val="00342F87"/>
    <w:rsid w:val="00343AF8"/>
    <w:rsid w:val="00343CC6"/>
    <w:rsid w:val="00343EA2"/>
    <w:rsid w:val="003441F7"/>
    <w:rsid w:val="003446B0"/>
    <w:rsid w:val="0034671E"/>
    <w:rsid w:val="0034746F"/>
    <w:rsid w:val="00347573"/>
    <w:rsid w:val="00347D67"/>
    <w:rsid w:val="00350B8D"/>
    <w:rsid w:val="003517BB"/>
    <w:rsid w:val="003522E3"/>
    <w:rsid w:val="00354756"/>
    <w:rsid w:val="00354F5A"/>
    <w:rsid w:val="003555B8"/>
    <w:rsid w:val="00357179"/>
    <w:rsid w:val="00357E31"/>
    <w:rsid w:val="00360647"/>
    <w:rsid w:val="00360C5C"/>
    <w:rsid w:val="003615C8"/>
    <w:rsid w:val="00361982"/>
    <w:rsid w:val="00361FA5"/>
    <w:rsid w:val="00362035"/>
    <w:rsid w:val="0036239E"/>
    <w:rsid w:val="003633C8"/>
    <w:rsid w:val="00363463"/>
    <w:rsid w:val="003634D3"/>
    <w:rsid w:val="00363888"/>
    <w:rsid w:val="00363D37"/>
    <w:rsid w:val="00363EF3"/>
    <w:rsid w:val="00363F6A"/>
    <w:rsid w:val="00364A5B"/>
    <w:rsid w:val="00365687"/>
    <w:rsid w:val="0036602A"/>
    <w:rsid w:val="003669D3"/>
    <w:rsid w:val="00366C05"/>
    <w:rsid w:val="003673F0"/>
    <w:rsid w:val="00367781"/>
    <w:rsid w:val="00367919"/>
    <w:rsid w:val="00367B32"/>
    <w:rsid w:val="00367FF4"/>
    <w:rsid w:val="003734EB"/>
    <w:rsid w:val="00373631"/>
    <w:rsid w:val="00373C31"/>
    <w:rsid w:val="00373F2F"/>
    <w:rsid w:val="00374331"/>
    <w:rsid w:val="00374E1D"/>
    <w:rsid w:val="00374E94"/>
    <w:rsid w:val="0037663D"/>
    <w:rsid w:val="00376D1F"/>
    <w:rsid w:val="0038011B"/>
    <w:rsid w:val="003832C1"/>
    <w:rsid w:val="00383D0F"/>
    <w:rsid w:val="003844BF"/>
    <w:rsid w:val="00387708"/>
    <w:rsid w:val="00390163"/>
    <w:rsid w:val="0039031B"/>
    <w:rsid w:val="003905C3"/>
    <w:rsid w:val="00391A23"/>
    <w:rsid w:val="00392B04"/>
    <w:rsid w:val="0039311C"/>
    <w:rsid w:val="00393E13"/>
    <w:rsid w:val="003945CE"/>
    <w:rsid w:val="00394EE3"/>
    <w:rsid w:val="0039546E"/>
    <w:rsid w:val="003965FE"/>
    <w:rsid w:val="003A01A1"/>
    <w:rsid w:val="003A1016"/>
    <w:rsid w:val="003A1556"/>
    <w:rsid w:val="003A37BA"/>
    <w:rsid w:val="003A42ED"/>
    <w:rsid w:val="003A4341"/>
    <w:rsid w:val="003A522B"/>
    <w:rsid w:val="003A5393"/>
    <w:rsid w:val="003A5678"/>
    <w:rsid w:val="003A5BE5"/>
    <w:rsid w:val="003A788D"/>
    <w:rsid w:val="003A7B0C"/>
    <w:rsid w:val="003B0298"/>
    <w:rsid w:val="003B2933"/>
    <w:rsid w:val="003B3E7F"/>
    <w:rsid w:val="003B47B1"/>
    <w:rsid w:val="003B7B9E"/>
    <w:rsid w:val="003C181B"/>
    <w:rsid w:val="003C2324"/>
    <w:rsid w:val="003C515D"/>
    <w:rsid w:val="003C55D8"/>
    <w:rsid w:val="003C663A"/>
    <w:rsid w:val="003C7407"/>
    <w:rsid w:val="003D03D1"/>
    <w:rsid w:val="003D2090"/>
    <w:rsid w:val="003D3363"/>
    <w:rsid w:val="003D39C4"/>
    <w:rsid w:val="003D4469"/>
    <w:rsid w:val="003D49F1"/>
    <w:rsid w:val="003D5D33"/>
    <w:rsid w:val="003D6043"/>
    <w:rsid w:val="003D7C9D"/>
    <w:rsid w:val="003D7D2B"/>
    <w:rsid w:val="003E02E5"/>
    <w:rsid w:val="003E0E9A"/>
    <w:rsid w:val="003E1F9A"/>
    <w:rsid w:val="003E2163"/>
    <w:rsid w:val="003E319A"/>
    <w:rsid w:val="003E6A15"/>
    <w:rsid w:val="003E79F0"/>
    <w:rsid w:val="003E7C4A"/>
    <w:rsid w:val="003F1086"/>
    <w:rsid w:val="003F205C"/>
    <w:rsid w:val="003F2454"/>
    <w:rsid w:val="003F29E3"/>
    <w:rsid w:val="003F29F1"/>
    <w:rsid w:val="003F3203"/>
    <w:rsid w:val="003F42EA"/>
    <w:rsid w:val="003F54FD"/>
    <w:rsid w:val="0040234F"/>
    <w:rsid w:val="00402649"/>
    <w:rsid w:val="00402D0F"/>
    <w:rsid w:val="00402FDF"/>
    <w:rsid w:val="004032BC"/>
    <w:rsid w:val="00403BEA"/>
    <w:rsid w:val="00405660"/>
    <w:rsid w:val="00405F7F"/>
    <w:rsid w:val="00405FAE"/>
    <w:rsid w:val="004062B6"/>
    <w:rsid w:val="0040671D"/>
    <w:rsid w:val="00406F38"/>
    <w:rsid w:val="004076E1"/>
    <w:rsid w:val="00407846"/>
    <w:rsid w:val="00407AAC"/>
    <w:rsid w:val="00407DFE"/>
    <w:rsid w:val="004111FC"/>
    <w:rsid w:val="00412672"/>
    <w:rsid w:val="004140A7"/>
    <w:rsid w:val="0041607E"/>
    <w:rsid w:val="00417358"/>
    <w:rsid w:val="004201D9"/>
    <w:rsid w:val="00422322"/>
    <w:rsid w:val="004226CE"/>
    <w:rsid w:val="00422E1C"/>
    <w:rsid w:val="00423D87"/>
    <w:rsid w:val="00424433"/>
    <w:rsid w:val="00424A43"/>
    <w:rsid w:val="00424E9D"/>
    <w:rsid w:val="0042548F"/>
    <w:rsid w:val="00425772"/>
    <w:rsid w:val="00425917"/>
    <w:rsid w:val="00425B34"/>
    <w:rsid w:val="00426458"/>
    <w:rsid w:val="00426862"/>
    <w:rsid w:val="00426E8E"/>
    <w:rsid w:val="0043018B"/>
    <w:rsid w:val="00430A49"/>
    <w:rsid w:val="00430B01"/>
    <w:rsid w:val="004313A8"/>
    <w:rsid w:val="004331B8"/>
    <w:rsid w:val="00433529"/>
    <w:rsid w:val="00433BDE"/>
    <w:rsid w:val="0043585B"/>
    <w:rsid w:val="00435A1A"/>
    <w:rsid w:val="00436305"/>
    <w:rsid w:val="004366CD"/>
    <w:rsid w:val="0044005F"/>
    <w:rsid w:val="004403B8"/>
    <w:rsid w:val="00441F57"/>
    <w:rsid w:val="004435BD"/>
    <w:rsid w:val="00446682"/>
    <w:rsid w:val="0044743A"/>
    <w:rsid w:val="00450092"/>
    <w:rsid w:val="00450D54"/>
    <w:rsid w:val="00451A02"/>
    <w:rsid w:val="00453575"/>
    <w:rsid w:val="0045378D"/>
    <w:rsid w:val="00453797"/>
    <w:rsid w:val="004558C3"/>
    <w:rsid w:val="00457F40"/>
    <w:rsid w:val="00460970"/>
    <w:rsid w:val="00461190"/>
    <w:rsid w:val="00461CFE"/>
    <w:rsid w:val="004649BD"/>
    <w:rsid w:val="00464EC0"/>
    <w:rsid w:val="004654E5"/>
    <w:rsid w:val="004655CF"/>
    <w:rsid w:val="00465A22"/>
    <w:rsid w:val="0046629D"/>
    <w:rsid w:val="00466422"/>
    <w:rsid w:val="00466505"/>
    <w:rsid w:val="00466B91"/>
    <w:rsid w:val="00467744"/>
    <w:rsid w:val="00467922"/>
    <w:rsid w:val="004708C5"/>
    <w:rsid w:val="004710B9"/>
    <w:rsid w:val="0047128F"/>
    <w:rsid w:val="004714FC"/>
    <w:rsid w:val="00471842"/>
    <w:rsid w:val="00471A51"/>
    <w:rsid w:val="00472CFD"/>
    <w:rsid w:val="00475188"/>
    <w:rsid w:val="0048065E"/>
    <w:rsid w:val="00481431"/>
    <w:rsid w:val="004817EC"/>
    <w:rsid w:val="00481BA5"/>
    <w:rsid w:val="00482ABA"/>
    <w:rsid w:val="00482E2F"/>
    <w:rsid w:val="00483E17"/>
    <w:rsid w:val="00484766"/>
    <w:rsid w:val="00485335"/>
    <w:rsid w:val="00485B6D"/>
    <w:rsid w:val="004879DC"/>
    <w:rsid w:val="00491102"/>
    <w:rsid w:val="0049160E"/>
    <w:rsid w:val="0049209C"/>
    <w:rsid w:val="0049236C"/>
    <w:rsid w:val="00493AFE"/>
    <w:rsid w:val="0049443E"/>
    <w:rsid w:val="00494697"/>
    <w:rsid w:val="00494DB5"/>
    <w:rsid w:val="00495D93"/>
    <w:rsid w:val="0049646E"/>
    <w:rsid w:val="00496FB7"/>
    <w:rsid w:val="0049741F"/>
    <w:rsid w:val="004A0A3F"/>
    <w:rsid w:val="004A2297"/>
    <w:rsid w:val="004A22CD"/>
    <w:rsid w:val="004A24B1"/>
    <w:rsid w:val="004A27A7"/>
    <w:rsid w:val="004A326C"/>
    <w:rsid w:val="004A4E0E"/>
    <w:rsid w:val="004A4EB4"/>
    <w:rsid w:val="004A5978"/>
    <w:rsid w:val="004A5B10"/>
    <w:rsid w:val="004A5D5E"/>
    <w:rsid w:val="004A73F4"/>
    <w:rsid w:val="004A7DDE"/>
    <w:rsid w:val="004B0DBB"/>
    <w:rsid w:val="004B143B"/>
    <w:rsid w:val="004B14A5"/>
    <w:rsid w:val="004B19B5"/>
    <w:rsid w:val="004B2541"/>
    <w:rsid w:val="004B2CD8"/>
    <w:rsid w:val="004B2D0E"/>
    <w:rsid w:val="004B3817"/>
    <w:rsid w:val="004B3C6A"/>
    <w:rsid w:val="004B5341"/>
    <w:rsid w:val="004B5D97"/>
    <w:rsid w:val="004B6D58"/>
    <w:rsid w:val="004B703E"/>
    <w:rsid w:val="004B71D2"/>
    <w:rsid w:val="004B72A0"/>
    <w:rsid w:val="004B7A16"/>
    <w:rsid w:val="004C0475"/>
    <w:rsid w:val="004C3A8C"/>
    <w:rsid w:val="004C3E76"/>
    <w:rsid w:val="004C3EBB"/>
    <w:rsid w:val="004C440A"/>
    <w:rsid w:val="004C4581"/>
    <w:rsid w:val="004C56EE"/>
    <w:rsid w:val="004C6ECE"/>
    <w:rsid w:val="004D19D3"/>
    <w:rsid w:val="004D3463"/>
    <w:rsid w:val="004D47F3"/>
    <w:rsid w:val="004D5C97"/>
    <w:rsid w:val="004D5D00"/>
    <w:rsid w:val="004D7AAC"/>
    <w:rsid w:val="004E09CE"/>
    <w:rsid w:val="004E2B41"/>
    <w:rsid w:val="004E3C90"/>
    <w:rsid w:val="004E411F"/>
    <w:rsid w:val="004E5DC6"/>
    <w:rsid w:val="004E5DEA"/>
    <w:rsid w:val="004E7B4B"/>
    <w:rsid w:val="004E7F89"/>
    <w:rsid w:val="004F00C4"/>
    <w:rsid w:val="004F0EA1"/>
    <w:rsid w:val="004F1A97"/>
    <w:rsid w:val="004F2537"/>
    <w:rsid w:val="004F32B6"/>
    <w:rsid w:val="004F36D2"/>
    <w:rsid w:val="004F538B"/>
    <w:rsid w:val="004F5519"/>
    <w:rsid w:val="004F5D65"/>
    <w:rsid w:val="004F5FCE"/>
    <w:rsid w:val="004F650A"/>
    <w:rsid w:val="004F7A48"/>
    <w:rsid w:val="004F7DBC"/>
    <w:rsid w:val="00500810"/>
    <w:rsid w:val="00500CD6"/>
    <w:rsid w:val="005011BE"/>
    <w:rsid w:val="005024CE"/>
    <w:rsid w:val="005026F8"/>
    <w:rsid w:val="005049B3"/>
    <w:rsid w:val="00504A10"/>
    <w:rsid w:val="00506EA1"/>
    <w:rsid w:val="0050795F"/>
    <w:rsid w:val="0051101E"/>
    <w:rsid w:val="0051146C"/>
    <w:rsid w:val="00511BB5"/>
    <w:rsid w:val="00512405"/>
    <w:rsid w:val="0051260B"/>
    <w:rsid w:val="00512EC1"/>
    <w:rsid w:val="005148AA"/>
    <w:rsid w:val="0051637B"/>
    <w:rsid w:val="00516591"/>
    <w:rsid w:val="00517648"/>
    <w:rsid w:val="00517D93"/>
    <w:rsid w:val="0052015F"/>
    <w:rsid w:val="00521A7A"/>
    <w:rsid w:val="005238E0"/>
    <w:rsid w:val="005252DA"/>
    <w:rsid w:val="0052629D"/>
    <w:rsid w:val="005262E9"/>
    <w:rsid w:val="005273A0"/>
    <w:rsid w:val="00527C9E"/>
    <w:rsid w:val="00531930"/>
    <w:rsid w:val="005328D7"/>
    <w:rsid w:val="0053328D"/>
    <w:rsid w:val="00533A07"/>
    <w:rsid w:val="005349B6"/>
    <w:rsid w:val="00534D9D"/>
    <w:rsid w:val="005359D0"/>
    <w:rsid w:val="00535E3E"/>
    <w:rsid w:val="00536E49"/>
    <w:rsid w:val="00541D4D"/>
    <w:rsid w:val="0054276B"/>
    <w:rsid w:val="005429C8"/>
    <w:rsid w:val="00543946"/>
    <w:rsid w:val="00545983"/>
    <w:rsid w:val="00545B66"/>
    <w:rsid w:val="00545CB8"/>
    <w:rsid w:val="005466D3"/>
    <w:rsid w:val="00547126"/>
    <w:rsid w:val="00547359"/>
    <w:rsid w:val="00550A82"/>
    <w:rsid w:val="0055140C"/>
    <w:rsid w:val="00551977"/>
    <w:rsid w:val="00551FA0"/>
    <w:rsid w:val="005523BA"/>
    <w:rsid w:val="00553CC3"/>
    <w:rsid w:val="00554B08"/>
    <w:rsid w:val="00554C4A"/>
    <w:rsid w:val="00554FFA"/>
    <w:rsid w:val="00555CC9"/>
    <w:rsid w:val="0055625E"/>
    <w:rsid w:val="00556A13"/>
    <w:rsid w:val="00556BC5"/>
    <w:rsid w:val="00560861"/>
    <w:rsid w:val="00560E23"/>
    <w:rsid w:val="00561893"/>
    <w:rsid w:val="00562C53"/>
    <w:rsid w:val="005631D5"/>
    <w:rsid w:val="00563812"/>
    <w:rsid w:val="00565932"/>
    <w:rsid w:val="00565A9C"/>
    <w:rsid w:val="00565E8F"/>
    <w:rsid w:val="005660FC"/>
    <w:rsid w:val="00566425"/>
    <w:rsid w:val="00566604"/>
    <w:rsid w:val="00567813"/>
    <w:rsid w:val="00567C65"/>
    <w:rsid w:val="00572136"/>
    <w:rsid w:val="00572398"/>
    <w:rsid w:val="0057254B"/>
    <w:rsid w:val="0057379D"/>
    <w:rsid w:val="00574913"/>
    <w:rsid w:val="00575451"/>
    <w:rsid w:val="00575868"/>
    <w:rsid w:val="00580424"/>
    <w:rsid w:val="005804A7"/>
    <w:rsid w:val="005804B8"/>
    <w:rsid w:val="0058122B"/>
    <w:rsid w:val="00581244"/>
    <w:rsid w:val="00581855"/>
    <w:rsid w:val="00581E7E"/>
    <w:rsid w:val="00581EDB"/>
    <w:rsid w:val="0058207D"/>
    <w:rsid w:val="0058221C"/>
    <w:rsid w:val="005825DB"/>
    <w:rsid w:val="0058342C"/>
    <w:rsid w:val="00583CDC"/>
    <w:rsid w:val="00584691"/>
    <w:rsid w:val="0058582B"/>
    <w:rsid w:val="005859A1"/>
    <w:rsid w:val="00585ABA"/>
    <w:rsid w:val="00585B1E"/>
    <w:rsid w:val="00585EFE"/>
    <w:rsid w:val="00586018"/>
    <w:rsid w:val="0058682F"/>
    <w:rsid w:val="00586FA7"/>
    <w:rsid w:val="0058793C"/>
    <w:rsid w:val="005902AF"/>
    <w:rsid w:val="00590524"/>
    <w:rsid w:val="00591D4A"/>
    <w:rsid w:val="00592B81"/>
    <w:rsid w:val="00593F9F"/>
    <w:rsid w:val="00595E3B"/>
    <w:rsid w:val="00596B6F"/>
    <w:rsid w:val="005A13E1"/>
    <w:rsid w:val="005A34FD"/>
    <w:rsid w:val="005A4233"/>
    <w:rsid w:val="005A4E6E"/>
    <w:rsid w:val="005A4E99"/>
    <w:rsid w:val="005A6514"/>
    <w:rsid w:val="005A7625"/>
    <w:rsid w:val="005A76BB"/>
    <w:rsid w:val="005B0437"/>
    <w:rsid w:val="005B05F1"/>
    <w:rsid w:val="005B11C2"/>
    <w:rsid w:val="005B20DE"/>
    <w:rsid w:val="005B2718"/>
    <w:rsid w:val="005B2E09"/>
    <w:rsid w:val="005B5D9C"/>
    <w:rsid w:val="005B62EC"/>
    <w:rsid w:val="005B64F4"/>
    <w:rsid w:val="005B6502"/>
    <w:rsid w:val="005B68F0"/>
    <w:rsid w:val="005C0D4B"/>
    <w:rsid w:val="005C0DEC"/>
    <w:rsid w:val="005C13C5"/>
    <w:rsid w:val="005C27B6"/>
    <w:rsid w:val="005C33F0"/>
    <w:rsid w:val="005C369E"/>
    <w:rsid w:val="005C3CBE"/>
    <w:rsid w:val="005C45B5"/>
    <w:rsid w:val="005C511B"/>
    <w:rsid w:val="005C567A"/>
    <w:rsid w:val="005C7485"/>
    <w:rsid w:val="005C7910"/>
    <w:rsid w:val="005C793C"/>
    <w:rsid w:val="005D00CE"/>
    <w:rsid w:val="005D047D"/>
    <w:rsid w:val="005D0CB8"/>
    <w:rsid w:val="005D1117"/>
    <w:rsid w:val="005D1693"/>
    <w:rsid w:val="005D18C4"/>
    <w:rsid w:val="005D24AD"/>
    <w:rsid w:val="005D2729"/>
    <w:rsid w:val="005D40F4"/>
    <w:rsid w:val="005D45E6"/>
    <w:rsid w:val="005D63AC"/>
    <w:rsid w:val="005D6A09"/>
    <w:rsid w:val="005D7190"/>
    <w:rsid w:val="005D7914"/>
    <w:rsid w:val="005E004E"/>
    <w:rsid w:val="005E0462"/>
    <w:rsid w:val="005E0CDF"/>
    <w:rsid w:val="005E1038"/>
    <w:rsid w:val="005E15D7"/>
    <w:rsid w:val="005E1B8C"/>
    <w:rsid w:val="005E41B0"/>
    <w:rsid w:val="005E4594"/>
    <w:rsid w:val="005E4FC2"/>
    <w:rsid w:val="005E54BB"/>
    <w:rsid w:val="005E6071"/>
    <w:rsid w:val="005E69DB"/>
    <w:rsid w:val="005E6B51"/>
    <w:rsid w:val="005E78B4"/>
    <w:rsid w:val="005F0AB4"/>
    <w:rsid w:val="005F14CE"/>
    <w:rsid w:val="005F19BA"/>
    <w:rsid w:val="005F1CB5"/>
    <w:rsid w:val="005F26B3"/>
    <w:rsid w:val="005F3CC1"/>
    <w:rsid w:val="005F429E"/>
    <w:rsid w:val="005F4A13"/>
    <w:rsid w:val="005F5E11"/>
    <w:rsid w:val="005F69A7"/>
    <w:rsid w:val="005F7C72"/>
    <w:rsid w:val="006005DD"/>
    <w:rsid w:val="00601366"/>
    <w:rsid w:val="00602E80"/>
    <w:rsid w:val="00602FCF"/>
    <w:rsid w:val="006040E9"/>
    <w:rsid w:val="00604587"/>
    <w:rsid w:val="00604701"/>
    <w:rsid w:val="00604C16"/>
    <w:rsid w:val="00604DA9"/>
    <w:rsid w:val="00606A36"/>
    <w:rsid w:val="00607945"/>
    <w:rsid w:val="00607A43"/>
    <w:rsid w:val="00612507"/>
    <w:rsid w:val="00612955"/>
    <w:rsid w:val="00613E06"/>
    <w:rsid w:val="00613F3B"/>
    <w:rsid w:val="00614322"/>
    <w:rsid w:val="00614653"/>
    <w:rsid w:val="00615603"/>
    <w:rsid w:val="00617042"/>
    <w:rsid w:val="00617A47"/>
    <w:rsid w:val="006208D2"/>
    <w:rsid w:val="00621A5B"/>
    <w:rsid w:val="00621ECF"/>
    <w:rsid w:val="00622D3F"/>
    <w:rsid w:val="00623486"/>
    <w:rsid w:val="00625A47"/>
    <w:rsid w:val="00625D7B"/>
    <w:rsid w:val="00625D99"/>
    <w:rsid w:val="00625E0A"/>
    <w:rsid w:val="0062686C"/>
    <w:rsid w:val="0062709A"/>
    <w:rsid w:val="00627951"/>
    <w:rsid w:val="00627B06"/>
    <w:rsid w:val="00627E95"/>
    <w:rsid w:val="00630B11"/>
    <w:rsid w:val="00631172"/>
    <w:rsid w:val="00631EE2"/>
    <w:rsid w:val="00632643"/>
    <w:rsid w:val="00633008"/>
    <w:rsid w:val="00633AEF"/>
    <w:rsid w:val="00634220"/>
    <w:rsid w:val="006362AE"/>
    <w:rsid w:val="00640062"/>
    <w:rsid w:val="0064088A"/>
    <w:rsid w:val="006424A1"/>
    <w:rsid w:val="00642832"/>
    <w:rsid w:val="00642C0B"/>
    <w:rsid w:val="00643150"/>
    <w:rsid w:val="0064476A"/>
    <w:rsid w:val="00647134"/>
    <w:rsid w:val="00647369"/>
    <w:rsid w:val="00647865"/>
    <w:rsid w:val="006500DA"/>
    <w:rsid w:val="00651752"/>
    <w:rsid w:val="00653A14"/>
    <w:rsid w:val="00653B78"/>
    <w:rsid w:val="00654CD2"/>
    <w:rsid w:val="006555B8"/>
    <w:rsid w:val="006570F4"/>
    <w:rsid w:val="0065723C"/>
    <w:rsid w:val="00660B0D"/>
    <w:rsid w:val="006617B5"/>
    <w:rsid w:val="006625A0"/>
    <w:rsid w:val="00662984"/>
    <w:rsid w:val="0066326E"/>
    <w:rsid w:val="00663CD7"/>
    <w:rsid w:val="006649F6"/>
    <w:rsid w:val="006657F1"/>
    <w:rsid w:val="00665CE7"/>
    <w:rsid w:val="00666692"/>
    <w:rsid w:val="0067018F"/>
    <w:rsid w:val="00670F35"/>
    <w:rsid w:val="00671A33"/>
    <w:rsid w:val="00671D0B"/>
    <w:rsid w:val="00672851"/>
    <w:rsid w:val="00672904"/>
    <w:rsid w:val="006737B4"/>
    <w:rsid w:val="00673916"/>
    <w:rsid w:val="00674043"/>
    <w:rsid w:val="006753EF"/>
    <w:rsid w:val="00675B35"/>
    <w:rsid w:val="00675C11"/>
    <w:rsid w:val="00675C74"/>
    <w:rsid w:val="0068015A"/>
    <w:rsid w:val="0068155F"/>
    <w:rsid w:val="0068213C"/>
    <w:rsid w:val="00682356"/>
    <w:rsid w:val="00682AC3"/>
    <w:rsid w:val="00682F8B"/>
    <w:rsid w:val="006851C0"/>
    <w:rsid w:val="0068531D"/>
    <w:rsid w:val="00685817"/>
    <w:rsid w:val="006863F4"/>
    <w:rsid w:val="00686C57"/>
    <w:rsid w:val="00687110"/>
    <w:rsid w:val="00687166"/>
    <w:rsid w:val="0068792B"/>
    <w:rsid w:val="00690386"/>
    <w:rsid w:val="00690954"/>
    <w:rsid w:val="00690ADD"/>
    <w:rsid w:val="00691271"/>
    <w:rsid w:val="006931DB"/>
    <w:rsid w:val="0069335D"/>
    <w:rsid w:val="006939AA"/>
    <w:rsid w:val="00694BB3"/>
    <w:rsid w:val="00695ED0"/>
    <w:rsid w:val="0069620F"/>
    <w:rsid w:val="006A0AF6"/>
    <w:rsid w:val="006A0EBF"/>
    <w:rsid w:val="006A1282"/>
    <w:rsid w:val="006A28F4"/>
    <w:rsid w:val="006A2EA0"/>
    <w:rsid w:val="006A3E9B"/>
    <w:rsid w:val="006A43F8"/>
    <w:rsid w:val="006A4736"/>
    <w:rsid w:val="006A622F"/>
    <w:rsid w:val="006A7688"/>
    <w:rsid w:val="006A7A14"/>
    <w:rsid w:val="006A7E74"/>
    <w:rsid w:val="006A7EDF"/>
    <w:rsid w:val="006B015D"/>
    <w:rsid w:val="006B2A28"/>
    <w:rsid w:val="006B2F39"/>
    <w:rsid w:val="006B2FDA"/>
    <w:rsid w:val="006B4F10"/>
    <w:rsid w:val="006B501C"/>
    <w:rsid w:val="006B50EA"/>
    <w:rsid w:val="006B57DF"/>
    <w:rsid w:val="006B6905"/>
    <w:rsid w:val="006C055A"/>
    <w:rsid w:val="006C0ACF"/>
    <w:rsid w:val="006C0D9F"/>
    <w:rsid w:val="006C11D0"/>
    <w:rsid w:val="006C153F"/>
    <w:rsid w:val="006C16CC"/>
    <w:rsid w:val="006C1743"/>
    <w:rsid w:val="006C1EF1"/>
    <w:rsid w:val="006C3270"/>
    <w:rsid w:val="006C3BD8"/>
    <w:rsid w:val="006C40EB"/>
    <w:rsid w:val="006C4350"/>
    <w:rsid w:val="006C4BE2"/>
    <w:rsid w:val="006C4FCB"/>
    <w:rsid w:val="006C5418"/>
    <w:rsid w:val="006C61FC"/>
    <w:rsid w:val="006C73E4"/>
    <w:rsid w:val="006D09D3"/>
    <w:rsid w:val="006D3B4C"/>
    <w:rsid w:val="006D3F74"/>
    <w:rsid w:val="006D697D"/>
    <w:rsid w:val="006D6B60"/>
    <w:rsid w:val="006E0634"/>
    <w:rsid w:val="006E206C"/>
    <w:rsid w:val="006E2301"/>
    <w:rsid w:val="006E27CC"/>
    <w:rsid w:val="006E283E"/>
    <w:rsid w:val="006E54EA"/>
    <w:rsid w:val="006E718B"/>
    <w:rsid w:val="006F0D3C"/>
    <w:rsid w:val="006F14B9"/>
    <w:rsid w:val="006F14EB"/>
    <w:rsid w:val="006F152C"/>
    <w:rsid w:val="006F1668"/>
    <w:rsid w:val="006F20B1"/>
    <w:rsid w:val="006F22D7"/>
    <w:rsid w:val="006F2E93"/>
    <w:rsid w:val="006F559B"/>
    <w:rsid w:val="006F6F12"/>
    <w:rsid w:val="006F715C"/>
    <w:rsid w:val="007001C3"/>
    <w:rsid w:val="00700201"/>
    <w:rsid w:val="0070078B"/>
    <w:rsid w:val="00701022"/>
    <w:rsid w:val="00701DC9"/>
    <w:rsid w:val="00701E02"/>
    <w:rsid w:val="0070228F"/>
    <w:rsid w:val="00704358"/>
    <w:rsid w:val="00705A5D"/>
    <w:rsid w:val="00706364"/>
    <w:rsid w:val="00710F1E"/>
    <w:rsid w:val="0071111A"/>
    <w:rsid w:val="007116CE"/>
    <w:rsid w:val="00711863"/>
    <w:rsid w:val="00712EC2"/>
    <w:rsid w:val="00713837"/>
    <w:rsid w:val="00713D4E"/>
    <w:rsid w:val="0071539A"/>
    <w:rsid w:val="00720B07"/>
    <w:rsid w:val="00720B8E"/>
    <w:rsid w:val="00721C6C"/>
    <w:rsid w:val="00722BB6"/>
    <w:rsid w:val="00723096"/>
    <w:rsid w:val="00724BCE"/>
    <w:rsid w:val="00726AE0"/>
    <w:rsid w:val="00730242"/>
    <w:rsid w:val="00731B78"/>
    <w:rsid w:val="007321BD"/>
    <w:rsid w:val="00732658"/>
    <w:rsid w:val="00732D2B"/>
    <w:rsid w:val="00734804"/>
    <w:rsid w:val="0073481B"/>
    <w:rsid w:val="007349F4"/>
    <w:rsid w:val="00734FA8"/>
    <w:rsid w:val="00736650"/>
    <w:rsid w:val="00736825"/>
    <w:rsid w:val="00737162"/>
    <w:rsid w:val="007374D4"/>
    <w:rsid w:val="00740D46"/>
    <w:rsid w:val="00741310"/>
    <w:rsid w:val="0074216B"/>
    <w:rsid w:val="0074261D"/>
    <w:rsid w:val="00742B5B"/>
    <w:rsid w:val="00743277"/>
    <w:rsid w:val="00743926"/>
    <w:rsid w:val="0074495C"/>
    <w:rsid w:val="00744CB7"/>
    <w:rsid w:val="00744D30"/>
    <w:rsid w:val="00745434"/>
    <w:rsid w:val="007459E7"/>
    <w:rsid w:val="0074769F"/>
    <w:rsid w:val="00750BAA"/>
    <w:rsid w:val="007525FE"/>
    <w:rsid w:val="00752F0B"/>
    <w:rsid w:val="00753158"/>
    <w:rsid w:val="0075330C"/>
    <w:rsid w:val="00754109"/>
    <w:rsid w:val="00754F26"/>
    <w:rsid w:val="00755602"/>
    <w:rsid w:val="00755685"/>
    <w:rsid w:val="00756531"/>
    <w:rsid w:val="00757287"/>
    <w:rsid w:val="00757298"/>
    <w:rsid w:val="007574FF"/>
    <w:rsid w:val="00761DF2"/>
    <w:rsid w:val="0076431D"/>
    <w:rsid w:val="00764EAB"/>
    <w:rsid w:val="00765A3A"/>
    <w:rsid w:val="007661A7"/>
    <w:rsid w:val="007662A7"/>
    <w:rsid w:val="00766305"/>
    <w:rsid w:val="007679DF"/>
    <w:rsid w:val="00767CB3"/>
    <w:rsid w:val="00770210"/>
    <w:rsid w:val="00770C60"/>
    <w:rsid w:val="007718D4"/>
    <w:rsid w:val="00771BAC"/>
    <w:rsid w:val="00773441"/>
    <w:rsid w:val="0077367E"/>
    <w:rsid w:val="00773855"/>
    <w:rsid w:val="00773988"/>
    <w:rsid w:val="00773AA1"/>
    <w:rsid w:val="00773CFA"/>
    <w:rsid w:val="00774484"/>
    <w:rsid w:val="007745E2"/>
    <w:rsid w:val="0077494B"/>
    <w:rsid w:val="007756A2"/>
    <w:rsid w:val="00776866"/>
    <w:rsid w:val="00777449"/>
    <w:rsid w:val="00783B16"/>
    <w:rsid w:val="00783B6D"/>
    <w:rsid w:val="007853E9"/>
    <w:rsid w:val="00786D29"/>
    <w:rsid w:val="00787995"/>
    <w:rsid w:val="00787FC0"/>
    <w:rsid w:val="00790EE7"/>
    <w:rsid w:val="007910B3"/>
    <w:rsid w:val="00791464"/>
    <w:rsid w:val="00793EF9"/>
    <w:rsid w:val="0079502A"/>
    <w:rsid w:val="007955E6"/>
    <w:rsid w:val="00797BC6"/>
    <w:rsid w:val="007A065E"/>
    <w:rsid w:val="007A2782"/>
    <w:rsid w:val="007A3458"/>
    <w:rsid w:val="007A4032"/>
    <w:rsid w:val="007A4176"/>
    <w:rsid w:val="007B07D5"/>
    <w:rsid w:val="007B2D66"/>
    <w:rsid w:val="007B4B62"/>
    <w:rsid w:val="007B7375"/>
    <w:rsid w:val="007C02A2"/>
    <w:rsid w:val="007C1AFD"/>
    <w:rsid w:val="007C32BD"/>
    <w:rsid w:val="007C6292"/>
    <w:rsid w:val="007C6CE6"/>
    <w:rsid w:val="007D08CE"/>
    <w:rsid w:val="007D0C4A"/>
    <w:rsid w:val="007D14E3"/>
    <w:rsid w:val="007D2A80"/>
    <w:rsid w:val="007D2D83"/>
    <w:rsid w:val="007D3B57"/>
    <w:rsid w:val="007D3F03"/>
    <w:rsid w:val="007D444F"/>
    <w:rsid w:val="007D4E16"/>
    <w:rsid w:val="007D56B1"/>
    <w:rsid w:val="007D62BC"/>
    <w:rsid w:val="007D66FB"/>
    <w:rsid w:val="007D6A93"/>
    <w:rsid w:val="007D6F92"/>
    <w:rsid w:val="007D6FE8"/>
    <w:rsid w:val="007D7032"/>
    <w:rsid w:val="007D7B2C"/>
    <w:rsid w:val="007E06F9"/>
    <w:rsid w:val="007E0995"/>
    <w:rsid w:val="007E1A43"/>
    <w:rsid w:val="007E2672"/>
    <w:rsid w:val="007E4711"/>
    <w:rsid w:val="007E4CC2"/>
    <w:rsid w:val="007E4F33"/>
    <w:rsid w:val="007E54D4"/>
    <w:rsid w:val="007E5799"/>
    <w:rsid w:val="007E5D5A"/>
    <w:rsid w:val="007E5F38"/>
    <w:rsid w:val="007E6D45"/>
    <w:rsid w:val="007E6FAB"/>
    <w:rsid w:val="007F10CE"/>
    <w:rsid w:val="007F2078"/>
    <w:rsid w:val="007F3393"/>
    <w:rsid w:val="007F54BB"/>
    <w:rsid w:val="007F5997"/>
    <w:rsid w:val="007F620B"/>
    <w:rsid w:val="007F699E"/>
    <w:rsid w:val="007F6B2B"/>
    <w:rsid w:val="007F6D10"/>
    <w:rsid w:val="007F6FD6"/>
    <w:rsid w:val="007F70DC"/>
    <w:rsid w:val="007F7D25"/>
    <w:rsid w:val="00800511"/>
    <w:rsid w:val="00801611"/>
    <w:rsid w:val="00802280"/>
    <w:rsid w:val="008024CD"/>
    <w:rsid w:val="00802CF7"/>
    <w:rsid w:val="0080322B"/>
    <w:rsid w:val="00805673"/>
    <w:rsid w:val="00806BC2"/>
    <w:rsid w:val="00806FD6"/>
    <w:rsid w:val="0081013F"/>
    <w:rsid w:val="008106BB"/>
    <w:rsid w:val="008120D9"/>
    <w:rsid w:val="00813392"/>
    <w:rsid w:val="00814AB6"/>
    <w:rsid w:val="00814D6E"/>
    <w:rsid w:val="008156A9"/>
    <w:rsid w:val="00816C0E"/>
    <w:rsid w:val="008174A6"/>
    <w:rsid w:val="00817B46"/>
    <w:rsid w:val="00821AD6"/>
    <w:rsid w:val="00821EE6"/>
    <w:rsid w:val="00822713"/>
    <w:rsid w:val="00823B17"/>
    <w:rsid w:val="00825308"/>
    <w:rsid w:val="00825FBE"/>
    <w:rsid w:val="008261CF"/>
    <w:rsid w:val="0082732F"/>
    <w:rsid w:val="00831567"/>
    <w:rsid w:val="00832B65"/>
    <w:rsid w:val="00832CD9"/>
    <w:rsid w:val="008342E4"/>
    <w:rsid w:val="0083439C"/>
    <w:rsid w:val="00834824"/>
    <w:rsid w:val="00834BD6"/>
    <w:rsid w:val="00834F27"/>
    <w:rsid w:val="00835C4C"/>
    <w:rsid w:val="00840440"/>
    <w:rsid w:val="00843CD8"/>
    <w:rsid w:val="00843E8F"/>
    <w:rsid w:val="00844BAC"/>
    <w:rsid w:val="00844BB9"/>
    <w:rsid w:val="00845188"/>
    <w:rsid w:val="008451A3"/>
    <w:rsid w:val="00845AF6"/>
    <w:rsid w:val="008464E2"/>
    <w:rsid w:val="00846BD8"/>
    <w:rsid w:val="00847090"/>
    <w:rsid w:val="0085010C"/>
    <w:rsid w:val="008509CE"/>
    <w:rsid w:val="0085215B"/>
    <w:rsid w:val="00852CC8"/>
    <w:rsid w:val="008546A7"/>
    <w:rsid w:val="008551A0"/>
    <w:rsid w:val="008554B1"/>
    <w:rsid w:val="00856026"/>
    <w:rsid w:val="00861776"/>
    <w:rsid w:val="00863057"/>
    <w:rsid w:val="008631A2"/>
    <w:rsid w:val="008639C5"/>
    <w:rsid w:val="00863FCA"/>
    <w:rsid w:val="008646C0"/>
    <w:rsid w:val="00864CB1"/>
    <w:rsid w:val="008657C3"/>
    <w:rsid w:val="00865A9E"/>
    <w:rsid w:val="00866B20"/>
    <w:rsid w:val="00867C22"/>
    <w:rsid w:val="0087073A"/>
    <w:rsid w:val="00871BCF"/>
    <w:rsid w:val="0087210C"/>
    <w:rsid w:val="00872FC5"/>
    <w:rsid w:val="00873281"/>
    <w:rsid w:val="0087453F"/>
    <w:rsid w:val="00874F98"/>
    <w:rsid w:val="00877A38"/>
    <w:rsid w:val="00880BD9"/>
    <w:rsid w:val="0088283F"/>
    <w:rsid w:val="0088298E"/>
    <w:rsid w:val="00883E95"/>
    <w:rsid w:val="008844E1"/>
    <w:rsid w:val="00884FF8"/>
    <w:rsid w:val="00885600"/>
    <w:rsid w:val="00886B1E"/>
    <w:rsid w:val="008871D7"/>
    <w:rsid w:val="00887559"/>
    <w:rsid w:val="00887C7C"/>
    <w:rsid w:val="00887F1B"/>
    <w:rsid w:val="008901DB"/>
    <w:rsid w:val="008909D3"/>
    <w:rsid w:val="00890EF0"/>
    <w:rsid w:val="008911BB"/>
    <w:rsid w:val="00892AC7"/>
    <w:rsid w:val="00893547"/>
    <w:rsid w:val="00894A30"/>
    <w:rsid w:val="008953D4"/>
    <w:rsid w:val="008975EA"/>
    <w:rsid w:val="00897940"/>
    <w:rsid w:val="008A09D0"/>
    <w:rsid w:val="008A2F37"/>
    <w:rsid w:val="008A44B1"/>
    <w:rsid w:val="008B027E"/>
    <w:rsid w:val="008B03BA"/>
    <w:rsid w:val="008B0685"/>
    <w:rsid w:val="008B0806"/>
    <w:rsid w:val="008B089A"/>
    <w:rsid w:val="008B1478"/>
    <w:rsid w:val="008B216B"/>
    <w:rsid w:val="008B3485"/>
    <w:rsid w:val="008B35F6"/>
    <w:rsid w:val="008B3A6A"/>
    <w:rsid w:val="008B4535"/>
    <w:rsid w:val="008B469B"/>
    <w:rsid w:val="008B4C41"/>
    <w:rsid w:val="008B52D4"/>
    <w:rsid w:val="008B56F8"/>
    <w:rsid w:val="008B5CC8"/>
    <w:rsid w:val="008B635A"/>
    <w:rsid w:val="008B6617"/>
    <w:rsid w:val="008B6CC0"/>
    <w:rsid w:val="008B6DA8"/>
    <w:rsid w:val="008B7D69"/>
    <w:rsid w:val="008C0AC5"/>
    <w:rsid w:val="008C0D95"/>
    <w:rsid w:val="008C22A1"/>
    <w:rsid w:val="008C22E1"/>
    <w:rsid w:val="008C4174"/>
    <w:rsid w:val="008C4319"/>
    <w:rsid w:val="008C54DB"/>
    <w:rsid w:val="008C5F85"/>
    <w:rsid w:val="008C7222"/>
    <w:rsid w:val="008C761A"/>
    <w:rsid w:val="008C78CD"/>
    <w:rsid w:val="008D2187"/>
    <w:rsid w:val="008D23F3"/>
    <w:rsid w:val="008D2486"/>
    <w:rsid w:val="008D29D7"/>
    <w:rsid w:val="008D2E3D"/>
    <w:rsid w:val="008D3F37"/>
    <w:rsid w:val="008D54B7"/>
    <w:rsid w:val="008D6BE3"/>
    <w:rsid w:val="008D7A25"/>
    <w:rsid w:val="008D7C9B"/>
    <w:rsid w:val="008E13E6"/>
    <w:rsid w:val="008F03FA"/>
    <w:rsid w:val="008F05E2"/>
    <w:rsid w:val="008F0BBC"/>
    <w:rsid w:val="008F11CA"/>
    <w:rsid w:val="008F1D9F"/>
    <w:rsid w:val="008F2D16"/>
    <w:rsid w:val="008F441D"/>
    <w:rsid w:val="008F55AC"/>
    <w:rsid w:val="008F6506"/>
    <w:rsid w:val="008F6568"/>
    <w:rsid w:val="008F6931"/>
    <w:rsid w:val="0090012A"/>
    <w:rsid w:val="00900304"/>
    <w:rsid w:val="00900B72"/>
    <w:rsid w:val="00902BDB"/>
    <w:rsid w:val="00902F3E"/>
    <w:rsid w:val="00903363"/>
    <w:rsid w:val="00904C62"/>
    <w:rsid w:val="00905085"/>
    <w:rsid w:val="0090508D"/>
    <w:rsid w:val="00905BAF"/>
    <w:rsid w:val="00905F91"/>
    <w:rsid w:val="00906243"/>
    <w:rsid w:val="009100EC"/>
    <w:rsid w:val="00910AF8"/>
    <w:rsid w:val="00910B43"/>
    <w:rsid w:val="00911170"/>
    <w:rsid w:val="009112F8"/>
    <w:rsid w:val="009116F1"/>
    <w:rsid w:val="0091224B"/>
    <w:rsid w:val="00913667"/>
    <w:rsid w:val="009145A7"/>
    <w:rsid w:val="00915040"/>
    <w:rsid w:val="009159C4"/>
    <w:rsid w:val="0091705F"/>
    <w:rsid w:val="00917629"/>
    <w:rsid w:val="0092000B"/>
    <w:rsid w:val="00920333"/>
    <w:rsid w:val="00920AF3"/>
    <w:rsid w:val="00920C4B"/>
    <w:rsid w:val="00920C99"/>
    <w:rsid w:val="00921822"/>
    <w:rsid w:val="00924898"/>
    <w:rsid w:val="009259EE"/>
    <w:rsid w:val="00925CA1"/>
    <w:rsid w:val="00925DEF"/>
    <w:rsid w:val="00927452"/>
    <w:rsid w:val="00927A1C"/>
    <w:rsid w:val="00934E66"/>
    <w:rsid w:val="00935C92"/>
    <w:rsid w:val="00935E45"/>
    <w:rsid w:val="009368C9"/>
    <w:rsid w:val="00936A02"/>
    <w:rsid w:val="009375A2"/>
    <w:rsid w:val="009400F7"/>
    <w:rsid w:val="00942889"/>
    <w:rsid w:val="009433A8"/>
    <w:rsid w:val="009433CB"/>
    <w:rsid w:val="00943D37"/>
    <w:rsid w:val="009450C8"/>
    <w:rsid w:val="00945A72"/>
    <w:rsid w:val="00945DB7"/>
    <w:rsid w:val="00945E57"/>
    <w:rsid w:val="009460E2"/>
    <w:rsid w:val="00946868"/>
    <w:rsid w:val="00946C5D"/>
    <w:rsid w:val="00947605"/>
    <w:rsid w:val="00947CE8"/>
    <w:rsid w:val="00947D04"/>
    <w:rsid w:val="00950D74"/>
    <w:rsid w:val="009522B3"/>
    <w:rsid w:val="009524D3"/>
    <w:rsid w:val="00953157"/>
    <w:rsid w:val="00953256"/>
    <w:rsid w:val="00953E8E"/>
    <w:rsid w:val="009542B3"/>
    <w:rsid w:val="009555D2"/>
    <w:rsid w:val="009567CB"/>
    <w:rsid w:val="009570FC"/>
    <w:rsid w:val="0095712D"/>
    <w:rsid w:val="00957AE2"/>
    <w:rsid w:val="00957E05"/>
    <w:rsid w:val="00960E71"/>
    <w:rsid w:val="009619CF"/>
    <w:rsid w:val="00962039"/>
    <w:rsid w:val="00962126"/>
    <w:rsid w:val="009625F9"/>
    <w:rsid w:val="00962BC6"/>
    <w:rsid w:val="00964198"/>
    <w:rsid w:val="0096437A"/>
    <w:rsid w:val="009643B8"/>
    <w:rsid w:val="009643DD"/>
    <w:rsid w:val="009654FE"/>
    <w:rsid w:val="009656EC"/>
    <w:rsid w:val="00967662"/>
    <w:rsid w:val="00970255"/>
    <w:rsid w:val="009722E8"/>
    <w:rsid w:val="00972D03"/>
    <w:rsid w:val="00973EAA"/>
    <w:rsid w:val="00975A5A"/>
    <w:rsid w:val="00975CBA"/>
    <w:rsid w:val="009763DC"/>
    <w:rsid w:val="00977352"/>
    <w:rsid w:val="009777C0"/>
    <w:rsid w:val="00977F4F"/>
    <w:rsid w:val="0098046B"/>
    <w:rsid w:val="00980493"/>
    <w:rsid w:val="009806F8"/>
    <w:rsid w:val="0098093B"/>
    <w:rsid w:val="009813F9"/>
    <w:rsid w:val="0098217D"/>
    <w:rsid w:val="00983C0F"/>
    <w:rsid w:val="00983F1E"/>
    <w:rsid w:val="009845E8"/>
    <w:rsid w:val="009847C3"/>
    <w:rsid w:val="009851D3"/>
    <w:rsid w:val="00986815"/>
    <w:rsid w:val="009875ED"/>
    <w:rsid w:val="00990413"/>
    <w:rsid w:val="009911C2"/>
    <w:rsid w:val="0099155B"/>
    <w:rsid w:val="00991C44"/>
    <w:rsid w:val="009922D6"/>
    <w:rsid w:val="00992BCB"/>
    <w:rsid w:val="00993519"/>
    <w:rsid w:val="0099577F"/>
    <w:rsid w:val="0099580E"/>
    <w:rsid w:val="00995DFE"/>
    <w:rsid w:val="0099603C"/>
    <w:rsid w:val="00997016"/>
    <w:rsid w:val="009A0283"/>
    <w:rsid w:val="009A0FCA"/>
    <w:rsid w:val="009A1106"/>
    <w:rsid w:val="009A1EFC"/>
    <w:rsid w:val="009A2407"/>
    <w:rsid w:val="009A27E3"/>
    <w:rsid w:val="009A3336"/>
    <w:rsid w:val="009A61C3"/>
    <w:rsid w:val="009A7D3F"/>
    <w:rsid w:val="009A7E18"/>
    <w:rsid w:val="009B05BF"/>
    <w:rsid w:val="009B0CA6"/>
    <w:rsid w:val="009B12BB"/>
    <w:rsid w:val="009B2573"/>
    <w:rsid w:val="009B2906"/>
    <w:rsid w:val="009B2D99"/>
    <w:rsid w:val="009B355D"/>
    <w:rsid w:val="009B41EB"/>
    <w:rsid w:val="009B46B2"/>
    <w:rsid w:val="009B4F44"/>
    <w:rsid w:val="009B5E25"/>
    <w:rsid w:val="009B6887"/>
    <w:rsid w:val="009B7962"/>
    <w:rsid w:val="009B7DAD"/>
    <w:rsid w:val="009C0343"/>
    <w:rsid w:val="009C0F97"/>
    <w:rsid w:val="009C2A42"/>
    <w:rsid w:val="009C33DE"/>
    <w:rsid w:val="009C3621"/>
    <w:rsid w:val="009C3B99"/>
    <w:rsid w:val="009C3F4F"/>
    <w:rsid w:val="009C621D"/>
    <w:rsid w:val="009C6C23"/>
    <w:rsid w:val="009C6FFA"/>
    <w:rsid w:val="009D0C18"/>
    <w:rsid w:val="009D17A2"/>
    <w:rsid w:val="009D1C50"/>
    <w:rsid w:val="009D202D"/>
    <w:rsid w:val="009D21D6"/>
    <w:rsid w:val="009D351D"/>
    <w:rsid w:val="009D3539"/>
    <w:rsid w:val="009D3596"/>
    <w:rsid w:val="009D4216"/>
    <w:rsid w:val="009D483B"/>
    <w:rsid w:val="009D5369"/>
    <w:rsid w:val="009D580D"/>
    <w:rsid w:val="009D5FCE"/>
    <w:rsid w:val="009D659C"/>
    <w:rsid w:val="009D6B07"/>
    <w:rsid w:val="009D7592"/>
    <w:rsid w:val="009E0D33"/>
    <w:rsid w:val="009E0D47"/>
    <w:rsid w:val="009E1001"/>
    <w:rsid w:val="009E1A11"/>
    <w:rsid w:val="009E22C0"/>
    <w:rsid w:val="009E26F1"/>
    <w:rsid w:val="009E2997"/>
    <w:rsid w:val="009E3F80"/>
    <w:rsid w:val="009E59B4"/>
    <w:rsid w:val="009E6254"/>
    <w:rsid w:val="009E6318"/>
    <w:rsid w:val="009E6866"/>
    <w:rsid w:val="009E6A1E"/>
    <w:rsid w:val="009E6C6C"/>
    <w:rsid w:val="009E7A78"/>
    <w:rsid w:val="009F02D5"/>
    <w:rsid w:val="009F1F1F"/>
    <w:rsid w:val="009F2F75"/>
    <w:rsid w:val="009F4282"/>
    <w:rsid w:val="009F448D"/>
    <w:rsid w:val="009F499D"/>
    <w:rsid w:val="009F5119"/>
    <w:rsid w:val="009F51FF"/>
    <w:rsid w:val="009F6EEB"/>
    <w:rsid w:val="00A039C3"/>
    <w:rsid w:val="00A03CCC"/>
    <w:rsid w:val="00A047CB"/>
    <w:rsid w:val="00A0568E"/>
    <w:rsid w:val="00A05E4B"/>
    <w:rsid w:val="00A06572"/>
    <w:rsid w:val="00A068B1"/>
    <w:rsid w:val="00A079BB"/>
    <w:rsid w:val="00A079F1"/>
    <w:rsid w:val="00A10601"/>
    <w:rsid w:val="00A11101"/>
    <w:rsid w:val="00A113C4"/>
    <w:rsid w:val="00A1154E"/>
    <w:rsid w:val="00A118BD"/>
    <w:rsid w:val="00A1190D"/>
    <w:rsid w:val="00A11AE9"/>
    <w:rsid w:val="00A11C4B"/>
    <w:rsid w:val="00A14D9C"/>
    <w:rsid w:val="00A15129"/>
    <w:rsid w:val="00A153E5"/>
    <w:rsid w:val="00A1560A"/>
    <w:rsid w:val="00A15980"/>
    <w:rsid w:val="00A201D3"/>
    <w:rsid w:val="00A2392B"/>
    <w:rsid w:val="00A25F7C"/>
    <w:rsid w:val="00A31A08"/>
    <w:rsid w:val="00A32EEB"/>
    <w:rsid w:val="00A32F29"/>
    <w:rsid w:val="00A33C1A"/>
    <w:rsid w:val="00A33D29"/>
    <w:rsid w:val="00A35FC0"/>
    <w:rsid w:val="00A36A96"/>
    <w:rsid w:val="00A378E4"/>
    <w:rsid w:val="00A40FF5"/>
    <w:rsid w:val="00A4198D"/>
    <w:rsid w:val="00A41CC4"/>
    <w:rsid w:val="00A42735"/>
    <w:rsid w:val="00A42C51"/>
    <w:rsid w:val="00A43517"/>
    <w:rsid w:val="00A47064"/>
    <w:rsid w:val="00A479C6"/>
    <w:rsid w:val="00A47B96"/>
    <w:rsid w:val="00A50103"/>
    <w:rsid w:val="00A50496"/>
    <w:rsid w:val="00A50D76"/>
    <w:rsid w:val="00A51AA0"/>
    <w:rsid w:val="00A51B3A"/>
    <w:rsid w:val="00A51F0C"/>
    <w:rsid w:val="00A535E5"/>
    <w:rsid w:val="00A554A3"/>
    <w:rsid w:val="00A56852"/>
    <w:rsid w:val="00A56D1A"/>
    <w:rsid w:val="00A612D6"/>
    <w:rsid w:val="00A6143E"/>
    <w:rsid w:val="00A6220E"/>
    <w:rsid w:val="00A6226D"/>
    <w:rsid w:val="00A662A0"/>
    <w:rsid w:val="00A677CC"/>
    <w:rsid w:val="00A6780D"/>
    <w:rsid w:val="00A7032C"/>
    <w:rsid w:val="00A71D21"/>
    <w:rsid w:val="00A71FE9"/>
    <w:rsid w:val="00A74191"/>
    <w:rsid w:val="00A750F2"/>
    <w:rsid w:val="00A751B3"/>
    <w:rsid w:val="00A77265"/>
    <w:rsid w:val="00A77E9E"/>
    <w:rsid w:val="00A800C5"/>
    <w:rsid w:val="00A813B8"/>
    <w:rsid w:val="00A86073"/>
    <w:rsid w:val="00A862FA"/>
    <w:rsid w:val="00A868DB"/>
    <w:rsid w:val="00A870B4"/>
    <w:rsid w:val="00A877C0"/>
    <w:rsid w:val="00A87C66"/>
    <w:rsid w:val="00A90284"/>
    <w:rsid w:val="00A90632"/>
    <w:rsid w:val="00A9109E"/>
    <w:rsid w:val="00A91283"/>
    <w:rsid w:val="00A91ADB"/>
    <w:rsid w:val="00A91D4B"/>
    <w:rsid w:val="00A92B60"/>
    <w:rsid w:val="00A94E98"/>
    <w:rsid w:val="00A956C7"/>
    <w:rsid w:val="00A96C44"/>
    <w:rsid w:val="00A96D53"/>
    <w:rsid w:val="00A9758E"/>
    <w:rsid w:val="00A97A7F"/>
    <w:rsid w:val="00AA1254"/>
    <w:rsid w:val="00AA1CEC"/>
    <w:rsid w:val="00AA287D"/>
    <w:rsid w:val="00AA2FAE"/>
    <w:rsid w:val="00AA3433"/>
    <w:rsid w:val="00AA3CF1"/>
    <w:rsid w:val="00AA4A64"/>
    <w:rsid w:val="00AA5A3D"/>
    <w:rsid w:val="00AA5ACC"/>
    <w:rsid w:val="00AA76BC"/>
    <w:rsid w:val="00AB0375"/>
    <w:rsid w:val="00AB15A7"/>
    <w:rsid w:val="00AB237F"/>
    <w:rsid w:val="00AB27A3"/>
    <w:rsid w:val="00AB35D1"/>
    <w:rsid w:val="00AB366A"/>
    <w:rsid w:val="00AB4626"/>
    <w:rsid w:val="00AB6F50"/>
    <w:rsid w:val="00AB6F64"/>
    <w:rsid w:val="00AC01E2"/>
    <w:rsid w:val="00AC022A"/>
    <w:rsid w:val="00AC0BC1"/>
    <w:rsid w:val="00AC1558"/>
    <w:rsid w:val="00AC161A"/>
    <w:rsid w:val="00AC1C33"/>
    <w:rsid w:val="00AC2121"/>
    <w:rsid w:val="00AC26F5"/>
    <w:rsid w:val="00AC2DA1"/>
    <w:rsid w:val="00AC3271"/>
    <w:rsid w:val="00AC3CDA"/>
    <w:rsid w:val="00AC433D"/>
    <w:rsid w:val="00AC4639"/>
    <w:rsid w:val="00AC4EFC"/>
    <w:rsid w:val="00AC66C6"/>
    <w:rsid w:val="00AC67C0"/>
    <w:rsid w:val="00AC682B"/>
    <w:rsid w:val="00AC69E9"/>
    <w:rsid w:val="00AC6CDC"/>
    <w:rsid w:val="00AC7C6B"/>
    <w:rsid w:val="00AD1E1D"/>
    <w:rsid w:val="00AD23E9"/>
    <w:rsid w:val="00AD5368"/>
    <w:rsid w:val="00AD5403"/>
    <w:rsid w:val="00AD6A30"/>
    <w:rsid w:val="00AD7347"/>
    <w:rsid w:val="00AD77A8"/>
    <w:rsid w:val="00AE03CF"/>
    <w:rsid w:val="00AE1243"/>
    <w:rsid w:val="00AE12D3"/>
    <w:rsid w:val="00AE1A54"/>
    <w:rsid w:val="00AE473E"/>
    <w:rsid w:val="00AE6AF9"/>
    <w:rsid w:val="00AE6EE1"/>
    <w:rsid w:val="00AE71FA"/>
    <w:rsid w:val="00AF00E7"/>
    <w:rsid w:val="00AF0A80"/>
    <w:rsid w:val="00AF11B9"/>
    <w:rsid w:val="00AF1338"/>
    <w:rsid w:val="00AF16C6"/>
    <w:rsid w:val="00AF17AC"/>
    <w:rsid w:val="00AF2290"/>
    <w:rsid w:val="00AF30D7"/>
    <w:rsid w:val="00AF37F7"/>
    <w:rsid w:val="00AF43A9"/>
    <w:rsid w:val="00AF43FD"/>
    <w:rsid w:val="00AF4859"/>
    <w:rsid w:val="00AF57EE"/>
    <w:rsid w:val="00AF6B85"/>
    <w:rsid w:val="00AF7DB1"/>
    <w:rsid w:val="00B006E1"/>
    <w:rsid w:val="00B00E94"/>
    <w:rsid w:val="00B0185A"/>
    <w:rsid w:val="00B02A61"/>
    <w:rsid w:val="00B0313A"/>
    <w:rsid w:val="00B03281"/>
    <w:rsid w:val="00B03FE1"/>
    <w:rsid w:val="00B040DE"/>
    <w:rsid w:val="00B04209"/>
    <w:rsid w:val="00B05063"/>
    <w:rsid w:val="00B054FF"/>
    <w:rsid w:val="00B068CB"/>
    <w:rsid w:val="00B1031A"/>
    <w:rsid w:val="00B1083A"/>
    <w:rsid w:val="00B10E4C"/>
    <w:rsid w:val="00B114F9"/>
    <w:rsid w:val="00B128A1"/>
    <w:rsid w:val="00B13A61"/>
    <w:rsid w:val="00B14AB8"/>
    <w:rsid w:val="00B14EC8"/>
    <w:rsid w:val="00B1539E"/>
    <w:rsid w:val="00B15ACB"/>
    <w:rsid w:val="00B15E65"/>
    <w:rsid w:val="00B1657A"/>
    <w:rsid w:val="00B17374"/>
    <w:rsid w:val="00B229E6"/>
    <w:rsid w:val="00B2312D"/>
    <w:rsid w:val="00B24B82"/>
    <w:rsid w:val="00B25C60"/>
    <w:rsid w:val="00B27FF9"/>
    <w:rsid w:val="00B3000B"/>
    <w:rsid w:val="00B3020E"/>
    <w:rsid w:val="00B30E93"/>
    <w:rsid w:val="00B30E9C"/>
    <w:rsid w:val="00B32EDE"/>
    <w:rsid w:val="00B32FD1"/>
    <w:rsid w:val="00B34E20"/>
    <w:rsid w:val="00B3564D"/>
    <w:rsid w:val="00B35715"/>
    <w:rsid w:val="00B35BC4"/>
    <w:rsid w:val="00B3613E"/>
    <w:rsid w:val="00B37211"/>
    <w:rsid w:val="00B37F69"/>
    <w:rsid w:val="00B40777"/>
    <w:rsid w:val="00B40B46"/>
    <w:rsid w:val="00B40DBB"/>
    <w:rsid w:val="00B410A5"/>
    <w:rsid w:val="00B413DA"/>
    <w:rsid w:val="00B42F84"/>
    <w:rsid w:val="00B4304E"/>
    <w:rsid w:val="00B43264"/>
    <w:rsid w:val="00B4355E"/>
    <w:rsid w:val="00B43AC7"/>
    <w:rsid w:val="00B43DAF"/>
    <w:rsid w:val="00B441DE"/>
    <w:rsid w:val="00B445DD"/>
    <w:rsid w:val="00B44F18"/>
    <w:rsid w:val="00B4640B"/>
    <w:rsid w:val="00B46859"/>
    <w:rsid w:val="00B46ABF"/>
    <w:rsid w:val="00B51062"/>
    <w:rsid w:val="00B51354"/>
    <w:rsid w:val="00B5342E"/>
    <w:rsid w:val="00B53C72"/>
    <w:rsid w:val="00B55020"/>
    <w:rsid w:val="00B55D6F"/>
    <w:rsid w:val="00B56EB6"/>
    <w:rsid w:val="00B57687"/>
    <w:rsid w:val="00B57707"/>
    <w:rsid w:val="00B61287"/>
    <w:rsid w:val="00B62EF3"/>
    <w:rsid w:val="00B63EF1"/>
    <w:rsid w:val="00B64B00"/>
    <w:rsid w:val="00B64FA0"/>
    <w:rsid w:val="00B66515"/>
    <w:rsid w:val="00B67257"/>
    <w:rsid w:val="00B67305"/>
    <w:rsid w:val="00B6791D"/>
    <w:rsid w:val="00B71A8A"/>
    <w:rsid w:val="00B72378"/>
    <w:rsid w:val="00B7237F"/>
    <w:rsid w:val="00B73DA9"/>
    <w:rsid w:val="00B74E47"/>
    <w:rsid w:val="00B75AB0"/>
    <w:rsid w:val="00B76008"/>
    <w:rsid w:val="00B80692"/>
    <w:rsid w:val="00B80862"/>
    <w:rsid w:val="00B80E55"/>
    <w:rsid w:val="00B80EA3"/>
    <w:rsid w:val="00B8111F"/>
    <w:rsid w:val="00B81B0F"/>
    <w:rsid w:val="00B829A3"/>
    <w:rsid w:val="00B832A3"/>
    <w:rsid w:val="00B84084"/>
    <w:rsid w:val="00B855BD"/>
    <w:rsid w:val="00B85846"/>
    <w:rsid w:val="00B85C1F"/>
    <w:rsid w:val="00B8636D"/>
    <w:rsid w:val="00B868CD"/>
    <w:rsid w:val="00B86DE0"/>
    <w:rsid w:val="00B86EB8"/>
    <w:rsid w:val="00B919AB"/>
    <w:rsid w:val="00B922D2"/>
    <w:rsid w:val="00B933D4"/>
    <w:rsid w:val="00B93F4A"/>
    <w:rsid w:val="00B9458B"/>
    <w:rsid w:val="00B95273"/>
    <w:rsid w:val="00B9555C"/>
    <w:rsid w:val="00B95B4D"/>
    <w:rsid w:val="00B97760"/>
    <w:rsid w:val="00B97B02"/>
    <w:rsid w:val="00B97CC3"/>
    <w:rsid w:val="00BA0F96"/>
    <w:rsid w:val="00BA10C9"/>
    <w:rsid w:val="00BA210D"/>
    <w:rsid w:val="00BA2225"/>
    <w:rsid w:val="00BA33D5"/>
    <w:rsid w:val="00BA47D6"/>
    <w:rsid w:val="00BA5268"/>
    <w:rsid w:val="00BA53F8"/>
    <w:rsid w:val="00BB03E1"/>
    <w:rsid w:val="00BB040B"/>
    <w:rsid w:val="00BB1602"/>
    <w:rsid w:val="00BB1B17"/>
    <w:rsid w:val="00BB4A53"/>
    <w:rsid w:val="00BB4BA0"/>
    <w:rsid w:val="00BB575C"/>
    <w:rsid w:val="00BC19B8"/>
    <w:rsid w:val="00BC1A2F"/>
    <w:rsid w:val="00BC2E97"/>
    <w:rsid w:val="00BC3AB0"/>
    <w:rsid w:val="00BC5221"/>
    <w:rsid w:val="00BC6BD9"/>
    <w:rsid w:val="00BC707D"/>
    <w:rsid w:val="00BD1F80"/>
    <w:rsid w:val="00BD2656"/>
    <w:rsid w:val="00BD2E25"/>
    <w:rsid w:val="00BD443A"/>
    <w:rsid w:val="00BD497E"/>
    <w:rsid w:val="00BD4E2A"/>
    <w:rsid w:val="00BD55FD"/>
    <w:rsid w:val="00BD65F5"/>
    <w:rsid w:val="00BD68A6"/>
    <w:rsid w:val="00BD6ED1"/>
    <w:rsid w:val="00BD72B9"/>
    <w:rsid w:val="00BD7E1D"/>
    <w:rsid w:val="00BE0371"/>
    <w:rsid w:val="00BE0947"/>
    <w:rsid w:val="00BE1784"/>
    <w:rsid w:val="00BE2271"/>
    <w:rsid w:val="00BE3526"/>
    <w:rsid w:val="00BE4EC2"/>
    <w:rsid w:val="00BE5359"/>
    <w:rsid w:val="00BE54A8"/>
    <w:rsid w:val="00BF04D1"/>
    <w:rsid w:val="00BF069E"/>
    <w:rsid w:val="00BF0A5D"/>
    <w:rsid w:val="00BF10EF"/>
    <w:rsid w:val="00BF1212"/>
    <w:rsid w:val="00BF25AD"/>
    <w:rsid w:val="00BF358A"/>
    <w:rsid w:val="00BF3770"/>
    <w:rsid w:val="00BF3A00"/>
    <w:rsid w:val="00BF3A6B"/>
    <w:rsid w:val="00BF3C89"/>
    <w:rsid w:val="00BF3D68"/>
    <w:rsid w:val="00BF3F50"/>
    <w:rsid w:val="00BF4878"/>
    <w:rsid w:val="00BF6D7E"/>
    <w:rsid w:val="00BF7F7A"/>
    <w:rsid w:val="00C0032B"/>
    <w:rsid w:val="00C003B4"/>
    <w:rsid w:val="00C00751"/>
    <w:rsid w:val="00C00A11"/>
    <w:rsid w:val="00C00E6F"/>
    <w:rsid w:val="00C02BDE"/>
    <w:rsid w:val="00C03F8C"/>
    <w:rsid w:val="00C044E3"/>
    <w:rsid w:val="00C04B8F"/>
    <w:rsid w:val="00C063FE"/>
    <w:rsid w:val="00C07ED1"/>
    <w:rsid w:val="00C1017F"/>
    <w:rsid w:val="00C102AE"/>
    <w:rsid w:val="00C1092D"/>
    <w:rsid w:val="00C1201B"/>
    <w:rsid w:val="00C12369"/>
    <w:rsid w:val="00C12D2F"/>
    <w:rsid w:val="00C13506"/>
    <w:rsid w:val="00C152B6"/>
    <w:rsid w:val="00C16A33"/>
    <w:rsid w:val="00C206B5"/>
    <w:rsid w:val="00C207E9"/>
    <w:rsid w:val="00C211C0"/>
    <w:rsid w:val="00C21BA8"/>
    <w:rsid w:val="00C230A9"/>
    <w:rsid w:val="00C255FB"/>
    <w:rsid w:val="00C259C3"/>
    <w:rsid w:val="00C26137"/>
    <w:rsid w:val="00C2642A"/>
    <w:rsid w:val="00C26458"/>
    <w:rsid w:val="00C26EBA"/>
    <w:rsid w:val="00C2734B"/>
    <w:rsid w:val="00C276E1"/>
    <w:rsid w:val="00C27CAD"/>
    <w:rsid w:val="00C30CA5"/>
    <w:rsid w:val="00C33509"/>
    <w:rsid w:val="00C33F3E"/>
    <w:rsid w:val="00C35307"/>
    <w:rsid w:val="00C355CD"/>
    <w:rsid w:val="00C35642"/>
    <w:rsid w:val="00C3640B"/>
    <w:rsid w:val="00C3666C"/>
    <w:rsid w:val="00C36DCC"/>
    <w:rsid w:val="00C37B0A"/>
    <w:rsid w:val="00C40440"/>
    <w:rsid w:val="00C41598"/>
    <w:rsid w:val="00C42AA1"/>
    <w:rsid w:val="00C436B9"/>
    <w:rsid w:val="00C43B62"/>
    <w:rsid w:val="00C43DD5"/>
    <w:rsid w:val="00C44529"/>
    <w:rsid w:val="00C47B5A"/>
    <w:rsid w:val="00C50218"/>
    <w:rsid w:val="00C50A83"/>
    <w:rsid w:val="00C50DCC"/>
    <w:rsid w:val="00C524B3"/>
    <w:rsid w:val="00C526B4"/>
    <w:rsid w:val="00C53EAF"/>
    <w:rsid w:val="00C54182"/>
    <w:rsid w:val="00C5464C"/>
    <w:rsid w:val="00C54E40"/>
    <w:rsid w:val="00C5557F"/>
    <w:rsid w:val="00C559FC"/>
    <w:rsid w:val="00C55F04"/>
    <w:rsid w:val="00C574B4"/>
    <w:rsid w:val="00C60658"/>
    <w:rsid w:val="00C615B4"/>
    <w:rsid w:val="00C6167C"/>
    <w:rsid w:val="00C64720"/>
    <w:rsid w:val="00C64D98"/>
    <w:rsid w:val="00C658B0"/>
    <w:rsid w:val="00C66E7F"/>
    <w:rsid w:val="00C678C3"/>
    <w:rsid w:val="00C67DD8"/>
    <w:rsid w:val="00C67F34"/>
    <w:rsid w:val="00C703D2"/>
    <w:rsid w:val="00C70DBC"/>
    <w:rsid w:val="00C71005"/>
    <w:rsid w:val="00C718F0"/>
    <w:rsid w:val="00C72167"/>
    <w:rsid w:val="00C72847"/>
    <w:rsid w:val="00C72DE3"/>
    <w:rsid w:val="00C73796"/>
    <w:rsid w:val="00C7429F"/>
    <w:rsid w:val="00C74EFE"/>
    <w:rsid w:val="00C76EA7"/>
    <w:rsid w:val="00C77312"/>
    <w:rsid w:val="00C77672"/>
    <w:rsid w:val="00C777DA"/>
    <w:rsid w:val="00C80297"/>
    <w:rsid w:val="00C80C68"/>
    <w:rsid w:val="00C826E2"/>
    <w:rsid w:val="00C82D35"/>
    <w:rsid w:val="00C832BA"/>
    <w:rsid w:val="00C851E8"/>
    <w:rsid w:val="00C85E37"/>
    <w:rsid w:val="00C86477"/>
    <w:rsid w:val="00C8734E"/>
    <w:rsid w:val="00C90BF7"/>
    <w:rsid w:val="00C90E97"/>
    <w:rsid w:val="00C91472"/>
    <w:rsid w:val="00C9161F"/>
    <w:rsid w:val="00C91C05"/>
    <w:rsid w:val="00C92B40"/>
    <w:rsid w:val="00C93688"/>
    <w:rsid w:val="00C936F0"/>
    <w:rsid w:val="00C937CF"/>
    <w:rsid w:val="00C93906"/>
    <w:rsid w:val="00C94B0E"/>
    <w:rsid w:val="00C95A93"/>
    <w:rsid w:val="00C961EB"/>
    <w:rsid w:val="00C964F8"/>
    <w:rsid w:val="00C9656C"/>
    <w:rsid w:val="00C97824"/>
    <w:rsid w:val="00CA11E1"/>
    <w:rsid w:val="00CA20BB"/>
    <w:rsid w:val="00CA261E"/>
    <w:rsid w:val="00CA276D"/>
    <w:rsid w:val="00CA343C"/>
    <w:rsid w:val="00CA4B5A"/>
    <w:rsid w:val="00CA4D62"/>
    <w:rsid w:val="00CA5042"/>
    <w:rsid w:val="00CA5FC8"/>
    <w:rsid w:val="00CA6C48"/>
    <w:rsid w:val="00CA78EB"/>
    <w:rsid w:val="00CA7C00"/>
    <w:rsid w:val="00CB1635"/>
    <w:rsid w:val="00CB1840"/>
    <w:rsid w:val="00CB3507"/>
    <w:rsid w:val="00CB3AFE"/>
    <w:rsid w:val="00CB6AE3"/>
    <w:rsid w:val="00CB74E9"/>
    <w:rsid w:val="00CC27E5"/>
    <w:rsid w:val="00CC2ACA"/>
    <w:rsid w:val="00CC5985"/>
    <w:rsid w:val="00CC5DD4"/>
    <w:rsid w:val="00CC67BD"/>
    <w:rsid w:val="00CC7BD3"/>
    <w:rsid w:val="00CD2338"/>
    <w:rsid w:val="00CD24CE"/>
    <w:rsid w:val="00CD2F25"/>
    <w:rsid w:val="00CD42D0"/>
    <w:rsid w:val="00CD550A"/>
    <w:rsid w:val="00CD5893"/>
    <w:rsid w:val="00CD5FF7"/>
    <w:rsid w:val="00CD62DA"/>
    <w:rsid w:val="00CD75F4"/>
    <w:rsid w:val="00CD76C7"/>
    <w:rsid w:val="00CE231D"/>
    <w:rsid w:val="00CE30F6"/>
    <w:rsid w:val="00CE4C51"/>
    <w:rsid w:val="00CF0995"/>
    <w:rsid w:val="00CF18C4"/>
    <w:rsid w:val="00CF4964"/>
    <w:rsid w:val="00CF4F30"/>
    <w:rsid w:val="00CF52A6"/>
    <w:rsid w:val="00CF5A72"/>
    <w:rsid w:val="00CF6850"/>
    <w:rsid w:val="00CF6A93"/>
    <w:rsid w:val="00CF707C"/>
    <w:rsid w:val="00D00C9C"/>
    <w:rsid w:val="00D015C6"/>
    <w:rsid w:val="00D01BB9"/>
    <w:rsid w:val="00D01FCD"/>
    <w:rsid w:val="00D034C7"/>
    <w:rsid w:val="00D04032"/>
    <w:rsid w:val="00D04054"/>
    <w:rsid w:val="00D10642"/>
    <w:rsid w:val="00D11773"/>
    <w:rsid w:val="00D11AEB"/>
    <w:rsid w:val="00D11F9F"/>
    <w:rsid w:val="00D12100"/>
    <w:rsid w:val="00D126DD"/>
    <w:rsid w:val="00D12733"/>
    <w:rsid w:val="00D14175"/>
    <w:rsid w:val="00D142DB"/>
    <w:rsid w:val="00D15652"/>
    <w:rsid w:val="00D1588B"/>
    <w:rsid w:val="00D15C47"/>
    <w:rsid w:val="00D1720D"/>
    <w:rsid w:val="00D17909"/>
    <w:rsid w:val="00D17C62"/>
    <w:rsid w:val="00D2027F"/>
    <w:rsid w:val="00D2039E"/>
    <w:rsid w:val="00D204F8"/>
    <w:rsid w:val="00D209A9"/>
    <w:rsid w:val="00D21603"/>
    <w:rsid w:val="00D24981"/>
    <w:rsid w:val="00D2524A"/>
    <w:rsid w:val="00D25AD3"/>
    <w:rsid w:val="00D2643D"/>
    <w:rsid w:val="00D26CE8"/>
    <w:rsid w:val="00D27085"/>
    <w:rsid w:val="00D32DC8"/>
    <w:rsid w:val="00D33D7C"/>
    <w:rsid w:val="00D3467D"/>
    <w:rsid w:val="00D34701"/>
    <w:rsid w:val="00D34A9C"/>
    <w:rsid w:val="00D34DF7"/>
    <w:rsid w:val="00D352F0"/>
    <w:rsid w:val="00D37587"/>
    <w:rsid w:val="00D40576"/>
    <w:rsid w:val="00D41267"/>
    <w:rsid w:val="00D41373"/>
    <w:rsid w:val="00D4245B"/>
    <w:rsid w:val="00D42B45"/>
    <w:rsid w:val="00D4303F"/>
    <w:rsid w:val="00D43695"/>
    <w:rsid w:val="00D436D6"/>
    <w:rsid w:val="00D448BC"/>
    <w:rsid w:val="00D44C63"/>
    <w:rsid w:val="00D45838"/>
    <w:rsid w:val="00D458AB"/>
    <w:rsid w:val="00D47002"/>
    <w:rsid w:val="00D4700F"/>
    <w:rsid w:val="00D47334"/>
    <w:rsid w:val="00D52F9F"/>
    <w:rsid w:val="00D53724"/>
    <w:rsid w:val="00D5393E"/>
    <w:rsid w:val="00D53D8E"/>
    <w:rsid w:val="00D545A4"/>
    <w:rsid w:val="00D550F5"/>
    <w:rsid w:val="00D5670F"/>
    <w:rsid w:val="00D60910"/>
    <w:rsid w:val="00D60E7B"/>
    <w:rsid w:val="00D63BD8"/>
    <w:rsid w:val="00D645B9"/>
    <w:rsid w:val="00D66DF1"/>
    <w:rsid w:val="00D703DD"/>
    <w:rsid w:val="00D70E09"/>
    <w:rsid w:val="00D7264E"/>
    <w:rsid w:val="00D72B99"/>
    <w:rsid w:val="00D73DDB"/>
    <w:rsid w:val="00D75B46"/>
    <w:rsid w:val="00D760FC"/>
    <w:rsid w:val="00D76BB2"/>
    <w:rsid w:val="00D76C99"/>
    <w:rsid w:val="00D77968"/>
    <w:rsid w:val="00D77FFE"/>
    <w:rsid w:val="00D8029B"/>
    <w:rsid w:val="00D80E6D"/>
    <w:rsid w:val="00D81456"/>
    <w:rsid w:val="00D83907"/>
    <w:rsid w:val="00D8442B"/>
    <w:rsid w:val="00D851D7"/>
    <w:rsid w:val="00D856CF"/>
    <w:rsid w:val="00D8712F"/>
    <w:rsid w:val="00D87A25"/>
    <w:rsid w:val="00D909C5"/>
    <w:rsid w:val="00D90EEB"/>
    <w:rsid w:val="00D92D75"/>
    <w:rsid w:val="00D93358"/>
    <w:rsid w:val="00D93606"/>
    <w:rsid w:val="00D945BA"/>
    <w:rsid w:val="00D948AB"/>
    <w:rsid w:val="00D94A17"/>
    <w:rsid w:val="00D950B4"/>
    <w:rsid w:val="00D95188"/>
    <w:rsid w:val="00D97318"/>
    <w:rsid w:val="00D97A53"/>
    <w:rsid w:val="00DA0BFB"/>
    <w:rsid w:val="00DA16A8"/>
    <w:rsid w:val="00DA1CAB"/>
    <w:rsid w:val="00DA25F9"/>
    <w:rsid w:val="00DA2C22"/>
    <w:rsid w:val="00DA3B02"/>
    <w:rsid w:val="00DA3DB3"/>
    <w:rsid w:val="00DA4529"/>
    <w:rsid w:val="00DA47E9"/>
    <w:rsid w:val="00DA5762"/>
    <w:rsid w:val="00DA68D3"/>
    <w:rsid w:val="00DA7453"/>
    <w:rsid w:val="00DA7FFC"/>
    <w:rsid w:val="00DB0B87"/>
    <w:rsid w:val="00DB16D4"/>
    <w:rsid w:val="00DB2EBF"/>
    <w:rsid w:val="00DB3224"/>
    <w:rsid w:val="00DB3453"/>
    <w:rsid w:val="00DB36D9"/>
    <w:rsid w:val="00DB3A05"/>
    <w:rsid w:val="00DB402A"/>
    <w:rsid w:val="00DB5467"/>
    <w:rsid w:val="00DB5966"/>
    <w:rsid w:val="00DB5EA2"/>
    <w:rsid w:val="00DB6092"/>
    <w:rsid w:val="00DB64B1"/>
    <w:rsid w:val="00DB6540"/>
    <w:rsid w:val="00DB6EEF"/>
    <w:rsid w:val="00DB742F"/>
    <w:rsid w:val="00DB76A0"/>
    <w:rsid w:val="00DB76BA"/>
    <w:rsid w:val="00DC2853"/>
    <w:rsid w:val="00DC4E51"/>
    <w:rsid w:val="00DC4F86"/>
    <w:rsid w:val="00DC56D0"/>
    <w:rsid w:val="00DC63EF"/>
    <w:rsid w:val="00DD03B2"/>
    <w:rsid w:val="00DD10EC"/>
    <w:rsid w:val="00DD19DF"/>
    <w:rsid w:val="00DD222E"/>
    <w:rsid w:val="00DD236E"/>
    <w:rsid w:val="00DD2AB5"/>
    <w:rsid w:val="00DD3A4E"/>
    <w:rsid w:val="00DD3CBD"/>
    <w:rsid w:val="00DD3E41"/>
    <w:rsid w:val="00DD4A41"/>
    <w:rsid w:val="00DD4E11"/>
    <w:rsid w:val="00DD5534"/>
    <w:rsid w:val="00DD77E6"/>
    <w:rsid w:val="00DE03D1"/>
    <w:rsid w:val="00DE09D4"/>
    <w:rsid w:val="00DE10AA"/>
    <w:rsid w:val="00DE1498"/>
    <w:rsid w:val="00DE17AA"/>
    <w:rsid w:val="00DE1FCF"/>
    <w:rsid w:val="00DE2728"/>
    <w:rsid w:val="00DE2D9F"/>
    <w:rsid w:val="00DE38D7"/>
    <w:rsid w:val="00DE3EC0"/>
    <w:rsid w:val="00DE490A"/>
    <w:rsid w:val="00DE4B4A"/>
    <w:rsid w:val="00DE621E"/>
    <w:rsid w:val="00DE6397"/>
    <w:rsid w:val="00DE66D3"/>
    <w:rsid w:val="00DE6EF5"/>
    <w:rsid w:val="00DE797B"/>
    <w:rsid w:val="00DE7AEF"/>
    <w:rsid w:val="00DE7DD7"/>
    <w:rsid w:val="00DE7EFA"/>
    <w:rsid w:val="00DF01CE"/>
    <w:rsid w:val="00DF229C"/>
    <w:rsid w:val="00DF2BC6"/>
    <w:rsid w:val="00DF2D06"/>
    <w:rsid w:val="00DF3413"/>
    <w:rsid w:val="00DF620F"/>
    <w:rsid w:val="00DF62DB"/>
    <w:rsid w:val="00DF6851"/>
    <w:rsid w:val="00DF6923"/>
    <w:rsid w:val="00DF762B"/>
    <w:rsid w:val="00DF7D98"/>
    <w:rsid w:val="00E00133"/>
    <w:rsid w:val="00E0085D"/>
    <w:rsid w:val="00E01080"/>
    <w:rsid w:val="00E01A0D"/>
    <w:rsid w:val="00E02E51"/>
    <w:rsid w:val="00E0342F"/>
    <w:rsid w:val="00E03760"/>
    <w:rsid w:val="00E03AD6"/>
    <w:rsid w:val="00E05213"/>
    <w:rsid w:val="00E05833"/>
    <w:rsid w:val="00E05946"/>
    <w:rsid w:val="00E073DB"/>
    <w:rsid w:val="00E110D0"/>
    <w:rsid w:val="00E111D4"/>
    <w:rsid w:val="00E115C8"/>
    <w:rsid w:val="00E11716"/>
    <w:rsid w:val="00E13A49"/>
    <w:rsid w:val="00E14E05"/>
    <w:rsid w:val="00E17343"/>
    <w:rsid w:val="00E17C6D"/>
    <w:rsid w:val="00E20DB1"/>
    <w:rsid w:val="00E2107C"/>
    <w:rsid w:val="00E22946"/>
    <w:rsid w:val="00E24BE7"/>
    <w:rsid w:val="00E24EA5"/>
    <w:rsid w:val="00E2593E"/>
    <w:rsid w:val="00E26BAB"/>
    <w:rsid w:val="00E303BA"/>
    <w:rsid w:val="00E30AC6"/>
    <w:rsid w:val="00E32272"/>
    <w:rsid w:val="00E326D5"/>
    <w:rsid w:val="00E33A3F"/>
    <w:rsid w:val="00E33C0E"/>
    <w:rsid w:val="00E34A3C"/>
    <w:rsid w:val="00E361DA"/>
    <w:rsid w:val="00E3701E"/>
    <w:rsid w:val="00E4077F"/>
    <w:rsid w:val="00E408A8"/>
    <w:rsid w:val="00E40C81"/>
    <w:rsid w:val="00E412BA"/>
    <w:rsid w:val="00E4137E"/>
    <w:rsid w:val="00E414D4"/>
    <w:rsid w:val="00E41F7E"/>
    <w:rsid w:val="00E423B4"/>
    <w:rsid w:val="00E429C6"/>
    <w:rsid w:val="00E43BEB"/>
    <w:rsid w:val="00E4479C"/>
    <w:rsid w:val="00E4535E"/>
    <w:rsid w:val="00E4552D"/>
    <w:rsid w:val="00E4564C"/>
    <w:rsid w:val="00E45D58"/>
    <w:rsid w:val="00E469DD"/>
    <w:rsid w:val="00E479E4"/>
    <w:rsid w:val="00E50A34"/>
    <w:rsid w:val="00E50C42"/>
    <w:rsid w:val="00E52732"/>
    <w:rsid w:val="00E569F2"/>
    <w:rsid w:val="00E60A0F"/>
    <w:rsid w:val="00E61AFD"/>
    <w:rsid w:val="00E61C58"/>
    <w:rsid w:val="00E638BA"/>
    <w:rsid w:val="00E63DBB"/>
    <w:rsid w:val="00E642A9"/>
    <w:rsid w:val="00E64884"/>
    <w:rsid w:val="00E64A23"/>
    <w:rsid w:val="00E670D8"/>
    <w:rsid w:val="00E7047B"/>
    <w:rsid w:val="00E70D6E"/>
    <w:rsid w:val="00E72119"/>
    <w:rsid w:val="00E72E26"/>
    <w:rsid w:val="00E73A65"/>
    <w:rsid w:val="00E74BD6"/>
    <w:rsid w:val="00E75637"/>
    <w:rsid w:val="00E76088"/>
    <w:rsid w:val="00E77972"/>
    <w:rsid w:val="00E77C88"/>
    <w:rsid w:val="00E803B5"/>
    <w:rsid w:val="00E80977"/>
    <w:rsid w:val="00E81404"/>
    <w:rsid w:val="00E82F75"/>
    <w:rsid w:val="00E83377"/>
    <w:rsid w:val="00E8365C"/>
    <w:rsid w:val="00E84E7F"/>
    <w:rsid w:val="00E85AF2"/>
    <w:rsid w:val="00E8621C"/>
    <w:rsid w:val="00E8692A"/>
    <w:rsid w:val="00E870FA"/>
    <w:rsid w:val="00E87388"/>
    <w:rsid w:val="00E87C57"/>
    <w:rsid w:val="00E87D5C"/>
    <w:rsid w:val="00E90ABF"/>
    <w:rsid w:val="00E9107D"/>
    <w:rsid w:val="00E92634"/>
    <w:rsid w:val="00E933C4"/>
    <w:rsid w:val="00E9370F"/>
    <w:rsid w:val="00E9423F"/>
    <w:rsid w:val="00E95560"/>
    <w:rsid w:val="00E9626F"/>
    <w:rsid w:val="00E96BF6"/>
    <w:rsid w:val="00E96EE8"/>
    <w:rsid w:val="00EA018B"/>
    <w:rsid w:val="00EA0678"/>
    <w:rsid w:val="00EA0AD4"/>
    <w:rsid w:val="00EA1181"/>
    <w:rsid w:val="00EA1381"/>
    <w:rsid w:val="00EA1AF6"/>
    <w:rsid w:val="00EA1BCA"/>
    <w:rsid w:val="00EA2983"/>
    <w:rsid w:val="00EA3B4B"/>
    <w:rsid w:val="00EA3C2C"/>
    <w:rsid w:val="00EA4D9D"/>
    <w:rsid w:val="00EA5D40"/>
    <w:rsid w:val="00EA76B1"/>
    <w:rsid w:val="00EA7E3C"/>
    <w:rsid w:val="00EB07F2"/>
    <w:rsid w:val="00EB1D29"/>
    <w:rsid w:val="00EB2F13"/>
    <w:rsid w:val="00EB389A"/>
    <w:rsid w:val="00EB3C49"/>
    <w:rsid w:val="00EB4676"/>
    <w:rsid w:val="00EB4CE1"/>
    <w:rsid w:val="00EB56A5"/>
    <w:rsid w:val="00EB66F8"/>
    <w:rsid w:val="00EB7B2F"/>
    <w:rsid w:val="00EC03B0"/>
    <w:rsid w:val="00EC0448"/>
    <w:rsid w:val="00EC210E"/>
    <w:rsid w:val="00EC2623"/>
    <w:rsid w:val="00EC30D1"/>
    <w:rsid w:val="00EC6C19"/>
    <w:rsid w:val="00ED0663"/>
    <w:rsid w:val="00ED081B"/>
    <w:rsid w:val="00ED0C3F"/>
    <w:rsid w:val="00ED275A"/>
    <w:rsid w:val="00ED2822"/>
    <w:rsid w:val="00ED514E"/>
    <w:rsid w:val="00ED6299"/>
    <w:rsid w:val="00EE0C3A"/>
    <w:rsid w:val="00EE2EA0"/>
    <w:rsid w:val="00EE34F1"/>
    <w:rsid w:val="00EE427E"/>
    <w:rsid w:val="00EE444B"/>
    <w:rsid w:val="00EE599E"/>
    <w:rsid w:val="00EE65AA"/>
    <w:rsid w:val="00EF196A"/>
    <w:rsid w:val="00EF1E59"/>
    <w:rsid w:val="00EF4A34"/>
    <w:rsid w:val="00EF5907"/>
    <w:rsid w:val="00EF5A22"/>
    <w:rsid w:val="00EF5D0D"/>
    <w:rsid w:val="00EF61A7"/>
    <w:rsid w:val="00EF6432"/>
    <w:rsid w:val="00EF66DC"/>
    <w:rsid w:val="00F00046"/>
    <w:rsid w:val="00F00AB3"/>
    <w:rsid w:val="00F00E60"/>
    <w:rsid w:val="00F0127A"/>
    <w:rsid w:val="00F0248D"/>
    <w:rsid w:val="00F039F2"/>
    <w:rsid w:val="00F03DD4"/>
    <w:rsid w:val="00F04F8D"/>
    <w:rsid w:val="00F07EB6"/>
    <w:rsid w:val="00F101F4"/>
    <w:rsid w:val="00F1058E"/>
    <w:rsid w:val="00F11842"/>
    <w:rsid w:val="00F11A87"/>
    <w:rsid w:val="00F1225F"/>
    <w:rsid w:val="00F122A2"/>
    <w:rsid w:val="00F130DF"/>
    <w:rsid w:val="00F136E3"/>
    <w:rsid w:val="00F138FE"/>
    <w:rsid w:val="00F14980"/>
    <w:rsid w:val="00F15AD5"/>
    <w:rsid w:val="00F15BC7"/>
    <w:rsid w:val="00F163F4"/>
    <w:rsid w:val="00F20A1F"/>
    <w:rsid w:val="00F2275C"/>
    <w:rsid w:val="00F23086"/>
    <w:rsid w:val="00F2361D"/>
    <w:rsid w:val="00F245C5"/>
    <w:rsid w:val="00F24E18"/>
    <w:rsid w:val="00F25FF7"/>
    <w:rsid w:val="00F26279"/>
    <w:rsid w:val="00F26614"/>
    <w:rsid w:val="00F26E32"/>
    <w:rsid w:val="00F273D6"/>
    <w:rsid w:val="00F30798"/>
    <w:rsid w:val="00F31D87"/>
    <w:rsid w:val="00F325CB"/>
    <w:rsid w:val="00F325D8"/>
    <w:rsid w:val="00F3278E"/>
    <w:rsid w:val="00F34E6F"/>
    <w:rsid w:val="00F3599E"/>
    <w:rsid w:val="00F3679D"/>
    <w:rsid w:val="00F36A85"/>
    <w:rsid w:val="00F36AE9"/>
    <w:rsid w:val="00F3750A"/>
    <w:rsid w:val="00F41C1B"/>
    <w:rsid w:val="00F4283C"/>
    <w:rsid w:val="00F4386B"/>
    <w:rsid w:val="00F442CF"/>
    <w:rsid w:val="00F45A88"/>
    <w:rsid w:val="00F46493"/>
    <w:rsid w:val="00F477A4"/>
    <w:rsid w:val="00F50B21"/>
    <w:rsid w:val="00F51900"/>
    <w:rsid w:val="00F51DC7"/>
    <w:rsid w:val="00F51FAF"/>
    <w:rsid w:val="00F5208C"/>
    <w:rsid w:val="00F5294C"/>
    <w:rsid w:val="00F5377E"/>
    <w:rsid w:val="00F5386D"/>
    <w:rsid w:val="00F53953"/>
    <w:rsid w:val="00F53C49"/>
    <w:rsid w:val="00F53F3C"/>
    <w:rsid w:val="00F53F4E"/>
    <w:rsid w:val="00F55096"/>
    <w:rsid w:val="00F554C3"/>
    <w:rsid w:val="00F560AD"/>
    <w:rsid w:val="00F60783"/>
    <w:rsid w:val="00F613A7"/>
    <w:rsid w:val="00F6208F"/>
    <w:rsid w:val="00F6353D"/>
    <w:rsid w:val="00F66546"/>
    <w:rsid w:val="00F66BB8"/>
    <w:rsid w:val="00F671A7"/>
    <w:rsid w:val="00F6740B"/>
    <w:rsid w:val="00F67D58"/>
    <w:rsid w:val="00F70916"/>
    <w:rsid w:val="00F70E8A"/>
    <w:rsid w:val="00F71C9D"/>
    <w:rsid w:val="00F71F14"/>
    <w:rsid w:val="00F71F37"/>
    <w:rsid w:val="00F72658"/>
    <w:rsid w:val="00F751BF"/>
    <w:rsid w:val="00F752D2"/>
    <w:rsid w:val="00F75339"/>
    <w:rsid w:val="00F75A02"/>
    <w:rsid w:val="00F76A0D"/>
    <w:rsid w:val="00F808D7"/>
    <w:rsid w:val="00F81528"/>
    <w:rsid w:val="00F84320"/>
    <w:rsid w:val="00F84E7F"/>
    <w:rsid w:val="00F858BB"/>
    <w:rsid w:val="00F8629C"/>
    <w:rsid w:val="00F86A57"/>
    <w:rsid w:val="00F87E73"/>
    <w:rsid w:val="00F9030E"/>
    <w:rsid w:val="00F908EA"/>
    <w:rsid w:val="00F910E6"/>
    <w:rsid w:val="00F915B9"/>
    <w:rsid w:val="00F916A0"/>
    <w:rsid w:val="00F91801"/>
    <w:rsid w:val="00F920DC"/>
    <w:rsid w:val="00F9246C"/>
    <w:rsid w:val="00F92B26"/>
    <w:rsid w:val="00F92D4F"/>
    <w:rsid w:val="00F93E3A"/>
    <w:rsid w:val="00F93EFD"/>
    <w:rsid w:val="00F945A1"/>
    <w:rsid w:val="00F9489A"/>
    <w:rsid w:val="00F967D4"/>
    <w:rsid w:val="00F96C09"/>
    <w:rsid w:val="00F974CA"/>
    <w:rsid w:val="00F97D52"/>
    <w:rsid w:val="00FA1361"/>
    <w:rsid w:val="00FA1772"/>
    <w:rsid w:val="00FA2D21"/>
    <w:rsid w:val="00FA3337"/>
    <w:rsid w:val="00FA3848"/>
    <w:rsid w:val="00FA43CF"/>
    <w:rsid w:val="00FA4686"/>
    <w:rsid w:val="00FA62D1"/>
    <w:rsid w:val="00FA65A3"/>
    <w:rsid w:val="00FB02A3"/>
    <w:rsid w:val="00FB05D5"/>
    <w:rsid w:val="00FB07EB"/>
    <w:rsid w:val="00FB1B45"/>
    <w:rsid w:val="00FB1FE7"/>
    <w:rsid w:val="00FB217E"/>
    <w:rsid w:val="00FB2FFC"/>
    <w:rsid w:val="00FB43FC"/>
    <w:rsid w:val="00FB62EF"/>
    <w:rsid w:val="00FB6EB4"/>
    <w:rsid w:val="00FC0844"/>
    <w:rsid w:val="00FC09E1"/>
    <w:rsid w:val="00FC322A"/>
    <w:rsid w:val="00FC41F9"/>
    <w:rsid w:val="00FC463D"/>
    <w:rsid w:val="00FC4666"/>
    <w:rsid w:val="00FC46F6"/>
    <w:rsid w:val="00FD0F6C"/>
    <w:rsid w:val="00FD1C56"/>
    <w:rsid w:val="00FD1DDD"/>
    <w:rsid w:val="00FD2958"/>
    <w:rsid w:val="00FD3B0F"/>
    <w:rsid w:val="00FD3D13"/>
    <w:rsid w:val="00FD3F1E"/>
    <w:rsid w:val="00FD4DE3"/>
    <w:rsid w:val="00FD5147"/>
    <w:rsid w:val="00FD62FD"/>
    <w:rsid w:val="00FE1DFC"/>
    <w:rsid w:val="00FE3C14"/>
    <w:rsid w:val="00FE40B8"/>
    <w:rsid w:val="00FE6657"/>
    <w:rsid w:val="00FE7484"/>
    <w:rsid w:val="00FE74D1"/>
    <w:rsid w:val="00FE7E6F"/>
    <w:rsid w:val="00FF0242"/>
    <w:rsid w:val="00FF0C3F"/>
    <w:rsid w:val="00FF1961"/>
    <w:rsid w:val="00FF24E9"/>
    <w:rsid w:val="00FF356A"/>
    <w:rsid w:val="00FF4169"/>
    <w:rsid w:val="00FF4734"/>
    <w:rsid w:val="00FF55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D68FCB"/>
  <w15:docId w15:val="{680E7233-B38D-4F83-A608-2BA69C48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35"/>
    <w:rPr>
      <w:szCs w:val="20"/>
    </w:rPr>
  </w:style>
  <w:style w:type="paragraph" w:styleId="Overskrift1">
    <w:name w:val="heading 1"/>
    <w:basedOn w:val="Normal"/>
    <w:next w:val="Normal"/>
    <w:link w:val="Overskrift1Tegn"/>
    <w:uiPriority w:val="99"/>
    <w:qFormat/>
    <w:rsid w:val="00471842"/>
    <w:pPr>
      <w:tabs>
        <w:tab w:val="left" w:pos="0"/>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suppressAutoHyphens/>
      <w:spacing w:after="120"/>
      <w:outlineLvl w:val="0"/>
    </w:pPr>
    <w:rPr>
      <w:b/>
      <w:spacing w:val="-3"/>
      <w:sz w:val="29"/>
    </w:rPr>
  </w:style>
  <w:style w:type="paragraph" w:styleId="Overskrift2">
    <w:name w:val="heading 2"/>
    <w:basedOn w:val="Normal"/>
    <w:next w:val="Normal"/>
    <w:link w:val="Overskrift2Tegn"/>
    <w:uiPriority w:val="99"/>
    <w:qFormat/>
    <w:rsid w:val="00471842"/>
    <w:pPr>
      <w:keepNext/>
      <w:numPr>
        <w:ilvl w:val="1"/>
        <w:numId w:val="1"/>
      </w:numPr>
      <w:spacing w:before="240" w:after="60"/>
      <w:outlineLvl w:val="1"/>
    </w:pPr>
    <w:rPr>
      <w:rFonts w:ascii="Arial" w:hAnsi="Arial"/>
      <w:b/>
      <w:i/>
    </w:rPr>
  </w:style>
  <w:style w:type="paragraph" w:styleId="Overskrift3">
    <w:name w:val="heading 3"/>
    <w:basedOn w:val="Normal"/>
    <w:next w:val="Normal"/>
    <w:link w:val="Overskrift3Tegn"/>
    <w:uiPriority w:val="99"/>
    <w:qFormat/>
    <w:rsid w:val="00471842"/>
    <w:pPr>
      <w:keepNext/>
      <w:numPr>
        <w:ilvl w:val="2"/>
        <w:numId w:val="1"/>
      </w:numPr>
      <w:spacing w:before="240" w:after="60"/>
      <w:outlineLvl w:val="2"/>
    </w:pPr>
    <w:rPr>
      <w:rFonts w:ascii="Arial" w:hAnsi="Arial"/>
    </w:rPr>
  </w:style>
  <w:style w:type="paragraph" w:styleId="Overskrift4">
    <w:name w:val="heading 4"/>
    <w:basedOn w:val="Normal"/>
    <w:next w:val="Normal"/>
    <w:link w:val="Overskrift4Tegn"/>
    <w:uiPriority w:val="99"/>
    <w:qFormat/>
    <w:rsid w:val="00471842"/>
    <w:pPr>
      <w:keepNext/>
      <w:numPr>
        <w:ilvl w:val="3"/>
        <w:numId w:val="1"/>
      </w:numPr>
      <w:spacing w:before="240" w:after="60"/>
      <w:outlineLvl w:val="3"/>
    </w:pPr>
    <w:rPr>
      <w:rFonts w:ascii="Arial" w:hAnsi="Arial"/>
      <w:b/>
    </w:rPr>
  </w:style>
  <w:style w:type="paragraph" w:styleId="Overskrift5">
    <w:name w:val="heading 5"/>
    <w:basedOn w:val="Normal"/>
    <w:next w:val="Normal"/>
    <w:link w:val="Overskrift5Tegn"/>
    <w:uiPriority w:val="99"/>
    <w:qFormat/>
    <w:rsid w:val="00471842"/>
    <w:pPr>
      <w:numPr>
        <w:ilvl w:val="4"/>
        <w:numId w:val="1"/>
      </w:numPr>
      <w:spacing w:before="240" w:after="60"/>
      <w:outlineLvl w:val="4"/>
    </w:pPr>
  </w:style>
  <w:style w:type="paragraph" w:styleId="Overskrift6">
    <w:name w:val="heading 6"/>
    <w:basedOn w:val="Normal"/>
    <w:next w:val="Normal"/>
    <w:link w:val="Overskrift6Tegn"/>
    <w:uiPriority w:val="99"/>
    <w:qFormat/>
    <w:rsid w:val="00471842"/>
    <w:pPr>
      <w:numPr>
        <w:ilvl w:val="5"/>
        <w:numId w:val="1"/>
      </w:numPr>
      <w:spacing w:before="240" w:after="60"/>
      <w:outlineLvl w:val="5"/>
    </w:pPr>
    <w:rPr>
      <w:i/>
    </w:rPr>
  </w:style>
  <w:style w:type="paragraph" w:styleId="Overskrift7">
    <w:name w:val="heading 7"/>
    <w:basedOn w:val="Normal"/>
    <w:next w:val="Normal"/>
    <w:link w:val="Overskrift7Tegn"/>
    <w:uiPriority w:val="99"/>
    <w:qFormat/>
    <w:rsid w:val="00471842"/>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uiPriority w:val="99"/>
    <w:qFormat/>
    <w:rsid w:val="00471842"/>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uiPriority w:val="99"/>
    <w:qFormat/>
    <w:rsid w:val="00471842"/>
    <w:pPr>
      <w:numPr>
        <w:ilvl w:val="8"/>
        <w:numId w:val="1"/>
      </w:num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03C3E"/>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9"/>
    <w:rsid w:val="00D03C3E"/>
    <w:rPr>
      <w:rFonts w:ascii="Arial" w:hAnsi="Arial"/>
      <w:b/>
      <w:i/>
      <w:szCs w:val="20"/>
    </w:rPr>
  </w:style>
  <w:style w:type="character" w:customStyle="1" w:styleId="Overskrift3Tegn">
    <w:name w:val="Overskrift 3 Tegn"/>
    <w:basedOn w:val="Standardskrifttypeiafsnit"/>
    <w:link w:val="Overskrift3"/>
    <w:uiPriority w:val="99"/>
    <w:rsid w:val="00D03C3E"/>
    <w:rPr>
      <w:rFonts w:ascii="Arial" w:hAnsi="Arial"/>
      <w:szCs w:val="20"/>
    </w:rPr>
  </w:style>
  <w:style w:type="character" w:customStyle="1" w:styleId="Overskrift4Tegn">
    <w:name w:val="Overskrift 4 Tegn"/>
    <w:basedOn w:val="Standardskrifttypeiafsnit"/>
    <w:link w:val="Overskrift4"/>
    <w:uiPriority w:val="99"/>
    <w:rsid w:val="00D03C3E"/>
    <w:rPr>
      <w:rFonts w:ascii="Arial" w:hAnsi="Arial"/>
      <w:b/>
      <w:szCs w:val="20"/>
    </w:rPr>
  </w:style>
  <w:style w:type="character" w:customStyle="1" w:styleId="Overskrift5Tegn">
    <w:name w:val="Overskrift 5 Tegn"/>
    <w:basedOn w:val="Standardskrifttypeiafsnit"/>
    <w:link w:val="Overskrift5"/>
    <w:uiPriority w:val="99"/>
    <w:rsid w:val="00D03C3E"/>
    <w:rPr>
      <w:szCs w:val="20"/>
    </w:rPr>
  </w:style>
  <w:style w:type="character" w:customStyle="1" w:styleId="Overskrift6Tegn">
    <w:name w:val="Overskrift 6 Tegn"/>
    <w:basedOn w:val="Standardskrifttypeiafsnit"/>
    <w:link w:val="Overskrift6"/>
    <w:uiPriority w:val="99"/>
    <w:rsid w:val="00D03C3E"/>
    <w:rPr>
      <w:i/>
      <w:szCs w:val="20"/>
    </w:rPr>
  </w:style>
  <w:style w:type="character" w:customStyle="1" w:styleId="Overskrift7Tegn">
    <w:name w:val="Overskrift 7 Tegn"/>
    <w:basedOn w:val="Standardskrifttypeiafsnit"/>
    <w:link w:val="Overskrift7"/>
    <w:uiPriority w:val="99"/>
    <w:rsid w:val="00D03C3E"/>
    <w:rPr>
      <w:rFonts w:ascii="Arial" w:hAnsi="Arial"/>
      <w:sz w:val="20"/>
      <w:szCs w:val="20"/>
    </w:rPr>
  </w:style>
  <w:style w:type="character" w:customStyle="1" w:styleId="Overskrift8Tegn">
    <w:name w:val="Overskrift 8 Tegn"/>
    <w:basedOn w:val="Standardskrifttypeiafsnit"/>
    <w:link w:val="Overskrift8"/>
    <w:uiPriority w:val="99"/>
    <w:rsid w:val="00D03C3E"/>
    <w:rPr>
      <w:rFonts w:ascii="Arial" w:hAnsi="Arial"/>
      <w:i/>
      <w:sz w:val="20"/>
      <w:szCs w:val="20"/>
    </w:rPr>
  </w:style>
  <w:style w:type="character" w:customStyle="1" w:styleId="Overskrift9Tegn">
    <w:name w:val="Overskrift 9 Tegn"/>
    <w:basedOn w:val="Standardskrifttypeiafsnit"/>
    <w:link w:val="Overskrift9"/>
    <w:uiPriority w:val="99"/>
    <w:rsid w:val="00D03C3E"/>
    <w:rPr>
      <w:rFonts w:ascii="Arial" w:hAnsi="Arial"/>
      <w:b/>
      <w:i/>
      <w:sz w:val="18"/>
      <w:szCs w:val="20"/>
    </w:rPr>
  </w:style>
  <w:style w:type="paragraph" w:styleId="Sidehoved">
    <w:name w:val="header"/>
    <w:basedOn w:val="Normal"/>
    <w:link w:val="SidehovedTegn"/>
    <w:uiPriority w:val="99"/>
    <w:rsid w:val="00471842"/>
    <w:pPr>
      <w:tabs>
        <w:tab w:val="center" w:pos="4819"/>
        <w:tab w:val="right" w:pos="9638"/>
      </w:tabs>
    </w:pPr>
  </w:style>
  <w:style w:type="character" w:customStyle="1" w:styleId="SidehovedTegn">
    <w:name w:val="Sidehoved Tegn"/>
    <w:basedOn w:val="Standardskrifttypeiafsnit"/>
    <w:link w:val="Sidehoved"/>
    <w:uiPriority w:val="99"/>
    <w:locked/>
    <w:rsid w:val="00787FC0"/>
    <w:rPr>
      <w:rFonts w:cs="Times New Roman"/>
      <w:sz w:val="24"/>
    </w:rPr>
  </w:style>
  <w:style w:type="character" w:styleId="Sidetal">
    <w:name w:val="page number"/>
    <w:basedOn w:val="Standardskrifttypeiafsnit"/>
    <w:uiPriority w:val="99"/>
    <w:rsid w:val="00471842"/>
    <w:rPr>
      <w:rFonts w:cs="Times New Roman"/>
    </w:rPr>
  </w:style>
  <w:style w:type="paragraph" w:styleId="Sidefod">
    <w:name w:val="footer"/>
    <w:basedOn w:val="Normal"/>
    <w:link w:val="SidefodTegn"/>
    <w:uiPriority w:val="99"/>
    <w:rsid w:val="00471842"/>
    <w:pPr>
      <w:tabs>
        <w:tab w:val="center" w:pos="4819"/>
        <w:tab w:val="right" w:pos="9638"/>
      </w:tabs>
    </w:pPr>
  </w:style>
  <w:style w:type="character" w:customStyle="1" w:styleId="SidefodTegn">
    <w:name w:val="Sidefod Tegn"/>
    <w:basedOn w:val="Standardskrifttypeiafsnit"/>
    <w:link w:val="Sidefod"/>
    <w:uiPriority w:val="99"/>
    <w:semiHidden/>
    <w:rsid w:val="00D03C3E"/>
    <w:rPr>
      <w:sz w:val="24"/>
      <w:szCs w:val="20"/>
    </w:rPr>
  </w:style>
  <w:style w:type="paragraph" w:styleId="Brdtekst">
    <w:name w:val="Body Text"/>
    <w:basedOn w:val="Normal"/>
    <w:link w:val="BrdtekstTegn"/>
    <w:uiPriority w:val="99"/>
    <w:rsid w:val="00471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pPr>
    <w:rPr>
      <w:spacing w:val="-3"/>
    </w:rPr>
  </w:style>
  <w:style w:type="character" w:customStyle="1" w:styleId="BrdtekstTegn">
    <w:name w:val="Brødtekst Tegn"/>
    <w:basedOn w:val="Standardskrifttypeiafsnit"/>
    <w:link w:val="Brdtekst"/>
    <w:uiPriority w:val="99"/>
    <w:semiHidden/>
    <w:rsid w:val="00D03C3E"/>
    <w:rPr>
      <w:sz w:val="24"/>
      <w:szCs w:val="20"/>
    </w:rPr>
  </w:style>
  <w:style w:type="paragraph" w:styleId="Dokumentoversigt">
    <w:name w:val="Document Map"/>
    <w:basedOn w:val="Normal"/>
    <w:link w:val="DokumentoversigtTegn"/>
    <w:uiPriority w:val="99"/>
    <w:semiHidden/>
    <w:rsid w:val="00471842"/>
    <w:pPr>
      <w:shd w:val="clear" w:color="auto" w:fill="000080"/>
    </w:pPr>
    <w:rPr>
      <w:rFonts w:ascii="Tahoma" w:hAnsi="Tahoma"/>
    </w:rPr>
  </w:style>
  <w:style w:type="character" w:customStyle="1" w:styleId="DokumentoversigtTegn">
    <w:name w:val="Dokumentoversigt Tegn"/>
    <w:basedOn w:val="Standardskrifttypeiafsnit"/>
    <w:link w:val="Dokumentoversigt"/>
    <w:uiPriority w:val="99"/>
    <w:semiHidden/>
    <w:rsid w:val="00D03C3E"/>
    <w:rPr>
      <w:sz w:val="0"/>
      <w:szCs w:val="0"/>
    </w:rPr>
  </w:style>
  <w:style w:type="character" w:styleId="Hyperlink">
    <w:name w:val="Hyperlink"/>
    <w:basedOn w:val="Standardskrifttypeiafsnit"/>
    <w:uiPriority w:val="99"/>
    <w:rsid w:val="00471842"/>
    <w:rPr>
      <w:rFonts w:cs="Times New Roman"/>
      <w:color w:val="0000FF"/>
      <w:u w:val="single"/>
    </w:rPr>
  </w:style>
  <w:style w:type="paragraph" w:styleId="Brdtekst2">
    <w:name w:val="Body Text 2"/>
    <w:basedOn w:val="Normal"/>
    <w:link w:val="Brdtekst2Tegn"/>
    <w:uiPriority w:val="99"/>
    <w:rsid w:val="00471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296"/>
        <w:tab w:val="left" w:pos="19872"/>
        <w:tab w:val="left" w:pos="20448"/>
        <w:tab w:val="left" w:pos="21024"/>
      </w:tabs>
      <w:jc w:val="center"/>
    </w:pPr>
    <w:rPr>
      <w:b/>
      <w:spacing w:val="-3"/>
    </w:rPr>
  </w:style>
  <w:style w:type="character" w:customStyle="1" w:styleId="Brdtekst2Tegn">
    <w:name w:val="Brødtekst 2 Tegn"/>
    <w:basedOn w:val="Standardskrifttypeiafsnit"/>
    <w:link w:val="Brdtekst2"/>
    <w:uiPriority w:val="99"/>
    <w:semiHidden/>
    <w:rsid w:val="00D03C3E"/>
    <w:rPr>
      <w:sz w:val="24"/>
      <w:szCs w:val="20"/>
    </w:rPr>
  </w:style>
  <w:style w:type="paragraph" w:styleId="Brdtekst3">
    <w:name w:val="Body Text 3"/>
    <w:basedOn w:val="Normal"/>
    <w:link w:val="Brdtekst3Tegn"/>
    <w:uiPriority w:val="99"/>
    <w:rsid w:val="00471842"/>
    <w:pPr>
      <w:jc w:val="center"/>
    </w:pPr>
    <w:rPr>
      <w:spacing w:val="-3"/>
    </w:rPr>
  </w:style>
  <w:style w:type="character" w:customStyle="1" w:styleId="Brdtekst3Tegn">
    <w:name w:val="Brødtekst 3 Tegn"/>
    <w:basedOn w:val="Standardskrifttypeiafsnit"/>
    <w:link w:val="Brdtekst3"/>
    <w:uiPriority w:val="99"/>
    <w:semiHidden/>
    <w:rsid w:val="00D03C3E"/>
    <w:rPr>
      <w:sz w:val="16"/>
      <w:szCs w:val="16"/>
    </w:rPr>
  </w:style>
  <w:style w:type="character" w:styleId="Kommentarhenvisning">
    <w:name w:val="annotation reference"/>
    <w:basedOn w:val="Standardskrifttypeiafsnit"/>
    <w:uiPriority w:val="99"/>
    <w:semiHidden/>
    <w:rsid w:val="00471842"/>
    <w:rPr>
      <w:rFonts w:cs="Times New Roman"/>
      <w:sz w:val="16"/>
    </w:rPr>
  </w:style>
  <w:style w:type="paragraph" w:styleId="Kommentartekst">
    <w:name w:val="annotation text"/>
    <w:basedOn w:val="Normal"/>
    <w:link w:val="KommentartekstTegn"/>
    <w:uiPriority w:val="99"/>
    <w:rsid w:val="00471842"/>
    <w:rPr>
      <w:sz w:val="20"/>
    </w:rPr>
  </w:style>
  <w:style w:type="character" w:customStyle="1" w:styleId="KommentartekstTegn">
    <w:name w:val="Kommentartekst Tegn"/>
    <w:basedOn w:val="Standardskrifttypeiafsnit"/>
    <w:link w:val="Kommentartekst"/>
    <w:uiPriority w:val="99"/>
    <w:rsid w:val="00D03C3E"/>
    <w:rPr>
      <w:sz w:val="20"/>
      <w:szCs w:val="20"/>
    </w:rPr>
  </w:style>
  <w:style w:type="paragraph" w:styleId="Indholdsfortegnelse1">
    <w:name w:val="toc 1"/>
    <w:basedOn w:val="Normal"/>
    <w:next w:val="Normal"/>
    <w:autoRedefine/>
    <w:uiPriority w:val="39"/>
    <w:rsid w:val="00A14D9C"/>
    <w:pPr>
      <w:spacing w:before="360"/>
    </w:pPr>
    <w:rPr>
      <w:rFonts w:asciiTheme="majorHAnsi" w:hAnsiTheme="majorHAnsi"/>
      <w:b/>
      <w:bCs/>
      <w:caps/>
      <w:sz w:val="24"/>
      <w:szCs w:val="24"/>
    </w:rPr>
  </w:style>
  <w:style w:type="character" w:styleId="BesgtLink">
    <w:name w:val="FollowedHyperlink"/>
    <w:basedOn w:val="Standardskrifttypeiafsnit"/>
    <w:uiPriority w:val="99"/>
    <w:rsid w:val="00471842"/>
    <w:rPr>
      <w:rFonts w:cs="Times New Roman"/>
      <w:color w:val="800080"/>
      <w:u w:val="single"/>
    </w:rPr>
  </w:style>
  <w:style w:type="paragraph" w:styleId="Brdtekstindrykning">
    <w:name w:val="Body Text Indent"/>
    <w:basedOn w:val="Normal"/>
    <w:link w:val="BrdtekstindrykningTegn"/>
    <w:uiPriority w:val="99"/>
    <w:rsid w:val="00471842"/>
    <w:pPr>
      <w:keepNext/>
      <w:ind w:left="62"/>
    </w:pPr>
    <w:rPr>
      <w:spacing w:val="-3"/>
    </w:rPr>
  </w:style>
  <w:style w:type="character" w:customStyle="1" w:styleId="BrdtekstindrykningTegn">
    <w:name w:val="Brødtekstindrykning Tegn"/>
    <w:basedOn w:val="Standardskrifttypeiafsnit"/>
    <w:link w:val="Brdtekstindrykning"/>
    <w:uiPriority w:val="99"/>
    <w:semiHidden/>
    <w:rsid w:val="00D03C3E"/>
    <w:rPr>
      <w:sz w:val="24"/>
      <w:szCs w:val="20"/>
    </w:rPr>
  </w:style>
  <w:style w:type="paragraph" w:customStyle="1" w:styleId="2brdtekst">
    <w:name w:val="2brødtekst"/>
    <w:basedOn w:val="1Brdstart"/>
    <w:link w:val="2brdtekstTegn"/>
    <w:uiPriority w:val="99"/>
    <w:rsid w:val="00471842"/>
    <w:pPr>
      <w:ind w:firstLine="227"/>
    </w:pPr>
    <w:rPr>
      <w:color w:val="auto"/>
    </w:rPr>
  </w:style>
  <w:style w:type="paragraph" w:customStyle="1" w:styleId="1Brdstart">
    <w:name w:val="1Brødstart"/>
    <w:uiPriority w:val="99"/>
    <w:rsid w:val="00471842"/>
    <w:pPr>
      <w:spacing w:line="300" w:lineRule="atLeast"/>
      <w:jc w:val="both"/>
    </w:pPr>
    <w:rPr>
      <w:rFonts w:ascii="AGaramond" w:hAnsi="AGaramond"/>
      <w:color w:val="000000"/>
      <w:sz w:val="21"/>
      <w:szCs w:val="20"/>
    </w:rPr>
  </w:style>
  <w:style w:type="paragraph" w:styleId="Liste">
    <w:name w:val="List"/>
    <w:basedOn w:val="Normal"/>
    <w:uiPriority w:val="99"/>
    <w:rsid w:val="00471842"/>
    <w:pPr>
      <w:ind w:left="283" w:hanging="283"/>
    </w:pPr>
  </w:style>
  <w:style w:type="paragraph" w:styleId="Dato">
    <w:name w:val="Date"/>
    <w:basedOn w:val="Normal"/>
    <w:next w:val="Normal"/>
    <w:link w:val="DatoTegn"/>
    <w:uiPriority w:val="99"/>
    <w:rsid w:val="00471842"/>
  </w:style>
  <w:style w:type="character" w:customStyle="1" w:styleId="DatoTegn">
    <w:name w:val="Dato Tegn"/>
    <w:basedOn w:val="Standardskrifttypeiafsnit"/>
    <w:link w:val="Dato"/>
    <w:uiPriority w:val="99"/>
    <w:semiHidden/>
    <w:rsid w:val="00D03C3E"/>
    <w:rPr>
      <w:sz w:val="24"/>
      <w:szCs w:val="20"/>
    </w:rPr>
  </w:style>
  <w:style w:type="paragraph" w:styleId="Opstilling-punkttegn">
    <w:name w:val="List Bullet"/>
    <w:basedOn w:val="Normal"/>
    <w:autoRedefine/>
    <w:uiPriority w:val="99"/>
    <w:rsid w:val="00471842"/>
    <w:pPr>
      <w:numPr>
        <w:numId w:val="1"/>
      </w:numPr>
      <w:ind w:left="360" w:hanging="360"/>
    </w:pPr>
  </w:style>
  <w:style w:type="paragraph" w:styleId="Billedtekst">
    <w:name w:val="caption"/>
    <w:basedOn w:val="Normal"/>
    <w:next w:val="Normal"/>
    <w:uiPriority w:val="99"/>
    <w:qFormat/>
    <w:rsid w:val="00471842"/>
    <w:pPr>
      <w:spacing w:before="120" w:after="120"/>
    </w:pPr>
    <w:rPr>
      <w:b/>
      <w:bCs/>
      <w:sz w:val="20"/>
    </w:rPr>
  </w:style>
  <w:style w:type="paragraph" w:styleId="Undertitel">
    <w:name w:val="Subtitle"/>
    <w:basedOn w:val="Normal"/>
    <w:link w:val="UndertitelTegn"/>
    <w:uiPriority w:val="99"/>
    <w:qFormat/>
    <w:rsid w:val="00471842"/>
    <w:pPr>
      <w:spacing w:after="60"/>
      <w:jc w:val="center"/>
      <w:outlineLvl w:val="1"/>
    </w:pPr>
    <w:rPr>
      <w:rFonts w:ascii="Arial" w:hAnsi="Arial" w:cs="Arial"/>
      <w:szCs w:val="24"/>
    </w:rPr>
  </w:style>
  <w:style w:type="character" w:customStyle="1" w:styleId="UndertitelTegn">
    <w:name w:val="Undertitel Tegn"/>
    <w:basedOn w:val="Standardskrifttypeiafsnit"/>
    <w:link w:val="Undertitel"/>
    <w:uiPriority w:val="11"/>
    <w:rsid w:val="00D03C3E"/>
    <w:rPr>
      <w:rFonts w:asciiTheme="majorHAnsi" w:eastAsiaTheme="majorEastAsia" w:hAnsiTheme="majorHAnsi" w:cstheme="majorBidi"/>
      <w:sz w:val="24"/>
      <w:szCs w:val="24"/>
    </w:rPr>
  </w:style>
  <w:style w:type="paragraph" w:customStyle="1" w:styleId="Standardtekst">
    <w:name w:val="Standardtekst"/>
    <w:basedOn w:val="Normal"/>
    <w:uiPriority w:val="99"/>
    <w:rsid w:val="00471842"/>
    <w:rPr>
      <w:noProof/>
    </w:rPr>
  </w:style>
  <w:style w:type="character" w:customStyle="1" w:styleId="InitialStyle">
    <w:name w:val="InitialStyle"/>
    <w:uiPriority w:val="99"/>
    <w:rsid w:val="00471842"/>
    <w:rPr>
      <w:rFonts w:ascii="Garamond" w:hAnsi="Garamond"/>
      <w:color w:val="auto"/>
      <w:spacing w:val="0"/>
      <w:sz w:val="24"/>
    </w:rPr>
  </w:style>
  <w:style w:type="paragraph" w:customStyle="1" w:styleId="Bo1">
    <w:name w:val="Bo 1"/>
    <w:basedOn w:val="Overskrift4"/>
    <w:uiPriority w:val="99"/>
    <w:rsid w:val="00471842"/>
    <w:pPr>
      <w:numPr>
        <w:ilvl w:val="0"/>
        <w:numId w:val="3"/>
      </w:numPr>
    </w:pPr>
    <w:rPr>
      <w:rFonts w:ascii="Times New Roman" w:hAnsi="Times New Roman"/>
      <w:sz w:val="28"/>
    </w:rPr>
  </w:style>
  <w:style w:type="paragraph" w:customStyle="1" w:styleId="Bo">
    <w:name w:val="Bo"/>
    <w:basedOn w:val="Bo1"/>
    <w:link w:val="BoTegn"/>
    <w:uiPriority w:val="99"/>
    <w:rsid w:val="00471842"/>
    <w:rPr>
      <w:sz w:val="24"/>
    </w:rPr>
  </w:style>
  <w:style w:type="paragraph" w:styleId="Kommentaremne">
    <w:name w:val="annotation subject"/>
    <w:basedOn w:val="Kommentartekst"/>
    <w:next w:val="Kommentartekst"/>
    <w:link w:val="KommentaremneTegn"/>
    <w:uiPriority w:val="99"/>
    <w:semiHidden/>
    <w:rsid w:val="00471842"/>
    <w:rPr>
      <w:b/>
      <w:bCs/>
    </w:rPr>
  </w:style>
  <w:style w:type="character" w:customStyle="1" w:styleId="KommentaremneTegn">
    <w:name w:val="Kommentaremne Tegn"/>
    <w:basedOn w:val="KommentartekstTegn"/>
    <w:link w:val="Kommentaremne"/>
    <w:uiPriority w:val="99"/>
    <w:semiHidden/>
    <w:rsid w:val="00D03C3E"/>
    <w:rPr>
      <w:b/>
      <w:bCs/>
      <w:sz w:val="20"/>
      <w:szCs w:val="20"/>
    </w:rPr>
  </w:style>
  <w:style w:type="paragraph" w:styleId="Markeringsbobletekst">
    <w:name w:val="Balloon Text"/>
    <w:basedOn w:val="Normal"/>
    <w:link w:val="MarkeringsbobletekstTegn"/>
    <w:uiPriority w:val="99"/>
    <w:semiHidden/>
    <w:rsid w:val="0047184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3C3E"/>
    <w:rPr>
      <w:sz w:val="0"/>
      <w:szCs w:val="0"/>
    </w:rPr>
  </w:style>
  <w:style w:type="table" w:styleId="Tabel-Gitter">
    <w:name w:val="Table Grid"/>
    <w:basedOn w:val="Tabel-Normal"/>
    <w:uiPriority w:val="59"/>
    <w:rsid w:val="004718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rdstartTegn">
    <w:name w:val="1Brødstart Tegn"/>
    <w:link w:val="1BrdstartTegnTegn"/>
    <w:uiPriority w:val="99"/>
    <w:rsid w:val="00471842"/>
    <w:pPr>
      <w:spacing w:line="300" w:lineRule="atLeast"/>
      <w:jc w:val="both"/>
    </w:pPr>
    <w:rPr>
      <w:rFonts w:ascii="AGaramond" w:hAnsi="AGaramond"/>
      <w:color w:val="000000"/>
      <w:sz w:val="21"/>
      <w:szCs w:val="20"/>
    </w:rPr>
  </w:style>
  <w:style w:type="character" w:customStyle="1" w:styleId="1BrdstartTegnTegn">
    <w:name w:val="1Brødstart Tegn Tegn"/>
    <w:basedOn w:val="Standardskrifttypeiafsnit"/>
    <w:link w:val="1BrdstartTegn"/>
    <w:uiPriority w:val="99"/>
    <w:locked/>
    <w:rsid w:val="00471842"/>
    <w:rPr>
      <w:rFonts w:ascii="AGaramond" w:hAnsi="AGaramond" w:cs="Times New Roman"/>
      <w:snapToGrid w:val="0"/>
      <w:color w:val="000000"/>
      <w:sz w:val="21"/>
      <w:lang w:val="da-DK" w:eastAsia="da-DK" w:bidi="ar-SA"/>
    </w:rPr>
  </w:style>
  <w:style w:type="character" w:customStyle="1" w:styleId="2brdtekstTegn">
    <w:name w:val="2brødtekst Tegn"/>
    <w:basedOn w:val="Standardskrifttypeiafsnit"/>
    <w:link w:val="2brdtekst"/>
    <w:uiPriority w:val="99"/>
    <w:locked/>
    <w:rsid w:val="00471842"/>
    <w:rPr>
      <w:rFonts w:ascii="AGaramond" w:hAnsi="AGaramond" w:cs="Times New Roman"/>
      <w:snapToGrid w:val="0"/>
      <w:sz w:val="21"/>
      <w:lang w:val="da-DK" w:eastAsia="da-DK" w:bidi="ar-SA"/>
    </w:rPr>
  </w:style>
  <w:style w:type="paragraph" w:customStyle="1" w:styleId="dbbodytext">
    <w:name w:val="dbbodytext"/>
    <w:basedOn w:val="Normal"/>
    <w:uiPriority w:val="99"/>
    <w:rsid w:val="00471842"/>
    <w:pPr>
      <w:spacing w:line="260" w:lineRule="atLeast"/>
      <w:jc w:val="both"/>
    </w:pPr>
    <w:rPr>
      <w:rFonts w:ascii="Danske Text" w:hAnsi="Danske Text"/>
      <w:spacing w:val="4"/>
      <w:sz w:val="19"/>
    </w:rPr>
  </w:style>
  <w:style w:type="paragraph" w:customStyle="1" w:styleId="Normal11pkt">
    <w:name w:val="Normal + 11 pkt"/>
    <w:basedOn w:val="Normal"/>
    <w:uiPriority w:val="99"/>
    <w:rsid w:val="00260654"/>
    <w:pPr>
      <w:spacing w:after="120"/>
    </w:pPr>
    <w:rPr>
      <w:rFonts w:ascii="Arial" w:eastAsia="MS Mincho" w:hAnsi="Arial"/>
      <w:spacing w:val="-3"/>
      <w:szCs w:val="24"/>
      <w:lang w:eastAsia="en-US"/>
    </w:rPr>
  </w:style>
  <w:style w:type="paragraph" w:styleId="Indholdsfortegnelse2">
    <w:name w:val="toc 2"/>
    <w:basedOn w:val="Normal"/>
    <w:next w:val="Normal"/>
    <w:autoRedefine/>
    <w:uiPriority w:val="39"/>
    <w:rsid w:val="00224B6A"/>
    <w:pPr>
      <w:spacing w:before="240"/>
    </w:pPr>
    <w:rPr>
      <w:rFonts w:asciiTheme="minorHAnsi" w:hAnsiTheme="minorHAnsi"/>
      <w:b/>
      <w:bCs/>
      <w:sz w:val="20"/>
    </w:rPr>
  </w:style>
  <w:style w:type="paragraph" w:styleId="Indholdsfortegnelse4">
    <w:name w:val="toc 4"/>
    <w:basedOn w:val="Normal"/>
    <w:next w:val="Normal"/>
    <w:autoRedefine/>
    <w:uiPriority w:val="39"/>
    <w:rsid w:val="009B355D"/>
    <w:pPr>
      <w:tabs>
        <w:tab w:val="left" w:pos="851"/>
        <w:tab w:val="left" w:pos="1100"/>
        <w:tab w:val="right" w:leader="dot" w:pos="9345"/>
      </w:tabs>
      <w:ind w:left="440"/>
    </w:pPr>
    <w:rPr>
      <w:rFonts w:asciiTheme="minorHAnsi" w:hAnsiTheme="minorHAnsi"/>
      <w:sz w:val="20"/>
    </w:rPr>
  </w:style>
  <w:style w:type="paragraph" w:styleId="Indholdsfortegnelse3">
    <w:name w:val="toc 3"/>
    <w:basedOn w:val="Normal"/>
    <w:next w:val="Normal"/>
    <w:autoRedefine/>
    <w:uiPriority w:val="39"/>
    <w:rsid w:val="00E61AFD"/>
    <w:pPr>
      <w:ind w:left="220"/>
    </w:pPr>
    <w:rPr>
      <w:rFonts w:asciiTheme="minorHAnsi" w:hAnsiTheme="minorHAnsi"/>
      <w:sz w:val="20"/>
    </w:rPr>
  </w:style>
  <w:style w:type="paragraph" w:styleId="Indholdsfortegnelse5">
    <w:name w:val="toc 5"/>
    <w:basedOn w:val="Normal"/>
    <w:next w:val="Normal"/>
    <w:autoRedefine/>
    <w:uiPriority w:val="99"/>
    <w:semiHidden/>
    <w:rsid w:val="00C9161F"/>
    <w:pPr>
      <w:ind w:left="660"/>
    </w:pPr>
    <w:rPr>
      <w:rFonts w:asciiTheme="minorHAnsi" w:hAnsiTheme="minorHAnsi"/>
      <w:sz w:val="20"/>
    </w:rPr>
  </w:style>
  <w:style w:type="paragraph" w:customStyle="1" w:styleId="Afdelingsnavnprospekt">
    <w:name w:val="Afdelingsnavn prospekt"/>
    <w:basedOn w:val="Normal"/>
    <w:uiPriority w:val="99"/>
    <w:rsid w:val="000D6E44"/>
    <w:pPr>
      <w:spacing w:before="240" w:after="60"/>
      <w:outlineLvl w:val="4"/>
    </w:pPr>
    <w:rPr>
      <w:b/>
      <w:bCs/>
    </w:rPr>
  </w:style>
  <w:style w:type="character" w:customStyle="1" w:styleId="BoTegn">
    <w:name w:val="Bo Tegn"/>
    <w:basedOn w:val="Standardskrifttypeiafsnit"/>
    <w:link w:val="Bo"/>
    <w:uiPriority w:val="99"/>
    <w:locked/>
    <w:rsid w:val="00E74BD6"/>
    <w:rPr>
      <w:b/>
      <w:sz w:val="24"/>
      <w:szCs w:val="20"/>
    </w:rPr>
  </w:style>
  <w:style w:type="paragraph" w:styleId="Listeafsnit">
    <w:name w:val="List Paragraph"/>
    <w:basedOn w:val="Normal"/>
    <w:uiPriority w:val="34"/>
    <w:qFormat/>
    <w:rsid w:val="00902BDB"/>
    <w:pPr>
      <w:ind w:left="720"/>
      <w:contextualSpacing/>
    </w:pPr>
  </w:style>
  <w:style w:type="paragraph" w:styleId="Korrektur">
    <w:name w:val="Revision"/>
    <w:hidden/>
    <w:uiPriority w:val="99"/>
    <w:semiHidden/>
    <w:rsid w:val="00CA261E"/>
    <w:rPr>
      <w:szCs w:val="20"/>
    </w:rPr>
  </w:style>
  <w:style w:type="paragraph" w:customStyle="1" w:styleId="Default">
    <w:name w:val="Default"/>
    <w:rsid w:val="00791464"/>
    <w:pPr>
      <w:autoSpaceDE w:val="0"/>
      <w:autoSpaceDN w:val="0"/>
      <w:adjustRightInd w:val="0"/>
    </w:pPr>
    <w:rPr>
      <w:rFonts w:eastAsiaTheme="minorEastAsia"/>
      <w:color w:val="000000"/>
      <w:sz w:val="24"/>
      <w:szCs w:val="24"/>
    </w:rPr>
  </w:style>
  <w:style w:type="paragraph" w:customStyle="1" w:styleId="Bo2">
    <w:name w:val="Bo 2"/>
    <w:basedOn w:val="Normal"/>
    <w:link w:val="Bo2Tegn"/>
    <w:qFormat/>
    <w:rsid w:val="00D70E09"/>
    <w:pPr>
      <w:spacing w:before="240" w:after="60"/>
    </w:pPr>
    <w:rPr>
      <w:b/>
      <w:szCs w:val="24"/>
    </w:rPr>
  </w:style>
  <w:style w:type="character" w:customStyle="1" w:styleId="Bo2Tegn">
    <w:name w:val="Bo 2 Tegn"/>
    <w:basedOn w:val="Standardskrifttypeiafsnit"/>
    <w:link w:val="Bo2"/>
    <w:rsid w:val="00D70E09"/>
    <w:rPr>
      <w:b/>
      <w:szCs w:val="24"/>
    </w:rPr>
  </w:style>
  <w:style w:type="paragraph" w:customStyle="1" w:styleId="Vedtgt3">
    <w:name w:val="Vedtægt 3"/>
    <w:basedOn w:val="Normal"/>
    <w:link w:val="Vedtgt3Tegn"/>
    <w:qFormat/>
    <w:rsid w:val="00CD5893"/>
    <w:pPr>
      <w:spacing w:after="60"/>
    </w:pPr>
    <w:rPr>
      <w:b/>
      <w:i/>
      <w:szCs w:val="24"/>
    </w:rPr>
  </w:style>
  <w:style w:type="character" w:customStyle="1" w:styleId="Vedtgt3Tegn">
    <w:name w:val="Vedtægt 3 Tegn"/>
    <w:basedOn w:val="Standardskrifttypeiafsnit"/>
    <w:link w:val="Vedtgt3"/>
    <w:rsid w:val="00CD5893"/>
    <w:rPr>
      <w:b/>
      <w:i/>
      <w:szCs w:val="24"/>
    </w:rPr>
  </w:style>
  <w:style w:type="paragraph" w:customStyle="1" w:styleId="brdtekst0">
    <w:name w:val="brødtekst"/>
    <w:basedOn w:val="Brdtekst"/>
    <w:uiPriority w:val="99"/>
    <w:rsid w:val="00AC682B"/>
    <w:pPr>
      <w:spacing w:after="120"/>
    </w:pPr>
  </w:style>
  <w:style w:type="paragraph" w:styleId="Fodnotetekst">
    <w:name w:val="footnote text"/>
    <w:basedOn w:val="Normal"/>
    <w:link w:val="FodnotetekstTegn"/>
    <w:uiPriority w:val="99"/>
    <w:semiHidden/>
    <w:unhideWhenUsed/>
    <w:rsid w:val="003A5678"/>
    <w:rPr>
      <w:sz w:val="20"/>
    </w:rPr>
  </w:style>
  <w:style w:type="character" w:customStyle="1" w:styleId="FodnotetekstTegn">
    <w:name w:val="Fodnotetekst Tegn"/>
    <w:basedOn w:val="Standardskrifttypeiafsnit"/>
    <w:link w:val="Fodnotetekst"/>
    <w:uiPriority w:val="99"/>
    <w:semiHidden/>
    <w:rsid w:val="003A5678"/>
    <w:rPr>
      <w:sz w:val="20"/>
      <w:szCs w:val="20"/>
    </w:rPr>
  </w:style>
  <w:style w:type="character" w:styleId="Fodnotehenvisning">
    <w:name w:val="footnote reference"/>
    <w:basedOn w:val="Standardskrifttypeiafsnit"/>
    <w:uiPriority w:val="99"/>
    <w:semiHidden/>
    <w:unhideWhenUsed/>
    <w:rsid w:val="003A5678"/>
    <w:rPr>
      <w:vertAlign w:val="superscript"/>
    </w:rPr>
  </w:style>
  <w:style w:type="paragraph" w:styleId="Indholdsfortegnelse6">
    <w:name w:val="toc 6"/>
    <w:basedOn w:val="Normal"/>
    <w:next w:val="Normal"/>
    <w:autoRedefine/>
    <w:uiPriority w:val="39"/>
    <w:unhideWhenUsed/>
    <w:rsid w:val="00D63BD8"/>
    <w:pPr>
      <w:ind w:left="880"/>
    </w:pPr>
    <w:rPr>
      <w:rFonts w:asciiTheme="minorHAnsi" w:hAnsiTheme="minorHAnsi"/>
      <w:sz w:val="20"/>
    </w:rPr>
  </w:style>
  <w:style w:type="paragraph" w:styleId="Indholdsfortegnelse7">
    <w:name w:val="toc 7"/>
    <w:basedOn w:val="Normal"/>
    <w:next w:val="Normal"/>
    <w:autoRedefine/>
    <w:uiPriority w:val="39"/>
    <w:unhideWhenUsed/>
    <w:rsid w:val="00D63BD8"/>
    <w:pPr>
      <w:ind w:left="1100"/>
    </w:pPr>
    <w:rPr>
      <w:rFonts w:asciiTheme="minorHAnsi" w:hAnsiTheme="minorHAnsi"/>
      <w:sz w:val="20"/>
    </w:rPr>
  </w:style>
  <w:style w:type="paragraph" w:styleId="Indholdsfortegnelse8">
    <w:name w:val="toc 8"/>
    <w:basedOn w:val="Normal"/>
    <w:next w:val="Normal"/>
    <w:autoRedefine/>
    <w:uiPriority w:val="39"/>
    <w:unhideWhenUsed/>
    <w:rsid w:val="00D63BD8"/>
    <w:pPr>
      <w:ind w:left="1320"/>
    </w:pPr>
    <w:rPr>
      <w:rFonts w:asciiTheme="minorHAnsi" w:hAnsiTheme="minorHAnsi"/>
      <w:sz w:val="20"/>
    </w:rPr>
  </w:style>
  <w:style w:type="paragraph" w:styleId="Indholdsfortegnelse9">
    <w:name w:val="toc 9"/>
    <w:basedOn w:val="Normal"/>
    <w:next w:val="Normal"/>
    <w:autoRedefine/>
    <w:uiPriority w:val="39"/>
    <w:unhideWhenUsed/>
    <w:rsid w:val="00D63BD8"/>
    <w:pPr>
      <w:ind w:left="1540"/>
    </w:pPr>
    <w:rPr>
      <w:rFonts w:asciiTheme="minorHAnsi" w:hAnsiTheme="minorHAnsi"/>
      <w:sz w:val="20"/>
    </w:rPr>
  </w:style>
  <w:style w:type="paragraph" w:styleId="Overskrift">
    <w:name w:val="TOC Heading"/>
    <w:basedOn w:val="Overskrift1"/>
    <w:next w:val="Normal"/>
    <w:uiPriority w:val="39"/>
    <w:unhideWhenUsed/>
    <w:qFormat/>
    <w:rsid w:val="00D63BD8"/>
    <w:pPr>
      <w:keepNext/>
      <w:keepLines/>
      <w:tabs>
        <w:tab w:val="clear" w:pos="0"/>
        <w:tab w:val="clear" w:pos="720"/>
        <w:tab w:val="clear" w:pos="1440"/>
        <w:tab w:val="clear" w:pos="198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296"/>
        <w:tab w:val="clear" w:pos="19872"/>
        <w:tab w:val="clear" w:pos="20448"/>
        <w:tab w:val="clear" w:pos="21024"/>
      </w:tabs>
      <w:suppressAutoHyphens w:val="0"/>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customStyle="1" w:styleId="OverskriftBo">
    <w:name w:val="Overskrift Bo"/>
    <w:basedOn w:val="Normal"/>
    <w:link w:val="OverskriftBoTegn"/>
    <w:uiPriority w:val="99"/>
    <w:rsid w:val="002F36E1"/>
    <w:pPr>
      <w:spacing w:before="240" w:after="60"/>
    </w:pPr>
    <w:rPr>
      <w:b/>
      <w:bCs/>
    </w:rPr>
  </w:style>
  <w:style w:type="character" w:customStyle="1" w:styleId="OverskriftBoTegn">
    <w:name w:val="Overskrift Bo Tegn"/>
    <w:basedOn w:val="Standardskrifttypeiafsnit"/>
    <w:link w:val="OverskriftBo"/>
    <w:uiPriority w:val="99"/>
    <w:locked/>
    <w:rsid w:val="002F36E1"/>
    <w:rPr>
      <w:b/>
      <w:bCs/>
      <w:szCs w:val="20"/>
    </w:rPr>
  </w:style>
  <w:style w:type="character" w:customStyle="1" w:styleId="Ulstomtale1">
    <w:name w:val="Uløst omtale1"/>
    <w:basedOn w:val="Standardskrifttypeiafsnit"/>
    <w:uiPriority w:val="99"/>
    <w:semiHidden/>
    <w:unhideWhenUsed/>
    <w:rsid w:val="005D18C4"/>
    <w:rPr>
      <w:color w:val="605E5C"/>
      <w:shd w:val="clear" w:color="auto" w:fill="E1DFDD"/>
    </w:rPr>
  </w:style>
  <w:style w:type="character" w:styleId="Ulstomtale">
    <w:name w:val="Unresolved Mention"/>
    <w:basedOn w:val="Standardskrifttypeiafsnit"/>
    <w:uiPriority w:val="99"/>
    <w:semiHidden/>
    <w:unhideWhenUsed/>
    <w:rsid w:val="00C00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895">
      <w:bodyDiv w:val="1"/>
      <w:marLeft w:val="0"/>
      <w:marRight w:val="0"/>
      <w:marTop w:val="0"/>
      <w:marBottom w:val="0"/>
      <w:divBdr>
        <w:top w:val="none" w:sz="0" w:space="0" w:color="auto"/>
        <w:left w:val="none" w:sz="0" w:space="0" w:color="auto"/>
        <w:bottom w:val="none" w:sz="0" w:space="0" w:color="auto"/>
        <w:right w:val="none" w:sz="0" w:space="0" w:color="auto"/>
      </w:divBdr>
    </w:div>
    <w:div w:id="35009393">
      <w:bodyDiv w:val="1"/>
      <w:marLeft w:val="0"/>
      <w:marRight w:val="0"/>
      <w:marTop w:val="0"/>
      <w:marBottom w:val="0"/>
      <w:divBdr>
        <w:top w:val="none" w:sz="0" w:space="0" w:color="auto"/>
        <w:left w:val="none" w:sz="0" w:space="0" w:color="auto"/>
        <w:bottom w:val="none" w:sz="0" w:space="0" w:color="auto"/>
        <w:right w:val="none" w:sz="0" w:space="0" w:color="auto"/>
      </w:divBdr>
    </w:div>
    <w:div w:id="51466067">
      <w:bodyDiv w:val="1"/>
      <w:marLeft w:val="0"/>
      <w:marRight w:val="0"/>
      <w:marTop w:val="0"/>
      <w:marBottom w:val="0"/>
      <w:divBdr>
        <w:top w:val="none" w:sz="0" w:space="0" w:color="auto"/>
        <w:left w:val="none" w:sz="0" w:space="0" w:color="auto"/>
        <w:bottom w:val="none" w:sz="0" w:space="0" w:color="auto"/>
        <w:right w:val="none" w:sz="0" w:space="0" w:color="auto"/>
      </w:divBdr>
    </w:div>
    <w:div w:id="60447340">
      <w:bodyDiv w:val="1"/>
      <w:marLeft w:val="0"/>
      <w:marRight w:val="0"/>
      <w:marTop w:val="0"/>
      <w:marBottom w:val="0"/>
      <w:divBdr>
        <w:top w:val="none" w:sz="0" w:space="0" w:color="auto"/>
        <w:left w:val="none" w:sz="0" w:space="0" w:color="auto"/>
        <w:bottom w:val="none" w:sz="0" w:space="0" w:color="auto"/>
        <w:right w:val="none" w:sz="0" w:space="0" w:color="auto"/>
      </w:divBdr>
    </w:div>
    <w:div w:id="156189927">
      <w:bodyDiv w:val="1"/>
      <w:marLeft w:val="0"/>
      <w:marRight w:val="0"/>
      <w:marTop w:val="0"/>
      <w:marBottom w:val="0"/>
      <w:divBdr>
        <w:top w:val="none" w:sz="0" w:space="0" w:color="auto"/>
        <w:left w:val="none" w:sz="0" w:space="0" w:color="auto"/>
        <w:bottom w:val="none" w:sz="0" w:space="0" w:color="auto"/>
        <w:right w:val="none" w:sz="0" w:space="0" w:color="auto"/>
      </w:divBdr>
    </w:div>
    <w:div w:id="156307867">
      <w:bodyDiv w:val="1"/>
      <w:marLeft w:val="0"/>
      <w:marRight w:val="0"/>
      <w:marTop w:val="0"/>
      <w:marBottom w:val="0"/>
      <w:divBdr>
        <w:top w:val="none" w:sz="0" w:space="0" w:color="auto"/>
        <w:left w:val="none" w:sz="0" w:space="0" w:color="auto"/>
        <w:bottom w:val="none" w:sz="0" w:space="0" w:color="auto"/>
        <w:right w:val="none" w:sz="0" w:space="0" w:color="auto"/>
      </w:divBdr>
    </w:div>
    <w:div w:id="220334742">
      <w:bodyDiv w:val="1"/>
      <w:marLeft w:val="0"/>
      <w:marRight w:val="0"/>
      <w:marTop w:val="0"/>
      <w:marBottom w:val="0"/>
      <w:divBdr>
        <w:top w:val="none" w:sz="0" w:space="0" w:color="auto"/>
        <w:left w:val="none" w:sz="0" w:space="0" w:color="auto"/>
        <w:bottom w:val="none" w:sz="0" w:space="0" w:color="auto"/>
        <w:right w:val="none" w:sz="0" w:space="0" w:color="auto"/>
      </w:divBdr>
    </w:div>
    <w:div w:id="227307084">
      <w:bodyDiv w:val="1"/>
      <w:marLeft w:val="0"/>
      <w:marRight w:val="0"/>
      <w:marTop w:val="0"/>
      <w:marBottom w:val="0"/>
      <w:divBdr>
        <w:top w:val="none" w:sz="0" w:space="0" w:color="auto"/>
        <w:left w:val="none" w:sz="0" w:space="0" w:color="auto"/>
        <w:bottom w:val="none" w:sz="0" w:space="0" w:color="auto"/>
        <w:right w:val="none" w:sz="0" w:space="0" w:color="auto"/>
      </w:divBdr>
    </w:div>
    <w:div w:id="257643616">
      <w:bodyDiv w:val="1"/>
      <w:marLeft w:val="0"/>
      <w:marRight w:val="0"/>
      <w:marTop w:val="0"/>
      <w:marBottom w:val="0"/>
      <w:divBdr>
        <w:top w:val="none" w:sz="0" w:space="0" w:color="auto"/>
        <w:left w:val="none" w:sz="0" w:space="0" w:color="auto"/>
        <w:bottom w:val="none" w:sz="0" w:space="0" w:color="auto"/>
        <w:right w:val="none" w:sz="0" w:space="0" w:color="auto"/>
      </w:divBdr>
    </w:div>
    <w:div w:id="267006350">
      <w:bodyDiv w:val="1"/>
      <w:marLeft w:val="0"/>
      <w:marRight w:val="0"/>
      <w:marTop w:val="0"/>
      <w:marBottom w:val="0"/>
      <w:divBdr>
        <w:top w:val="none" w:sz="0" w:space="0" w:color="auto"/>
        <w:left w:val="none" w:sz="0" w:space="0" w:color="auto"/>
        <w:bottom w:val="none" w:sz="0" w:space="0" w:color="auto"/>
        <w:right w:val="none" w:sz="0" w:space="0" w:color="auto"/>
      </w:divBdr>
    </w:div>
    <w:div w:id="270354629">
      <w:bodyDiv w:val="1"/>
      <w:marLeft w:val="0"/>
      <w:marRight w:val="0"/>
      <w:marTop w:val="0"/>
      <w:marBottom w:val="0"/>
      <w:divBdr>
        <w:top w:val="none" w:sz="0" w:space="0" w:color="auto"/>
        <w:left w:val="none" w:sz="0" w:space="0" w:color="auto"/>
        <w:bottom w:val="none" w:sz="0" w:space="0" w:color="auto"/>
        <w:right w:val="none" w:sz="0" w:space="0" w:color="auto"/>
      </w:divBdr>
    </w:div>
    <w:div w:id="278993808">
      <w:bodyDiv w:val="1"/>
      <w:marLeft w:val="0"/>
      <w:marRight w:val="0"/>
      <w:marTop w:val="0"/>
      <w:marBottom w:val="0"/>
      <w:divBdr>
        <w:top w:val="none" w:sz="0" w:space="0" w:color="auto"/>
        <w:left w:val="none" w:sz="0" w:space="0" w:color="auto"/>
        <w:bottom w:val="none" w:sz="0" w:space="0" w:color="auto"/>
        <w:right w:val="none" w:sz="0" w:space="0" w:color="auto"/>
      </w:divBdr>
    </w:div>
    <w:div w:id="460347277">
      <w:bodyDiv w:val="1"/>
      <w:marLeft w:val="0"/>
      <w:marRight w:val="0"/>
      <w:marTop w:val="0"/>
      <w:marBottom w:val="0"/>
      <w:divBdr>
        <w:top w:val="none" w:sz="0" w:space="0" w:color="auto"/>
        <w:left w:val="none" w:sz="0" w:space="0" w:color="auto"/>
        <w:bottom w:val="none" w:sz="0" w:space="0" w:color="auto"/>
        <w:right w:val="none" w:sz="0" w:space="0" w:color="auto"/>
      </w:divBdr>
    </w:div>
    <w:div w:id="461385099">
      <w:bodyDiv w:val="1"/>
      <w:marLeft w:val="0"/>
      <w:marRight w:val="0"/>
      <w:marTop w:val="0"/>
      <w:marBottom w:val="0"/>
      <w:divBdr>
        <w:top w:val="none" w:sz="0" w:space="0" w:color="auto"/>
        <w:left w:val="none" w:sz="0" w:space="0" w:color="auto"/>
        <w:bottom w:val="none" w:sz="0" w:space="0" w:color="auto"/>
        <w:right w:val="none" w:sz="0" w:space="0" w:color="auto"/>
      </w:divBdr>
    </w:div>
    <w:div w:id="482888149">
      <w:bodyDiv w:val="1"/>
      <w:marLeft w:val="0"/>
      <w:marRight w:val="0"/>
      <w:marTop w:val="0"/>
      <w:marBottom w:val="0"/>
      <w:divBdr>
        <w:top w:val="none" w:sz="0" w:space="0" w:color="auto"/>
        <w:left w:val="none" w:sz="0" w:space="0" w:color="auto"/>
        <w:bottom w:val="none" w:sz="0" w:space="0" w:color="auto"/>
        <w:right w:val="none" w:sz="0" w:space="0" w:color="auto"/>
      </w:divBdr>
    </w:div>
    <w:div w:id="518012688">
      <w:marLeft w:val="0"/>
      <w:marRight w:val="0"/>
      <w:marTop w:val="0"/>
      <w:marBottom w:val="0"/>
      <w:divBdr>
        <w:top w:val="none" w:sz="0" w:space="0" w:color="auto"/>
        <w:left w:val="none" w:sz="0" w:space="0" w:color="auto"/>
        <w:bottom w:val="none" w:sz="0" w:space="0" w:color="auto"/>
        <w:right w:val="none" w:sz="0" w:space="0" w:color="auto"/>
      </w:divBdr>
    </w:div>
    <w:div w:id="518012689">
      <w:marLeft w:val="0"/>
      <w:marRight w:val="0"/>
      <w:marTop w:val="0"/>
      <w:marBottom w:val="0"/>
      <w:divBdr>
        <w:top w:val="none" w:sz="0" w:space="0" w:color="auto"/>
        <w:left w:val="none" w:sz="0" w:space="0" w:color="auto"/>
        <w:bottom w:val="none" w:sz="0" w:space="0" w:color="auto"/>
        <w:right w:val="none" w:sz="0" w:space="0" w:color="auto"/>
      </w:divBdr>
      <w:divsChild>
        <w:div w:id="518012687">
          <w:marLeft w:val="0"/>
          <w:marRight w:val="0"/>
          <w:marTop w:val="0"/>
          <w:marBottom w:val="0"/>
          <w:divBdr>
            <w:top w:val="none" w:sz="0" w:space="0" w:color="auto"/>
            <w:left w:val="none" w:sz="0" w:space="0" w:color="auto"/>
            <w:bottom w:val="none" w:sz="0" w:space="0" w:color="auto"/>
            <w:right w:val="none" w:sz="0" w:space="0" w:color="auto"/>
          </w:divBdr>
        </w:div>
        <w:div w:id="518012691">
          <w:marLeft w:val="0"/>
          <w:marRight w:val="0"/>
          <w:marTop w:val="0"/>
          <w:marBottom w:val="0"/>
          <w:divBdr>
            <w:top w:val="none" w:sz="0" w:space="0" w:color="auto"/>
            <w:left w:val="none" w:sz="0" w:space="0" w:color="auto"/>
            <w:bottom w:val="none" w:sz="0" w:space="0" w:color="auto"/>
            <w:right w:val="none" w:sz="0" w:space="0" w:color="auto"/>
          </w:divBdr>
        </w:div>
        <w:div w:id="518012692">
          <w:marLeft w:val="0"/>
          <w:marRight w:val="0"/>
          <w:marTop w:val="0"/>
          <w:marBottom w:val="0"/>
          <w:divBdr>
            <w:top w:val="none" w:sz="0" w:space="0" w:color="auto"/>
            <w:left w:val="none" w:sz="0" w:space="0" w:color="auto"/>
            <w:bottom w:val="none" w:sz="0" w:space="0" w:color="auto"/>
            <w:right w:val="none" w:sz="0" w:space="0" w:color="auto"/>
          </w:divBdr>
        </w:div>
      </w:divsChild>
    </w:div>
    <w:div w:id="518012690">
      <w:marLeft w:val="0"/>
      <w:marRight w:val="0"/>
      <w:marTop w:val="0"/>
      <w:marBottom w:val="0"/>
      <w:divBdr>
        <w:top w:val="none" w:sz="0" w:space="0" w:color="auto"/>
        <w:left w:val="none" w:sz="0" w:space="0" w:color="auto"/>
        <w:bottom w:val="none" w:sz="0" w:space="0" w:color="auto"/>
        <w:right w:val="none" w:sz="0" w:space="0" w:color="auto"/>
      </w:divBdr>
    </w:div>
    <w:div w:id="518012693">
      <w:marLeft w:val="0"/>
      <w:marRight w:val="0"/>
      <w:marTop w:val="0"/>
      <w:marBottom w:val="0"/>
      <w:divBdr>
        <w:top w:val="none" w:sz="0" w:space="0" w:color="auto"/>
        <w:left w:val="none" w:sz="0" w:space="0" w:color="auto"/>
        <w:bottom w:val="none" w:sz="0" w:space="0" w:color="auto"/>
        <w:right w:val="none" w:sz="0" w:space="0" w:color="auto"/>
      </w:divBdr>
    </w:div>
    <w:div w:id="519243247">
      <w:bodyDiv w:val="1"/>
      <w:marLeft w:val="0"/>
      <w:marRight w:val="0"/>
      <w:marTop w:val="0"/>
      <w:marBottom w:val="0"/>
      <w:divBdr>
        <w:top w:val="none" w:sz="0" w:space="0" w:color="auto"/>
        <w:left w:val="none" w:sz="0" w:space="0" w:color="auto"/>
        <w:bottom w:val="none" w:sz="0" w:space="0" w:color="auto"/>
        <w:right w:val="none" w:sz="0" w:space="0" w:color="auto"/>
      </w:divBdr>
    </w:div>
    <w:div w:id="544100700">
      <w:bodyDiv w:val="1"/>
      <w:marLeft w:val="0"/>
      <w:marRight w:val="0"/>
      <w:marTop w:val="0"/>
      <w:marBottom w:val="0"/>
      <w:divBdr>
        <w:top w:val="none" w:sz="0" w:space="0" w:color="auto"/>
        <w:left w:val="none" w:sz="0" w:space="0" w:color="auto"/>
        <w:bottom w:val="none" w:sz="0" w:space="0" w:color="auto"/>
        <w:right w:val="none" w:sz="0" w:space="0" w:color="auto"/>
      </w:divBdr>
    </w:div>
    <w:div w:id="608968890">
      <w:bodyDiv w:val="1"/>
      <w:marLeft w:val="0"/>
      <w:marRight w:val="0"/>
      <w:marTop w:val="0"/>
      <w:marBottom w:val="0"/>
      <w:divBdr>
        <w:top w:val="none" w:sz="0" w:space="0" w:color="auto"/>
        <w:left w:val="none" w:sz="0" w:space="0" w:color="auto"/>
        <w:bottom w:val="none" w:sz="0" w:space="0" w:color="auto"/>
        <w:right w:val="none" w:sz="0" w:space="0" w:color="auto"/>
      </w:divBdr>
    </w:div>
    <w:div w:id="632054423">
      <w:bodyDiv w:val="1"/>
      <w:marLeft w:val="0"/>
      <w:marRight w:val="0"/>
      <w:marTop w:val="0"/>
      <w:marBottom w:val="0"/>
      <w:divBdr>
        <w:top w:val="none" w:sz="0" w:space="0" w:color="auto"/>
        <w:left w:val="none" w:sz="0" w:space="0" w:color="auto"/>
        <w:bottom w:val="none" w:sz="0" w:space="0" w:color="auto"/>
        <w:right w:val="none" w:sz="0" w:space="0" w:color="auto"/>
      </w:divBdr>
    </w:div>
    <w:div w:id="674456972">
      <w:bodyDiv w:val="1"/>
      <w:marLeft w:val="0"/>
      <w:marRight w:val="0"/>
      <w:marTop w:val="0"/>
      <w:marBottom w:val="0"/>
      <w:divBdr>
        <w:top w:val="none" w:sz="0" w:space="0" w:color="auto"/>
        <w:left w:val="none" w:sz="0" w:space="0" w:color="auto"/>
        <w:bottom w:val="none" w:sz="0" w:space="0" w:color="auto"/>
        <w:right w:val="none" w:sz="0" w:space="0" w:color="auto"/>
      </w:divBdr>
    </w:div>
    <w:div w:id="687028536">
      <w:bodyDiv w:val="1"/>
      <w:marLeft w:val="0"/>
      <w:marRight w:val="0"/>
      <w:marTop w:val="0"/>
      <w:marBottom w:val="0"/>
      <w:divBdr>
        <w:top w:val="none" w:sz="0" w:space="0" w:color="auto"/>
        <w:left w:val="none" w:sz="0" w:space="0" w:color="auto"/>
        <w:bottom w:val="none" w:sz="0" w:space="0" w:color="auto"/>
        <w:right w:val="none" w:sz="0" w:space="0" w:color="auto"/>
      </w:divBdr>
    </w:div>
    <w:div w:id="712463593">
      <w:bodyDiv w:val="1"/>
      <w:marLeft w:val="0"/>
      <w:marRight w:val="0"/>
      <w:marTop w:val="0"/>
      <w:marBottom w:val="0"/>
      <w:divBdr>
        <w:top w:val="none" w:sz="0" w:space="0" w:color="auto"/>
        <w:left w:val="none" w:sz="0" w:space="0" w:color="auto"/>
        <w:bottom w:val="none" w:sz="0" w:space="0" w:color="auto"/>
        <w:right w:val="none" w:sz="0" w:space="0" w:color="auto"/>
      </w:divBdr>
    </w:div>
    <w:div w:id="726219423">
      <w:bodyDiv w:val="1"/>
      <w:marLeft w:val="0"/>
      <w:marRight w:val="0"/>
      <w:marTop w:val="0"/>
      <w:marBottom w:val="0"/>
      <w:divBdr>
        <w:top w:val="none" w:sz="0" w:space="0" w:color="auto"/>
        <w:left w:val="none" w:sz="0" w:space="0" w:color="auto"/>
        <w:bottom w:val="none" w:sz="0" w:space="0" w:color="auto"/>
        <w:right w:val="none" w:sz="0" w:space="0" w:color="auto"/>
      </w:divBdr>
    </w:div>
    <w:div w:id="817498560">
      <w:bodyDiv w:val="1"/>
      <w:marLeft w:val="0"/>
      <w:marRight w:val="0"/>
      <w:marTop w:val="0"/>
      <w:marBottom w:val="0"/>
      <w:divBdr>
        <w:top w:val="none" w:sz="0" w:space="0" w:color="auto"/>
        <w:left w:val="none" w:sz="0" w:space="0" w:color="auto"/>
        <w:bottom w:val="none" w:sz="0" w:space="0" w:color="auto"/>
        <w:right w:val="none" w:sz="0" w:space="0" w:color="auto"/>
      </w:divBdr>
    </w:div>
    <w:div w:id="823396125">
      <w:bodyDiv w:val="1"/>
      <w:marLeft w:val="0"/>
      <w:marRight w:val="0"/>
      <w:marTop w:val="0"/>
      <w:marBottom w:val="0"/>
      <w:divBdr>
        <w:top w:val="none" w:sz="0" w:space="0" w:color="auto"/>
        <w:left w:val="none" w:sz="0" w:space="0" w:color="auto"/>
        <w:bottom w:val="none" w:sz="0" w:space="0" w:color="auto"/>
        <w:right w:val="none" w:sz="0" w:space="0" w:color="auto"/>
      </w:divBdr>
    </w:div>
    <w:div w:id="848561126">
      <w:bodyDiv w:val="1"/>
      <w:marLeft w:val="0"/>
      <w:marRight w:val="0"/>
      <w:marTop w:val="0"/>
      <w:marBottom w:val="0"/>
      <w:divBdr>
        <w:top w:val="none" w:sz="0" w:space="0" w:color="auto"/>
        <w:left w:val="none" w:sz="0" w:space="0" w:color="auto"/>
        <w:bottom w:val="none" w:sz="0" w:space="0" w:color="auto"/>
        <w:right w:val="none" w:sz="0" w:space="0" w:color="auto"/>
      </w:divBdr>
    </w:div>
    <w:div w:id="851652163">
      <w:bodyDiv w:val="1"/>
      <w:marLeft w:val="0"/>
      <w:marRight w:val="0"/>
      <w:marTop w:val="0"/>
      <w:marBottom w:val="0"/>
      <w:divBdr>
        <w:top w:val="none" w:sz="0" w:space="0" w:color="auto"/>
        <w:left w:val="none" w:sz="0" w:space="0" w:color="auto"/>
        <w:bottom w:val="none" w:sz="0" w:space="0" w:color="auto"/>
        <w:right w:val="none" w:sz="0" w:space="0" w:color="auto"/>
      </w:divBdr>
    </w:div>
    <w:div w:id="901987604">
      <w:bodyDiv w:val="1"/>
      <w:marLeft w:val="0"/>
      <w:marRight w:val="0"/>
      <w:marTop w:val="0"/>
      <w:marBottom w:val="0"/>
      <w:divBdr>
        <w:top w:val="none" w:sz="0" w:space="0" w:color="auto"/>
        <w:left w:val="none" w:sz="0" w:space="0" w:color="auto"/>
        <w:bottom w:val="none" w:sz="0" w:space="0" w:color="auto"/>
        <w:right w:val="none" w:sz="0" w:space="0" w:color="auto"/>
      </w:divBdr>
    </w:div>
    <w:div w:id="921719658">
      <w:bodyDiv w:val="1"/>
      <w:marLeft w:val="0"/>
      <w:marRight w:val="0"/>
      <w:marTop w:val="0"/>
      <w:marBottom w:val="0"/>
      <w:divBdr>
        <w:top w:val="none" w:sz="0" w:space="0" w:color="auto"/>
        <w:left w:val="none" w:sz="0" w:space="0" w:color="auto"/>
        <w:bottom w:val="none" w:sz="0" w:space="0" w:color="auto"/>
        <w:right w:val="none" w:sz="0" w:space="0" w:color="auto"/>
      </w:divBdr>
    </w:div>
    <w:div w:id="922181268">
      <w:bodyDiv w:val="1"/>
      <w:marLeft w:val="0"/>
      <w:marRight w:val="0"/>
      <w:marTop w:val="0"/>
      <w:marBottom w:val="0"/>
      <w:divBdr>
        <w:top w:val="none" w:sz="0" w:space="0" w:color="auto"/>
        <w:left w:val="none" w:sz="0" w:space="0" w:color="auto"/>
        <w:bottom w:val="none" w:sz="0" w:space="0" w:color="auto"/>
        <w:right w:val="none" w:sz="0" w:space="0" w:color="auto"/>
      </w:divBdr>
    </w:div>
    <w:div w:id="960113208">
      <w:bodyDiv w:val="1"/>
      <w:marLeft w:val="0"/>
      <w:marRight w:val="0"/>
      <w:marTop w:val="0"/>
      <w:marBottom w:val="0"/>
      <w:divBdr>
        <w:top w:val="none" w:sz="0" w:space="0" w:color="auto"/>
        <w:left w:val="none" w:sz="0" w:space="0" w:color="auto"/>
        <w:bottom w:val="none" w:sz="0" w:space="0" w:color="auto"/>
        <w:right w:val="none" w:sz="0" w:space="0" w:color="auto"/>
      </w:divBdr>
    </w:div>
    <w:div w:id="989022475">
      <w:bodyDiv w:val="1"/>
      <w:marLeft w:val="0"/>
      <w:marRight w:val="0"/>
      <w:marTop w:val="0"/>
      <w:marBottom w:val="0"/>
      <w:divBdr>
        <w:top w:val="none" w:sz="0" w:space="0" w:color="auto"/>
        <w:left w:val="none" w:sz="0" w:space="0" w:color="auto"/>
        <w:bottom w:val="none" w:sz="0" w:space="0" w:color="auto"/>
        <w:right w:val="none" w:sz="0" w:space="0" w:color="auto"/>
      </w:divBdr>
    </w:div>
    <w:div w:id="990520560">
      <w:bodyDiv w:val="1"/>
      <w:marLeft w:val="0"/>
      <w:marRight w:val="0"/>
      <w:marTop w:val="0"/>
      <w:marBottom w:val="0"/>
      <w:divBdr>
        <w:top w:val="none" w:sz="0" w:space="0" w:color="auto"/>
        <w:left w:val="none" w:sz="0" w:space="0" w:color="auto"/>
        <w:bottom w:val="none" w:sz="0" w:space="0" w:color="auto"/>
        <w:right w:val="none" w:sz="0" w:space="0" w:color="auto"/>
      </w:divBdr>
    </w:div>
    <w:div w:id="1038965496">
      <w:bodyDiv w:val="1"/>
      <w:marLeft w:val="0"/>
      <w:marRight w:val="0"/>
      <w:marTop w:val="0"/>
      <w:marBottom w:val="0"/>
      <w:divBdr>
        <w:top w:val="none" w:sz="0" w:space="0" w:color="auto"/>
        <w:left w:val="none" w:sz="0" w:space="0" w:color="auto"/>
        <w:bottom w:val="none" w:sz="0" w:space="0" w:color="auto"/>
        <w:right w:val="none" w:sz="0" w:space="0" w:color="auto"/>
      </w:divBdr>
    </w:div>
    <w:div w:id="1063524587">
      <w:bodyDiv w:val="1"/>
      <w:marLeft w:val="0"/>
      <w:marRight w:val="0"/>
      <w:marTop w:val="0"/>
      <w:marBottom w:val="0"/>
      <w:divBdr>
        <w:top w:val="none" w:sz="0" w:space="0" w:color="auto"/>
        <w:left w:val="none" w:sz="0" w:space="0" w:color="auto"/>
        <w:bottom w:val="none" w:sz="0" w:space="0" w:color="auto"/>
        <w:right w:val="none" w:sz="0" w:space="0" w:color="auto"/>
      </w:divBdr>
    </w:div>
    <w:div w:id="1109856778">
      <w:bodyDiv w:val="1"/>
      <w:marLeft w:val="0"/>
      <w:marRight w:val="0"/>
      <w:marTop w:val="0"/>
      <w:marBottom w:val="0"/>
      <w:divBdr>
        <w:top w:val="none" w:sz="0" w:space="0" w:color="auto"/>
        <w:left w:val="none" w:sz="0" w:space="0" w:color="auto"/>
        <w:bottom w:val="none" w:sz="0" w:space="0" w:color="auto"/>
        <w:right w:val="none" w:sz="0" w:space="0" w:color="auto"/>
      </w:divBdr>
    </w:div>
    <w:div w:id="1148983258">
      <w:bodyDiv w:val="1"/>
      <w:marLeft w:val="0"/>
      <w:marRight w:val="0"/>
      <w:marTop w:val="0"/>
      <w:marBottom w:val="0"/>
      <w:divBdr>
        <w:top w:val="none" w:sz="0" w:space="0" w:color="auto"/>
        <w:left w:val="none" w:sz="0" w:space="0" w:color="auto"/>
        <w:bottom w:val="none" w:sz="0" w:space="0" w:color="auto"/>
        <w:right w:val="none" w:sz="0" w:space="0" w:color="auto"/>
      </w:divBdr>
    </w:div>
    <w:div w:id="1154372918">
      <w:bodyDiv w:val="1"/>
      <w:marLeft w:val="0"/>
      <w:marRight w:val="0"/>
      <w:marTop w:val="0"/>
      <w:marBottom w:val="0"/>
      <w:divBdr>
        <w:top w:val="none" w:sz="0" w:space="0" w:color="auto"/>
        <w:left w:val="none" w:sz="0" w:space="0" w:color="auto"/>
        <w:bottom w:val="none" w:sz="0" w:space="0" w:color="auto"/>
        <w:right w:val="none" w:sz="0" w:space="0" w:color="auto"/>
      </w:divBdr>
    </w:div>
    <w:div w:id="1204555545">
      <w:bodyDiv w:val="1"/>
      <w:marLeft w:val="0"/>
      <w:marRight w:val="0"/>
      <w:marTop w:val="0"/>
      <w:marBottom w:val="0"/>
      <w:divBdr>
        <w:top w:val="none" w:sz="0" w:space="0" w:color="auto"/>
        <w:left w:val="none" w:sz="0" w:space="0" w:color="auto"/>
        <w:bottom w:val="none" w:sz="0" w:space="0" w:color="auto"/>
        <w:right w:val="none" w:sz="0" w:space="0" w:color="auto"/>
      </w:divBdr>
    </w:div>
    <w:div w:id="1265721531">
      <w:bodyDiv w:val="1"/>
      <w:marLeft w:val="0"/>
      <w:marRight w:val="0"/>
      <w:marTop w:val="0"/>
      <w:marBottom w:val="0"/>
      <w:divBdr>
        <w:top w:val="none" w:sz="0" w:space="0" w:color="auto"/>
        <w:left w:val="none" w:sz="0" w:space="0" w:color="auto"/>
        <w:bottom w:val="none" w:sz="0" w:space="0" w:color="auto"/>
        <w:right w:val="none" w:sz="0" w:space="0" w:color="auto"/>
      </w:divBdr>
    </w:div>
    <w:div w:id="1272467665">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7461448">
      <w:bodyDiv w:val="1"/>
      <w:marLeft w:val="0"/>
      <w:marRight w:val="0"/>
      <w:marTop w:val="0"/>
      <w:marBottom w:val="0"/>
      <w:divBdr>
        <w:top w:val="none" w:sz="0" w:space="0" w:color="auto"/>
        <w:left w:val="none" w:sz="0" w:space="0" w:color="auto"/>
        <w:bottom w:val="none" w:sz="0" w:space="0" w:color="auto"/>
        <w:right w:val="none" w:sz="0" w:space="0" w:color="auto"/>
      </w:divBdr>
    </w:div>
    <w:div w:id="1380320390">
      <w:bodyDiv w:val="1"/>
      <w:marLeft w:val="0"/>
      <w:marRight w:val="0"/>
      <w:marTop w:val="0"/>
      <w:marBottom w:val="0"/>
      <w:divBdr>
        <w:top w:val="none" w:sz="0" w:space="0" w:color="auto"/>
        <w:left w:val="none" w:sz="0" w:space="0" w:color="auto"/>
        <w:bottom w:val="none" w:sz="0" w:space="0" w:color="auto"/>
        <w:right w:val="none" w:sz="0" w:space="0" w:color="auto"/>
      </w:divBdr>
    </w:div>
    <w:div w:id="1389375244">
      <w:bodyDiv w:val="1"/>
      <w:marLeft w:val="0"/>
      <w:marRight w:val="0"/>
      <w:marTop w:val="0"/>
      <w:marBottom w:val="0"/>
      <w:divBdr>
        <w:top w:val="none" w:sz="0" w:space="0" w:color="auto"/>
        <w:left w:val="none" w:sz="0" w:space="0" w:color="auto"/>
        <w:bottom w:val="none" w:sz="0" w:space="0" w:color="auto"/>
        <w:right w:val="none" w:sz="0" w:space="0" w:color="auto"/>
      </w:divBdr>
    </w:div>
    <w:div w:id="1400789838">
      <w:bodyDiv w:val="1"/>
      <w:marLeft w:val="0"/>
      <w:marRight w:val="0"/>
      <w:marTop w:val="0"/>
      <w:marBottom w:val="0"/>
      <w:divBdr>
        <w:top w:val="none" w:sz="0" w:space="0" w:color="auto"/>
        <w:left w:val="none" w:sz="0" w:space="0" w:color="auto"/>
        <w:bottom w:val="none" w:sz="0" w:space="0" w:color="auto"/>
        <w:right w:val="none" w:sz="0" w:space="0" w:color="auto"/>
      </w:divBdr>
    </w:div>
    <w:div w:id="1428454733">
      <w:bodyDiv w:val="1"/>
      <w:marLeft w:val="0"/>
      <w:marRight w:val="0"/>
      <w:marTop w:val="0"/>
      <w:marBottom w:val="0"/>
      <w:divBdr>
        <w:top w:val="none" w:sz="0" w:space="0" w:color="auto"/>
        <w:left w:val="none" w:sz="0" w:space="0" w:color="auto"/>
        <w:bottom w:val="none" w:sz="0" w:space="0" w:color="auto"/>
        <w:right w:val="none" w:sz="0" w:space="0" w:color="auto"/>
      </w:divBdr>
    </w:div>
    <w:div w:id="1484538597">
      <w:bodyDiv w:val="1"/>
      <w:marLeft w:val="0"/>
      <w:marRight w:val="0"/>
      <w:marTop w:val="0"/>
      <w:marBottom w:val="0"/>
      <w:divBdr>
        <w:top w:val="none" w:sz="0" w:space="0" w:color="auto"/>
        <w:left w:val="none" w:sz="0" w:space="0" w:color="auto"/>
        <w:bottom w:val="none" w:sz="0" w:space="0" w:color="auto"/>
        <w:right w:val="none" w:sz="0" w:space="0" w:color="auto"/>
      </w:divBdr>
    </w:div>
    <w:div w:id="1497962369">
      <w:bodyDiv w:val="1"/>
      <w:marLeft w:val="0"/>
      <w:marRight w:val="0"/>
      <w:marTop w:val="0"/>
      <w:marBottom w:val="0"/>
      <w:divBdr>
        <w:top w:val="none" w:sz="0" w:space="0" w:color="auto"/>
        <w:left w:val="none" w:sz="0" w:space="0" w:color="auto"/>
        <w:bottom w:val="none" w:sz="0" w:space="0" w:color="auto"/>
        <w:right w:val="none" w:sz="0" w:space="0" w:color="auto"/>
      </w:divBdr>
    </w:div>
    <w:div w:id="1557856767">
      <w:bodyDiv w:val="1"/>
      <w:marLeft w:val="0"/>
      <w:marRight w:val="0"/>
      <w:marTop w:val="0"/>
      <w:marBottom w:val="0"/>
      <w:divBdr>
        <w:top w:val="none" w:sz="0" w:space="0" w:color="auto"/>
        <w:left w:val="none" w:sz="0" w:space="0" w:color="auto"/>
        <w:bottom w:val="none" w:sz="0" w:space="0" w:color="auto"/>
        <w:right w:val="none" w:sz="0" w:space="0" w:color="auto"/>
      </w:divBdr>
    </w:div>
    <w:div w:id="1713000422">
      <w:bodyDiv w:val="1"/>
      <w:marLeft w:val="0"/>
      <w:marRight w:val="0"/>
      <w:marTop w:val="0"/>
      <w:marBottom w:val="0"/>
      <w:divBdr>
        <w:top w:val="none" w:sz="0" w:space="0" w:color="auto"/>
        <w:left w:val="none" w:sz="0" w:space="0" w:color="auto"/>
        <w:bottom w:val="none" w:sz="0" w:space="0" w:color="auto"/>
        <w:right w:val="none" w:sz="0" w:space="0" w:color="auto"/>
      </w:divBdr>
    </w:div>
    <w:div w:id="1779566585">
      <w:bodyDiv w:val="1"/>
      <w:marLeft w:val="0"/>
      <w:marRight w:val="0"/>
      <w:marTop w:val="0"/>
      <w:marBottom w:val="0"/>
      <w:divBdr>
        <w:top w:val="none" w:sz="0" w:space="0" w:color="auto"/>
        <w:left w:val="none" w:sz="0" w:space="0" w:color="auto"/>
        <w:bottom w:val="none" w:sz="0" w:space="0" w:color="auto"/>
        <w:right w:val="none" w:sz="0" w:space="0" w:color="auto"/>
      </w:divBdr>
    </w:div>
    <w:div w:id="1851135429">
      <w:bodyDiv w:val="1"/>
      <w:marLeft w:val="0"/>
      <w:marRight w:val="0"/>
      <w:marTop w:val="0"/>
      <w:marBottom w:val="0"/>
      <w:divBdr>
        <w:top w:val="none" w:sz="0" w:space="0" w:color="auto"/>
        <w:left w:val="none" w:sz="0" w:space="0" w:color="auto"/>
        <w:bottom w:val="none" w:sz="0" w:space="0" w:color="auto"/>
        <w:right w:val="none" w:sz="0" w:space="0" w:color="auto"/>
      </w:divBdr>
    </w:div>
    <w:div w:id="1893731244">
      <w:bodyDiv w:val="1"/>
      <w:marLeft w:val="0"/>
      <w:marRight w:val="0"/>
      <w:marTop w:val="0"/>
      <w:marBottom w:val="0"/>
      <w:divBdr>
        <w:top w:val="none" w:sz="0" w:space="0" w:color="auto"/>
        <w:left w:val="none" w:sz="0" w:space="0" w:color="auto"/>
        <w:bottom w:val="none" w:sz="0" w:space="0" w:color="auto"/>
        <w:right w:val="none" w:sz="0" w:space="0" w:color="auto"/>
      </w:divBdr>
    </w:div>
    <w:div w:id="1946497797">
      <w:bodyDiv w:val="1"/>
      <w:marLeft w:val="0"/>
      <w:marRight w:val="0"/>
      <w:marTop w:val="0"/>
      <w:marBottom w:val="0"/>
      <w:divBdr>
        <w:top w:val="none" w:sz="0" w:space="0" w:color="auto"/>
        <w:left w:val="none" w:sz="0" w:space="0" w:color="auto"/>
        <w:bottom w:val="none" w:sz="0" w:space="0" w:color="auto"/>
        <w:right w:val="none" w:sz="0" w:space="0" w:color="auto"/>
      </w:divBdr>
    </w:div>
    <w:div w:id="1947343821">
      <w:bodyDiv w:val="1"/>
      <w:marLeft w:val="0"/>
      <w:marRight w:val="0"/>
      <w:marTop w:val="0"/>
      <w:marBottom w:val="0"/>
      <w:divBdr>
        <w:top w:val="none" w:sz="0" w:space="0" w:color="auto"/>
        <w:left w:val="none" w:sz="0" w:space="0" w:color="auto"/>
        <w:bottom w:val="none" w:sz="0" w:space="0" w:color="auto"/>
        <w:right w:val="none" w:sz="0" w:space="0" w:color="auto"/>
      </w:divBdr>
    </w:div>
    <w:div w:id="2020814393">
      <w:bodyDiv w:val="1"/>
      <w:marLeft w:val="0"/>
      <w:marRight w:val="0"/>
      <w:marTop w:val="0"/>
      <w:marBottom w:val="0"/>
      <w:divBdr>
        <w:top w:val="none" w:sz="0" w:space="0" w:color="auto"/>
        <w:left w:val="none" w:sz="0" w:space="0" w:color="auto"/>
        <w:bottom w:val="none" w:sz="0" w:space="0" w:color="auto"/>
        <w:right w:val="none" w:sz="0" w:space="0" w:color="auto"/>
      </w:divBdr>
    </w:div>
    <w:div w:id="20412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tnet.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11C98-28E5-47A0-85B6-C543E3B2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19</Pages>
  <Words>5571</Words>
  <Characters>41518</Characters>
  <Application>Microsoft Office Word</Application>
  <DocSecurity>0</DocSecurity>
  <Lines>345</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Danske Bank A/S</Company>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Slotsparken 84 B</dc:creator>
  <cp:keywords/>
  <dc:description/>
  <cp:lastModifiedBy>Lars Bang Hansen</cp:lastModifiedBy>
  <cp:revision>6</cp:revision>
  <cp:lastPrinted>2019-05-20T14:06:00Z</cp:lastPrinted>
  <dcterms:created xsi:type="dcterms:W3CDTF">2019-05-20T08:17:00Z</dcterms:created>
  <dcterms:modified xsi:type="dcterms:W3CDTF">2019-05-21T07:36:00Z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ABAAVOAfoSrQoyyK1x0W7Bm7LuyGNuJeFxawyDB4+jDo6QfXvkLhDmhApVAEFfR9xdkK</vt:lpwstr>
  </property>
  <property fmtid="{D5CDD505-2E9C-101B-9397-08002B2CF9AE}" pid="3" name="MAIL_MSG_ID2">
    <vt:lpwstr>UZT+g4lwyFTgAEdWRYePWT5d9n3P8R9WbkV+k8ggkSqmuDhQQV5d1l1ZBpzv7kcFTw3FuDq9F5yBmgEHWfDpvRqLc/9U6uYbQ==</vt:lpwstr>
  </property>
  <property fmtid="{D5CDD505-2E9C-101B-9397-08002B2CF9AE}" pid="4" name="RESPONSE_SENDER_NAME">
    <vt:lpwstr>gAAAdya76B99d4hLGUR1rQ+8TxTv0GGEPdix</vt:lpwstr>
  </property>
  <property fmtid="{D5CDD505-2E9C-101B-9397-08002B2CF9AE}" pid="5" name="EMAIL_OWNER_ADDRESS">
    <vt:lpwstr>sAAAE9kkUq3pEoIopvWptxCHZRdcwmAyDAkyHBxCaW57+0E=</vt:lpwstr>
  </property>
</Properties>
</file>