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D51102" w:rsidRPr="002A3DCB" w:rsidRDefault="00DD0ABC" w:rsidP="00C83658">
      <w:pPr>
        <w:spacing w:before="0" w:beforeAutospacing="0" w:after="0" w:afterAutospacing="0"/>
        <w:rPr>
          <w:color w:val="1F497D"/>
        </w:rPr>
      </w:pPr>
      <w:r>
        <w:rPr>
          <w:noProof/>
          <w:lang w:val="fr-CH" w:eastAsia="fr-CH"/>
        </w:rPr>
        <mc:AlternateContent>
          <mc:Choice Requires="wps">
            <w:drawing>
              <wp:anchor distT="0" distB="0" distL="114300" distR="114300" simplePos="0" relativeHeight="251667968" behindDoc="0" locked="0" layoutInCell="1" allowOverlap="1" wp14:anchorId="2D4B4CE7" wp14:editId="3CD206DF">
                <wp:simplePos x="0" y="0"/>
                <wp:positionH relativeFrom="column">
                  <wp:posOffset>4227830</wp:posOffset>
                </wp:positionH>
                <wp:positionV relativeFrom="paragraph">
                  <wp:posOffset>-2540</wp:posOffset>
                </wp:positionV>
                <wp:extent cx="1884045" cy="222250"/>
                <wp:effectExtent l="0" t="0" r="1905" b="6350"/>
                <wp:wrapNone/>
                <wp:docPr id="9"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4045" cy="222250"/>
                        </a:xfrm>
                        <a:prstGeom prst="rect">
                          <a:avLst/>
                        </a:prstGeom>
                        <a:solidFill>
                          <a:srgbClr val="548DD4"/>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41216" w:rsidRPr="00023722" w:rsidRDefault="00741216" w:rsidP="00286D9A">
                            <w:pPr>
                              <w:spacing w:before="0" w:beforeAutospacing="0" w:after="0" w:afterAutospacing="0"/>
                              <w:jc w:val="right"/>
                              <w:rPr>
                                <w:b/>
                                <w:smallCaps/>
                                <w:color w:val="FFFFFF"/>
                                <w:sz w:val="18"/>
                                <w:szCs w:val="18"/>
                              </w:rPr>
                            </w:pPr>
                            <w:r>
                              <w:rPr>
                                <w:b/>
                                <w:smallCaps/>
                                <w:color w:val="FFFFFF"/>
                                <w:sz w:val="18"/>
                                <w:szCs w:val="18"/>
                              </w:rPr>
                              <w:t>Lausanne</w:t>
                            </w:r>
                            <w:r w:rsidR="00542C34">
                              <w:rPr>
                                <w:b/>
                                <w:smallCaps/>
                                <w:color w:val="FFFFFF"/>
                                <w:sz w:val="18"/>
                                <w:szCs w:val="18"/>
                              </w:rPr>
                              <w:t xml:space="preserve">, </w:t>
                            </w:r>
                            <w:r w:rsidR="009049A1">
                              <w:rPr>
                                <w:b/>
                                <w:smallCaps/>
                                <w:color w:val="FFFFFF"/>
                                <w:sz w:val="18"/>
                                <w:szCs w:val="18"/>
                              </w:rPr>
                              <w:t>2</w:t>
                            </w:r>
                            <w:r w:rsidR="00F26FA3">
                              <w:rPr>
                                <w:b/>
                                <w:smallCaps/>
                                <w:color w:val="FFFFFF"/>
                                <w:sz w:val="18"/>
                                <w:szCs w:val="18"/>
                              </w:rPr>
                              <w:t>4 March</w:t>
                            </w:r>
                            <w:r w:rsidR="00971435">
                              <w:rPr>
                                <w:b/>
                                <w:smallCaps/>
                                <w:color w:val="FFFFFF"/>
                                <w:sz w:val="18"/>
                                <w:szCs w:val="18"/>
                              </w:rPr>
                              <w:t xml:space="preserve"> </w:t>
                            </w:r>
                            <w:r w:rsidR="00F87579">
                              <w:rPr>
                                <w:b/>
                                <w:smallCaps/>
                                <w:color w:val="FFFFFF"/>
                                <w:sz w:val="18"/>
                                <w:szCs w:val="18"/>
                              </w:rPr>
                              <w:t>202</w:t>
                            </w:r>
                            <w:r w:rsidR="00F26FA3">
                              <w:rPr>
                                <w:b/>
                                <w:smallCaps/>
                                <w:color w:val="FFFFFF"/>
                                <w:sz w:val="18"/>
                                <w:szCs w:val="18"/>
                              </w:rPr>
                              <w:t>3</w:t>
                            </w:r>
                          </w:p>
                          <w:p w:rsidR="00741216" w:rsidRDefault="0074121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4B4CE7" id="_x0000_t202" coordsize="21600,21600" o:spt="202" path="m,l,21600r21600,l21600,xe">
                <v:stroke joinstyle="miter"/>
                <v:path gradientshapeok="t" o:connecttype="rect"/>
              </v:shapetype>
              <v:shape id="Zone de texte 2" o:spid="_x0000_s1026" type="#_x0000_t202" style="position:absolute;left:0;text-align:left;margin-left:332.9pt;margin-top:-.2pt;width:148.35pt;height:17.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" fillcolor="#548dd4" stroked="f">
                <v:textbox>
                  <w:txbxContent>
                    <w:p w:rsidR="00741216" w:rsidRPr="00023722" w:rsidRDefault="00741216" w:rsidP="00286D9A">
                      <w:pPr>
                        <w:spacing w:before="0" w:beforeAutospacing="0" w:after="0" w:afterAutospacing="0"/>
                        <w:jc w:val="right"/>
                        <w:rPr>
                          <w:b/>
                          <w:smallCaps/>
                          <w:color w:val="FFFFFF"/>
                          <w:sz w:val="18"/>
                          <w:szCs w:val="18"/>
                        </w:rPr>
                      </w:pPr>
                      <w:r>
                        <w:rPr>
                          <w:b/>
                          <w:smallCaps/>
                          <w:color w:val="FFFFFF"/>
                          <w:sz w:val="18"/>
                          <w:szCs w:val="18"/>
                        </w:rPr>
                        <w:t>Lausanne</w:t>
                      </w:r>
                      <w:r w:rsidR="00542C34">
                        <w:rPr>
                          <w:b/>
                          <w:smallCaps/>
                          <w:color w:val="FFFFFF"/>
                          <w:sz w:val="18"/>
                          <w:szCs w:val="18"/>
                        </w:rPr>
                        <w:t xml:space="preserve">, </w:t>
                      </w:r>
                      <w:r w:rsidR="009049A1">
                        <w:rPr>
                          <w:b/>
                          <w:smallCaps/>
                          <w:color w:val="FFFFFF"/>
                          <w:sz w:val="18"/>
                          <w:szCs w:val="18"/>
                        </w:rPr>
                        <w:t>2</w:t>
                      </w:r>
                      <w:r w:rsidR="00F26FA3">
                        <w:rPr>
                          <w:b/>
                          <w:smallCaps/>
                          <w:color w:val="FFFFFF"/>
                          <w:sz w:val="18"/>
                          <w:szCs w:val="18"/>
                        </w:rPr>
                        <w:t>4 March</w:t>
                      </w:r>
                      <w:r w:rsidR="00971435">
                        <w:rPr>
                          <w:b/>
                          <w:smallCaps/>
                          <w:color w:val="FFFFFF"/>
                          <w:sz w:val="18"/>
                          <w:szCs w:val="18"/>
                        </w:rPr>
                        <w:t xml:space="preserve"> </w:t>
                      </w:r>
                      <w:r w:rsidR="00F87579">
                        <w:rPr>
                          <w:b/>
                          <w:smallCaps/>
                          <w:color w:val="FFFFFF"/>
                          <w:sz w:val="18"/>
                          <w:szCs w:val="18"/>
                        </w:rPr>
                        <w:t>202</w:t>
                      </w:r>
                      <w:r w:rsidR="00F26FA3">
                        <w:rPr>
                          <w:b/>
                          <w:smallCaps/>
                          <w:color w:val="FFFFFF"/>
                          <w:sz w:val="18"/>
                          <w:szCs w:val="18"/>
                        </w:rPr>
                        <w:t>3</w:t>
                      </w:r>
                    </w:p>
                    <w:p w:rsidR="00741216" w:rsidRDefault="00741216"/>
                  </w:txbxContent>
                </v:textbox>
              </v:shape>
            </w:pict>
          </mc:Fallback>
        </mc:AlternateContent>
      </w:r>
      <w:r>
        <w:rPr>
          <w:noProof/>
          <w:lang w:val="fr-CH" w:eastAsia="fr-CH"/>
        </w:rPr>
        <mc:AlternateContent>
          <mc:Choice Requires="wps">
            <w:drawing>
              <wp:anchor distT="0" distB="0" distL="114300" distR="114300" simplePos="0" relativeHeight="251666944" behindDoc="0" locked="0" layoutInCell="1" allowOverlap="1" wp14:anchorId="6447C752" wp14:editId="30B685A2">
                <wp:simplePos x="0" y="0"/>
                <wp:positionH relativeFrom="column">
                  <wp:posOffset>3042920</wp:posOffset>
                </wp:positionH>
                <wp:positionV relativeFrom="paragraph">
                  <wp:posOffset>-419735</wp:posOffset>
                </wp:positionV>
                <wp:extent cx="3067050" cy="436880"/>
                <wp:effectExtent l="0" t="0" r="0" b="1270"/>
                <wp:wrapNone/>
                <wp:docPr id="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7050" cy="436880"/>
                        </a:xfrm>
                        <a:prstGeom prst="rect">
                          <a:avLst/>
                        </a:prstGeom>
                        <a:solidFill>
                          <a:srgbClr val="1F497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E674A" w:rsidRPr="00023722" w:rsidRDefault="00DE674A" w:rsidP="00DE674A">
                            <w:pPr>
                              <w:jc w:val="right"/>
                              <w:rPr>
                                <w:color w:val="FFFFFF"/>
                                <w:sz w:val="40"/>
                                <w:szCs w:val="40"/>
                              </w:rPr>
                            </w:pPr>
                            <w:r>
                              <w:rPr>
                                <w:color w:val="FFFFFF"/>
                                <w:sz w:val="40"/>
                                <w:szCs w:val="40"/>
                              </w:rPr>
                              <w:t>PRESS RELEASE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47C752" id="Text Box 7" o:spid="_x0000_s1027" type="#_x0000_t202" style="position:absolute;left:0;text-align:left;margin-left:239.6pt;margin-top:-33.05pt;width:241.5pt;height:34.4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" fillcolor="#1f497d" stroked="f">
                <v:textbox>
                  <w:txbxContent>
                    <w:p w:rsidR="00DE674A" w:rsidRPr="00023722" w:rsidRDefault="00DE674A" w:rsidP="00DE674A">
                      <w:pPr>
                        <w:jc w:val="right"/>
                        <w:rPr>
                          <w:color w:val="FFFFFF"/>
                          <w:sz w:val="40"/>
                          <w:szCs w:val="40"/>
                        </w:rPr>
                      </w:pPr>
                      <w:r>
                        <w:rPr>
                          <w:color w:val="FFFFFF"/>
                          <w:sz w:val="40"/>
                          <w:szCs w:val="40"/>
                        </w:rPr>
                        <w:t>PRESS RELEASE</w:t>
                      </w:r>
                    </w:p>
                  </w:txbxContent>
                </v:textbox>
              </v:shape>
            </w:pict>
          </mc:Fallback>
        </mc:AlternateContent>
      </w:r>
      <w:r>
        <w:rPr>
          <w:noProof/>
          <w:lang w:val="fr-CH" w:eastAsia="fr-CH"/>
        </w:rPr>
        <w:drawing>
          <wp:anchor distT="0" distB="0" distL="114300" distR="114300" simplePos="0" relativeHeight="251660800" behindDoc="0" locked="0" layoutInCell="1" allowOverlap="1" wp14:anchorId="605E6164" wp14:editId="1FCB2501">
            <wp:simplePos x="0" y="0"/>
            <wp:positionH relativeFrom="column">
              <wp:posOffset>-17145</wp:posOffset>
            </wp:positionH>
            <wp:positionV relativeFrom="paragraph">
              <wp:posOffset>-596265</wp:posOffset>
            </wp:positionV>
            <wp:extent cx="2849880" cy="1143635"/>
            <wp:effectExtent l="0" t="0" r="7620" b="0"/>
            <wp:wrapNone/>
            <wp:docPr id="10" name="Image 3" descr="LOGO_CFT_BLEU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descr="LOGO_CFT_BLEU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49880" cy="1143635"/>
                    </a:xfrm>
                    <a:prstGeom prst="rect">
                      <a:avLst/>
                    </a:prstGeom>
                    <a:noFill/>
                  </pic:spPr>
                </pic:pic>
              </a:graphicData>
            </a:graphic>
            <wp14:sizeRelH relativeFrom="page">
              <wp14:pctWidth>0</wp14:pctWidth>
            </wp14:sizeRelH>
            <wp14:sizeRelV relativeFrom="page">
              <wp14:pctHeight>0</wp14:pctHeight>
            </wp14:sizeRelV>
          </wp:anchor>
        </w:drawing>
      </w:r>
      <w:r w:rsidR="00D51102" w:rsidRPr="002A3DCB">
        <w:rPr>
          <w:color w:val="1F497D"/>
        </w:rPr>
        <w:tab/>
      </w:r>
      <w:r w:rsidR="00D51102" w:rsidRPr="002A3DCB">
        <w:rPr>
          <w:color w:val="1F497D"/>
        </w:rPr>
        <w:tab/>
      </w:r>
    </w:p>
    <w:p w:rsidR="00D51102" w:rsidRPr="002A3DCB" w:rsidRDefault="00D51102" w:rsidP="00C83658">
      <w:pPr>
        <w:spacing w:before="0" w:beforeAutospacing="0" w:after="0" w:afterAutospacing="0"/>
        <w:rPr>
          <w:color w:val="1F497D"/>
        </w:rPr>
      </w:pPr>
    </w:p>
    <w:p w:rsidR="002E31D5" w:rsidRDefault="002E31D5" w:rsidP="007B02CA">
      <w:pPr>
        <w:spacing w:before="0" w:beforeAutospacing="0" w:after="0" w:afterAutospacing="0"/>
        <w:rPr>
          <w:color w:val="1F497D"/>
        </w:rPr>
      </w:pPr>
    </w:p>
    <w:p w:rsidR="00BE0CE6" w:rsidRDefault="00BE0CE6" w:rsidP="00C83658">
      <w:pPr>
        <w:spacing w:before="0" w:beforeAutospacing="0" w:after="0" w:afterAutospacing="0"/>
        <w:rPr>
          <w:color w:val="1F497D"/>
          <w:lang w:val="en-US"/>
        </w:rPr>
      </w:pPr>
    </w:p>
    <w:p w:rsidR="00B21613" w:rsidRPr="00B21613" w:rsidRDefault="00B21613" w:rsidP="00B21613">
      <w:pPr>
        <w:spacing w:before="0" w:beforeAutospacing="0" w:after="0" w:afterAutospacing="0"/>
        <w:jc w:val="left"/>
        <w:rPr>
          <w:rFonts w:asciiTheme="minorHAnsi" w:hAnsiTheme="minorHAnsi" w:cs="Arial"/>
          <w:bCs/>
          <w:i/>
          <w:lang w:val="en-US"/>
        </w:rPr>
      </w:pPr>
      <w:r w:rsidRPr="00B21613">
        <w:rPr>
          <w:rFonts w:asciiTheme="minorHAnsi" w:hAnsiTheme="minorHAnsi" w:cs="Arial"/>
          <w:bCs/>
          <w:i/>
          <w:lang w:val="en-US"/>
        </w:rPr>
        <w:t>Ad hoc announcement pursuant to Article 53 of the Six Exchange Regulation Listing Rules</w:t>
      </w:r>
    </w:p>
    <w:p w:rsidR="00B21613" w:rsidRPr="00B21613" w:rsidRDefault="00B21613" w:rsidP="00542C34">
      <w:pPr>
        <w:spacing w:before="0" w:beforeAutospacing="0" w:after="0" w:afterAutospacing="0"/>
        <w:jc w:val="center"/>
        <w:rPr>
          <w:rFonts w:asciiTheme="minorHAnsi" w:hAnsiTheme="minorHAnsi" w:cs="Arial"/>
          <w:bCs/>
          <w:sz w:val="36"/>
          <w:szCs w:val="36"/>
          <w:lang w:val="en-US"/>
        </w:rPr>
      </w:pPr>
    </w:p>
    <w:p w:rsidR="00425FFD" w:rsidRDefault="00425FFD" w:rsidP="00425FFD">
      <w:pPr>
        <w:spacing w:before="0" w:beforeAutospacing="0" w:after="0" w:afterAutospacing="0"/>
        <w:jc w:val="center"/>
        <w:rPr>
          <w:rStyle w:val="Emphasis"/>
          <w:rFonts w:asciiTheme="minorHAnsi" w:hAnsiTheme="minorHAnsi"/>
          <w:b/>
          <w:bCs/>
          <w:i w:val="0"/>
          <w:color w:val="000000"/>
          <w:sz w:val="32"/>
          <w:szCs w:val="32"/>
          <w:lang w:val="en-US"/>
        </w:rPr>
      </w:pPr>
    </w:p>
    <w:p w:rsidR="00F26FA3" w:rsidRPr="00FA4BE8" w:rsidRDefault="002D224D" w:rsidP="002D224D">
      <w:pPr>
        <w:spacing w:before="0" w:beforeAutospacing="0" w:after="0" w:afterAutospacing="0"/>
        <w:jc w:val="center"/>
        <w:rPr>
          <w:rFonts w:asciiTheme="minorHAnsi" w:hAnsiTheme="minorHAnsi" w:cs="Arial"/>
          <w:b/>
          <w:bCs/>
          <w:sz w:val="32"/>
          <w:szCs w:val="32"/>
          <w:lang w:val="en-US"/>
        </w:rPr>
      </w:pPr>
      <w:r>
        <w:rPr>
          <w:rFonts w:asciiTheme="minorHAnsi" w:hAnsiTheme="minorHAnsi" w:cs="Arial"/>
          <w:b/>
          <w:bCs/>
          <w:sz w:val="32"/>
          <w:szCs w:val="32"/>
          <w:lang w:val="en-US"/>
        </w:rPr>
        <w:t>Growth of 10.6%</w:t>
      </w:r>
      <w:r w:rsidR="004C0588">
        <w:rPr>
          <w:rFonts w:asciiTheme="minorHAnsi" w:hAnsiTheme="minorHAnsi" w:cs="Arial"/>
          <w:b/>
          <w:bCs/>
          <w:sz w:val="32"/>
          <w:szCs w:val="32"/>
          <w:lang w:val="en-US"/>
        </w:rPr>
        <w:t>*</w:t>
      </w:r>
      <w:r>
        <w:rPr>
          <w:rFonts w:asciiTheme="minorHAnsi" w:hAnsiTheme="minorHAnsi" w:cs="Arial"/>
          <w:b/>
          <w:bCs/>
          <w:sz w:val="32"/>
          <w:szCs w:val="32"/>
          <w:lang w:val="en-US"/>
        </w:rPr>
        <w:t xml:space="preserve"> in a</w:t>
      </w:r>
      <w:r w:rsidR="00F26FA3">
        <w:rPr>
          <w:rFonts w:asciiTheme="minorHAnsi" w:hAnsiTheme="minorHAnsi" w:cs="Arial"/>
          <w:b/>
          <w:bCs/>
          <w:sz w:val="32"/>
          <w:szCs w:val="32"/>
          <w:lang w:val="en-US"/>
        </w:rPr>
        <w:t xml:space="preserve">djusted </w:t>
      </w:r>
      <w:r w:rsidR="00F26FA3" w:rsidRPr="00FA4BE8">
        <w:rPr>
          <w:rFonts w:asciiTheme="minorHAnsi" w:hAnsiTheme="minorHAnsi" w:cs="Arial"/>
          <w:b/>
          <w:bCs/>
          <w:sz w:val="32"/>
          <w:szCs w:val="32"/>
          <w:lang w:val="en-US"/>
        </w:rPr>
        <w:t xml:space="preserve">revenue </w:t>
      </w:r>
      <w:r>
        <w:rPr>
          <w:rFonts w:asciiTheme="minorHAnsi" w:hAnsiTheme="minorHAnsi" w:cs="Arial"/>
          <w:b/>
          <w:bCs/>
          <w:sz w:val="32"/>
          <w:szCs w:val="32"/>
          <w:lang w:val="en-US"/>
        </w:rPr>
        <w:t xml:space="preserve">to </w:t>
      </w:r>
      <w:r w:rsidR="00F26FA3" w:rsidRPr="00FA4BE8">
        <w:rPr>
          <w:rFonts w:asciiTheme="minorHAnsi" w:hAnsiTheme="minorHAnsi" w:cs="Arial"/>
          <w:b/>
          <w:bCs/>
          <w:sz w:val="32"/>
          <w:szCs w:val="32"/>
          <w:lang w:val="en-US"/>
        </w:rPr>
        <w:t>CHF 1,028.6m in 2022</w:t>
      </w:r>
      <w:r>
        <w:rPr>
          <w:rFonts w:asciiTheme="minorHAnsi" w:hAnsiTheme="minorHAnsi" w:cs="Arial"/>
          <w:b/>
          <w:bCs/>
          <w:sz w:val="32"/>
          <w:szCs w:val="32"/>
          <w:lang w:val="en-US"/>
        </w:rPr>
        <w:t xml:space="preserve"> </w:t>
      </w:r>
    </w:p>
    <w:p w:rsidR="009049A1" w:rsidRPr="007B1C53" w:rsidRDefault="009049A1" w:rsidP="009049A1">
      <w:pPr>
        <w:spacing w:before="0" w:beforeAutospacing="0" w:after="0" w:afterAutospacing="0"/>
        <w:jc w:val="center"/>
        <w:rPr>
          <w:rStyle w:val="Emphasis"/>
          <w:rFonts w:asciiTheme="minorHAnsi" w:hAnsiTheme="minorHAnsi"/>
          <w:b/>
          <w:bCs/>
          <w:i w:val="0"/>
          <w:color w:val="000000"/>
          <w:sz w:val="32"/>
          <w:szCs w:val="32"/>
          <w:lang w:val="en-US"/>
        </w:rPr>
      </w:pPr>
    </w:p>
    <w:p w:rsidR="00425FFD" w:rsidRDefault="00425FFD" w:rsidP="007867BD">
      <w:pPr>
        <w:spacing w:before="0" w:beforeAutospacing="0" w:after="0" w:afterAutospacing="0"/>
        <w:jc w:val="center"/>
        <w:rPr>
          <w:rStyle w:val="Emphasis"/>
          <w:rFonts w:asciiTheme="minorHAnsi" w:hAnsiTheme="minorHAnsi"/>
          <w:b/>
          <w:bCs/>
          <w:i w:val="0"/>
          <w:color w:val="000000"/>
          <w:sz w:val="32"/>
          <w:szCs w:val="32"/>
          <w:lang w:val="en-US"/>
        </w:rPr>
      </w:pPr>
      <w:r>
        <w:rPr>
          <w:rStyle w:val="Emphasis"/>
          <w:rFonts w:asciiTheme="minorHAnsi" w:hAnsiTheme="minorHAnsi"/>
          <w:b/>
          <w:bCs/>
          <w:i w:val="0"/>
          <w:color w:val="000000"/>
          <w:sz w:val="32"/>
          <w:szCs w:val="32"/>
          <w:lang w:val="en-US"/>
        </w:rPr>
        <w:t>Adjusted operating profit before</w:t>
      </w:r>
      <w:r w:rsidRPr="008E0601">
        <w:rPr>
          <w:rStyle w:val="Emphasis"/>
          <w:rFonts w:asciiTheme="minorHAnsi" w:hAnsiTheme="minorHAnsi"/>
          <w:b/>
          <w:bCs/>
          <w:i w:val="0"/>
          <w:color w:val="000000"/>
          <w:sz w:val="32"/>
          <w:szCs w:val="32"/>
          <w:lang w:val="en-US"/>
        </w:rPr>
        <w:t xml:space="preserve"> exceptional items</w:t>
      </w:r>
      <w:r>
        <w:rPr>
          <w:rStyle w:val="Emphasis"/>
          <w:rFonts w:asciiTheme="minorHAnsi" w:hAnsiTheme="minorHAnsi"/>
          <w:b/>
          <w:bCs/>
          <w:i w:val="0"/>
          <w:color w:val="000000"/>
          <w:sz w:val="32"/>
          <w:szCs w:val="32"/>
          <w:lang w:val="en-US"/>
        </w:rPr>
        <w:t xml:space="preserve"> </w:t>
      </w:r>
      <w:r w:rsidR="007867BD">
        <w:rPr>
          <w:rStyle w:val="Emphasis"/>
          <w:rFonts w:asciiTheme="minorHAnsi" w:hAnsiTheme="minorHAnsi"/>
          <w:b/>
          <w:bCs/>
          <w:i w:val="0"/>
          <w:color w:val="000000"/>
          <w:sz w:val="32"/>
          <w:szCs w:val="32"/>
          <w:lang w:val="en-US"/>
        </w:rPr>
        <w:t>increase by</w:t>
      </w:r>
      <w:r w:rsidR="00AC6F30">
        <w:rPr>
          <w:rStyle w:val="Emphasis"/>
          <w:rFonts w:asciiTheme="minorHAnsi" w:hAnsiTheme="minorHAnsi"/>
          <w:b/>
          <w:bCs/>
          <w:i w:val="0"/>
          <w:color w:val="000000"/>
          <w:sz w:val="32"/>
          <w:szCs w:val="32"/>
          <w:lang w:val="en-US"/>
        </w:rPr>
        <w:t xml:space="preserve"> </w:t>
      </w:r>
      <w:r w:rsidR="007867BD">
        <w:rPr>
          <w:rStyle w:val="Emphasis"/>
          <w:rFonts w:asciiTheme="minorHAnsi" w:hAnsiTheme="minorHAnsi"/>
          <w:b/>
          <w:bCs/>
          <w:i w:val="0"/>
          <w:color w:val="000000"/>
          <w:sz w:val="32"/>
          <w:szCs w:val="32"/>
          <w:lang w:val="en-US"/>
        </w:rPr>
        <w:t>34.0%</w:t>
      </w:r>
      <w:r w:rsidR="004C0588">
        <w:rPr>
          <w:rStyle w:val="Emphasis"/>
          <w:rFonts w:asciiTheme="minorHAnsi" w:hAnsiTheme="minorHAnsi"/>
          <w:b/>
          <w:bCs/>
          <w:i w:val="0"/>
          <w:color w:val="000000"/>
          <w:sz w:val="32"/>
          <w:szCs w:val="32"/>
          <w:lang w:val="en-US"/>
        </w:rPr>
        <w:t>*</w:t>
      </w:r>
      <w:r w:rsidR="007867BD">
        <w:rPr>
          <w:rStyle w:val="Emphasis"/>
          <w:rFonts w:asciiTheme="minorHAnsi" w:hAnsiTheme="minorHAnsi"/>
          <w:b/>
          <w:bCs/>
          <w:i w:val="0"/>
          <w:color w:val="000000"/>
          <w:sz w:val="32"/>
          <w:szCs w:val="32"/>
          <w:lang w:val="en-US"/>
        </w:rPr>
        <w:t xml:space="preserve"> to </w:t>
      </w:r>
      <w:r>
        <w:rPr>
          <w:rStyle w:val="Emphasis"/>
          <w:rFonts w:asciiTheme="minorHAnsi" w:hAnsiTheme="minorHAnsi"/>
          <w:b/>
          <w:bCs/>
          <w:i w:val="0"/>
          <w:color w:val="000000"/>
          <w:sz w:val="32"/>
          <w:szCs w:val="32"/>
          <w:lang w:val="en-US"/>
        </w:rPr>
        <w:t xml:space="preserve">CHF </w:t>
      </w:r>
      <w:r w:rsidR="00E7472F">
        <w:rPr>
          <w:rStyle w:val="Emphasis"/>
          <w:rFonts w:asciiTheme="minorHAnsi" w:hAnsiTheme="minorHAnsi"/>
          <w:b/>
          <w:bCs/>
          <w:i w:val="0"/>
          <w:color w:val="000000"/>
          <w:sz w:val="32"/>
          <w:szCs w:val="32"/>
          <w:lang w:val="en-US"/>
        </w:rPr>
        <w:t>130.3</w:t>
      </w:r>
      <w:r>
        <w:rPr>
          <w:rStyle w:val="Emphasis"/>
          <w:rFonts w:asciiTheme="minorHAnsi" w:hAnsiTheme="minorHAnsi"/>
          <w:b/>
          <w:bCs/>
          <w:i w:val="0"/>
          <w:color w:val="000000"/>
          <w:sz w:val="32"/>
          <w:szCs w:val="32"/>
          <w:lang w:val="en-US"/>
        </w:rPr>
        <w:t>m</w:t>
      </w:r>
      <w:r w:rsidR="009049A1">
        <w:rPr>
          <w:rStyle w:val="Emphasis"/>
          <w:rFonts w:asciiTheme="minorHAnsi" w:hAnsiTheme="minorHAnsi"/>
          <w:b/>
          <w:bCs/>
          <w:i w:val="0"/>
          <w:color w:val="000000"/>
          <w:sz w:val="32"/>
          <w:szCs w:val="32"/>
          <w:lang w:val="en-US"/>
        </w:rPr>
        <w:t>, for a</w:t>
      </w:r>
      <w:r w:rsidR="00AC6F30">
        <w:rPr>
          <w:rStyle w:val="Emphasis"/>
          <w:rFonts w:asciiTheme="minorHAnsi" w:hAnsiTheme="minorHAnsi"/>
          <w:b/>
          <w:bCs/>
          <w:i w:val="0"/>
          <w:color w:val="000000"/>
          <w:sz w:val="32"/>
          <w:szCs w:val="32"/>
          <w:lang w:val="en-US"/>
        </w:rPr>
        <w:t xml:space="preserve"> </w:t>
      </w:r>
      <w:r w:rsidR="009049A1">
        <w:rPr>
          <w:rStyle w:val="Emphasis"/>
          <w:rFonts w:asciiTheme="minorHAnsi" w:hAnsiTheme="minorHAnsi"/>
          <w:b/>
          <w:bCs/>
          <w:i w:val="0"/>
          <w:color w:val="000000"/>
          <w:sz w:val="32"/>
          <w:szCs w:val="32"/>
          <w:lang w:val="en-US"/>
        </w:rPr>
        <w:t>margin of 1</w:t>
      </w:r>
      <w:r w:rsidR="00E7472F">
        <w:rPr>
          <w:rStyle w:val="Emphasis"/>
          <w:rFonts w:asciiTheme="minorHAnsi" w:hAnsiTheme="minorHAnsi"/>
          <w:b/>
          <w:bCs/>
          <w:i w:val="0"/>
          <w:color w:val="000000"/>
          <w:sz w:val="32"/>
          <w:szCs w:val="32"/>
          <w:lang w:val="en-US"/>
        </w:rPr>
        <w:t>2.7</w:t>
      </w:r>
      <w:r w:rsidR="009049A1">
        <w:rPr>
          <w:rStyle w:val="Emphasis"/>
          <w:rFonts w:asciiTheme="minorHAnsi" w:hAnsiTheme="minorHAnsi"/>
          <w:b/>
          <w:bCs/>
          <w:i w:val="0"/>
          <w:color w:val="000000"/>
          <w:sz w:val="32"/>
          <w:szCs w:val="32"/>
          <w:lang w:val="en-US"/>
        </w:rPr>
        <w:t>%</w:t>
      </w:r>
    </w:p>
    <w:p w:rsidR="00425FFD" w:rsidRDefault="00425FFD" w:rsidP="00425FFD">
      <w:pPr>
        <w:spacing w:before="0" w:beforeAutospacing="0" w:after="0" w:afterAutospacing="0"/>
        <w:jc w:val="center"/>
        <w:rPr>
          <w:rStyle w:val="Emphasis"/>
          <w:rFonts w:asciiTheme="minorHAnsi" w:hAnsiTheme="minorHAnsi"/>
          <w:b/>
          <w:bCs/>
          <w:i w:val="0"/>
          <w:color w:val="000000"/>
          <w:sz w:val="32"/>
          <w:szCs w:val="32"/>
          <w:lang w:val="en-US"/>
        </w:rPr>
      </w:pPr>
    </w:p>
    <w:p w:rsidR="00E01E3B" w:rsidRDefault="00E01E3B" w:rsidP="00425FFD">
      <w:pPr>
        <w:spacing w:before="0" w:beforeAutospacing="0" w:after="0" w:afterAutospacing="0"/>
        <w:jc w:val="center"/>
        <w:rPr>
          <w:rFonts w:asciiTheme="minorHAnsi" w:hAnsiTheme="minorHAnsi" w:cstheme="minorHAnsi"/>
          <w:b/>
          <w:sz w:val="32"/>
          <w:szCs w:val="32"/>
          <w:lang w:val="en-US"/>
        </w:rPr>
      </w:pPr>
      <w:r>
        <w:rPr>
          <w:rFonts w:asciiTheme="minorHAnsi" w:hAnsiTheme="minorHAnsi" w:cstheme="minorHAnsi"/>
          <w:b/>
          <w:sz w:val="32"/>
          <w:szCs w:val="32"/>
          <w:lang w:val="en-US"/>
        </w:rPr>
        <w:t xml:space="preserve">Profit before tax </w:t>
      </w:r>
      <w:r w:rsidR="00AC6F30">
        <w:rPr>
          <w:rFonts w:asciiTheme="minorHAnsi" w:hAnsiTheme="minorHAnsi" w:cstheme="minorHAnsi"/>
          <w:b/>
          <w:sz w:val="32"/>
          <w:szCs w:val="32"/>
          <w:lang w:val="en-US"/>
        </w:rPr>
        <w:t xml:space="preserve">of </w:t>
      </w:r>
      <w:r w:rsidR="00C10570">
        <w:rPr>
          <w:rFonts w:asciiTheme="minorHAnsi" w:hAnsiTheme="minorHAnsi" w:cstheme="minorHAnsi"/>
          <w:b/>
          <w:sz w:val="32"/>
          <w:szCs w:val="32"/>
          <w:lang w:val="en-US"/>
        </w:rPr>
        <w:t>CHF 120.1m</w:t>
      </w:r>
      <w:r w:rsidR="00AC6F30">
        <w:rPr>
          <w:rFonts w:asciiTheme="minorHAnsi" w:hAnsiTheme="minorHAnsi" w:cstheme="minorHAnsi"/>
          <w:b/>
          <w:sz w:val="32"/>
          <w:szCs w:val="32"/>
          <w:lang w:val="en-US"/>
        </w:rPr>
        <w:t>, up 44.6%</w:t>
      </w:r>
      <w:r w:rsidR="004C0588">
        <w:rPr>
          <w:rFonts w:asciiTheme="minorHAnsi" w:hAnsiTheme="minorHAnsi" w:cstheme="minorHAnsi"/>
          <w:b/>
          <w:sz w:val="32"/>
          <w:szCs w:val="32"/>
          <w:lang w:val="en-US"/>
        </w:rPr>
        <w:t>*</w:t>
      </w:r>
    </w:p>
    <w:p w:rsidR="00E01E3B" w:rsidRDefault="00E01E3B" w:rsidP="00425FFD">
      <w:pPr>
        <w:spacing w:before="0" w:beforeAutospacing="0" w:after="0" w:afterAutospacing="0"/>
        <w:jc w:val="center"/>
        <w:rPr>
          <w:rFonts w:asciiTheme="minorHAnsi" w:hAnsiTheme="minorHAnsi" w:cstheme="minorHAnsi"/>
          <w:b/>
          <w:sz w:val="32"/>
          <w:szCs w:val="32"/>
          <w:lang w:val="en-US"/>
        </w:rPr>
      </w:pPr>
    </w:p>
    <w:p w:rsidR="00425FFD" w:rsidRDefault="00425FFD" w:rsidP="00425FFD">
      <w:pPr>
        <w:spacing w:before="0" w:beforeAutospacing="0" w:after="0" w:afterAutospacing="0"/>
        <w:jc w:val="center"/>
        <w:rPr>
          <w:rFonts w:asciiTheme="minorHAnsi" w:hAnsiTheme="minorHAnsi" w:cstheme="minorHAnsi"/>
          <w:b/>
          <w:sz w:val="32"/>
          <w:szCs w:val="32"/>
          <w:lang w:val="en-US"/>
        </w:rPr>
      </w:pPr>
      <w:r>
        <w:rPr>
          <w:rFonts w:asciiTheme="minorHAnsi" w:hAnsiTheme="minorHAnsi" w:cstheme="minorHAnsi"/>
          <w:b/>
          <w:sz w:val="32"/>
          <w:szCs w:val="32"/>
          <w:lang w:val="en-US"/>
        </w:rPr>
        <w:t>N</w:t>
      </w:r>
      <w:r w:rsidRPr="009372FC">
        <w:rPr>
          <w:rFonts w:asciiTheme="minorHAnsi" w:hAnsiTheme="minorHAnsi" w:cstheme="minorHAnsi"/>
          <w:b/>
          <w:sz w:val="32"/>
          <w:szCs w:val="32"/>
          <w:lang w:val="en-US"/>
        </w:rPr>
        <w:t>et profit Group share</w:t>
      </w:r>
      <w:r>
        <w:rPr>
          <w:rFonts w:asciiTheme="minorHAnsi" w:hAnsiTheme="minorHAnsi" w:cstheme="minorHAnsi"/>
          <w:b/>
          <w:sz w:val="32"/>
          <w:szCs w:val="32"/>
          <w:lang w:val="en-US"/>
        </w:rPr>
        <w:t xml:space="preserve"> </w:t>
      </w:r>
      <w:r w:rsidR="009049A1">
        <w:rPr>
          <w:rFonts w:asciiTheme="minorHAnsi" w:hAnsiTheme="minorHAnsi" w:cstheme="minorHAnsi"/>
          <w:b/>
          <w:sz w:val="32"/>
          <w:szCs w:val="32"/>
          <w:lang w:val="en-US"/>
        </w:rPr>
        <w:t xml:space="preserve">up </w:t>
      </w:r>
      <w:r w:rsidR="00E7472F">
        <w:rPr>
          <w:rFonts w:asciiTheme="minorHAnsi" w:hAnsiTheme="minorHAnsi" w:cstheme="minorHAnsi"/>
          <w:b/>
          <w:sz w:val="32"/>
          <w:szCs w:val="32"/>
          <w:lang w:val="en-US"/>
        </w:rPr>
        <w:t>40.3</w:t>
      </w:r>
      <w:r w:rsidR="009049A1">
        <w:rPr>
          <w:rFonts w:asciiTheme="minorHAnsi" w:hAnsiTheme="minorHAnsi" w:cstheme="minorHAnsi"/>
          <w:b/>
          <w:sz w:val="32"/>
          <w:szCs w:val="32"/>
          <w:lang w:val="en-US"/>
        </w:rPr>
        <w:t>%</w:t>
      </w:r>
      <w:r w:rsidR="004C0588">
        <w:rPr>
          <w:rFonts w:asciiTheme="minorHAnsi" w:hAnsiTheme="minorHAnsi" w:cstheme="minorHAnsi"/>
          <w:b/>
          <w:sz w:val="32"/>
          <w:szCs w:val="32"/>
          <w:lang w:val="en-US"/>
        </w:rPr>
        <w:t>*</w:t>
      </w:r>
      <w:r w:rsidR="009049A1">
        <w:rPr>
          <w:rFonts w:asciiTheme="minorHAnsi" w:hAnsiTheme="minorHAnsi" w:cstheme="minorHAnsi"/>
          <w:b/>
          <w:sz w:val="32"/>
          <w:szCs w:val="32"/>
          <w:lang w:val="en-US"/>
        </w:rPr>
        <w:t xml:space="preserve"> to </w:t>
      </w:r>
      <w:r w:rsidRPr="009372FC">
        <w:rPr>
          <w:rFonts w:asciiTheme="minorHAnsi" w:hAnsiTheme="minorHAnsi" w:cstheme="minorHAnsi"/>
          <w:b/>
          <w:sz w:val="32"/>
          <w:szCs w:val="32"/>
          <w:lang w:val="en-US"/>
        </w:rPr>
        <w:t xml:space="preserve">CHF </w:t>
      </w:r>
      <w:r w:rsidR="00E7472F">
        <w:rPr>
          <w:rFonts w:asciiTheme="minorHAnsi" w:hAnsiTheme="minorHAnsi" w:cstheme="minorHAnsi"/>
          <w:b/>
          <w:sz w:val="32"/>
          <w:szCs w:val="32"/>
          <w:lang w:val="en-US"/>
        </w:rPr>
        <w:t>89</w:t>
      </w:r>
      <w:r w:rsidR="009049A1">
        <w:rPr>
          <w:rFonts w:asciiTheme="minorHAnsi" w:hAnsiTheme="minorHAnsi" w:cstheme="minorHAnsi"/>
          <w:b/>
          <w:sz w:val="32"/>
          <w:szCs w:val="32"/>
          <w:lang w:val="en-US"/>
        </w:rPr>
        <w:t>.1</w:t>
      </w:r>
      <w:r>
        <w:rPr>
          <w:rFonts w:asciiTheme="minorHAnsi" w:hAnsiTheme="minorHAnsi" w:cstheme="minorHAnsi"/>
          <w:b/>
          <w:sz w:val="32"/>
          <w:szCs w:val="32"/>
          <w:lang w:val="en-US"/>
        </w:rPr>
        <w:t>m</w:t>
      </w:r>
    </w:p>
    <w:p w:rsidR="00F26FA3" w:rsidRDefault="00F26FA3" w:rsidP="00425FFD">
      <w:pPr>
        <w:spacing w:before="0" w:beforeAutospacing="0" w:after="0" w:afterAutospacing="0"/>
        <w:jc w:val="center"/>
        <w:rPr>
          <w:rFonts w:asciiTheme="minorHAnsi" w:hAnsiTheme="minorHAnsi" w:cstheme="minorHAnsi"/>
          <w:b/>
          <w:sz w:val="32"/>
          <w:szCs w:val="32"/>
          <w:lang w:val="en-US"/>
        </w:rPr>
      </w:pPr>
    </w:p>
    <w:p w:rsidR="00E7472F" w:rsidRDefault="00F26FA3" w:rsidP="00F26FA3">
      <w:pPr>
        <w:spacing w:before="0" w:beforeAutospacing="0" w:after="0" w:afterAutospacing="0"/>
        <w:jc w:val="center"/>
        <w:rPr>
          <w:rFonts w:asciiTheme="minorHAnsi" w:hAnsiTheme="minorHAnsi" w:cstheme="minorHAnsi"/>
          <w:b/>
          <w:sz w:val="32"/>
          <w:szCs w:val="32"/>
          <w:lang w:val="en-US"/>
        </w:rPr>
      </w:pPr>
      <w:r>
        <w:rPr>
          <w:rFonts w:asciiTheme="minorHAnsi" w:hAnsiTheme="minorHAnsi" w:cstheme="minorHAnsi"/>
          <w:b/>
          <w:sz w:val="32"/>
          <w:szCs w:val="32"/>
          <w:lang w:val="en-US"/>
        </w:rPr>
        <w:t xml:space="preserve">Cash dividend </w:t>
      </w:r>
      <w:r w:rsidR="00E7472F">
        <w:rPr>
          <w:rFonts w:asciiTheme="minorHAnsi" w:hAnsiTheme="minorHAnsi" w:cstheme="minorHAnsi"/>
          <w:b/>
          <w:sz w:val="32"/>
          <w:szCs w:val="32"/>
          <w:lang w:val="en-US"/>
        </w:rPr>
        <w:t xml:space="preserve">up 10% to </w:t>
      </w:r>
      <w:r>
        <w:rPr>
          <w:rFonts w:asciiTheme="minorHAnsi" w:hAnsiTheme="minorHAnsi" w:cstheme="minorHAnsi"/>
          <w:b/>
          <w:sz w:val="32"/>
          <w:szCs w:val="32"/>
          <w:lang w:val="en-US"/>
        </w:rPr>
        <w:t>CHF 5.</w:t>
      </w:r>
      <w:r w:rsidR="00E7472F">
        <w:rPr>
          <w:rFonts w:asciiTheme="minorHAnsi" w:hAnsiTheme="minorHAnsi" w:cstheme="minorHAnsi"/>
          <w:b/>
          <w:sz w:val="32"/>
          <w:szCs w:val="32"/>
          <w:lang w:val="en-US"/>
        </w:rPr>
        <w:t>50</w:t>
      </w:r>
      <w:r>
        <w:rPr>
          <w:rFonts w:asciiTheme="minorHAnsi" w:hAnsiTheme="minorHAnsi" w:cstheme="minorHAnsi"/>
          <w:b/>
          <w:sz w:val="32"/>
          <w:szCs w:val="32"/>
          <w:lang w:val="en-US"/>
        </w:rPr>
        <w:t xml:space="preserve"> per share; </w:t>
      </w:r>
    </w:p>
    <w:p w:rsidR="00F26FA3" w:rsidRDefault="00F26FA3" w:rsidP="00F26FA3">
      <w:pPr>
        <w:spacing w:before="0" w:beforeAutospacing="0" w:after="0" w:afterAutospacing="0"/>
        <w:jc w:val="center"/>
        <w:rPr>
          <w:rFonts w:asciiTheme="minorHAnsi" w:hAnsiTheme="minorHAnsi" w:cstheme="minorHAnsi"/>
          <w:b/>
          <w:sz w:val="32"/>
          <w:szCs w:val="32"/>
          <w:lang w:val="en-US"/>
        </w:rPr>
      </w:pPr>
      <w:r w:rsidRPr="0067711C">
        <w:rPr>
          <w:rStyle w:val="Emphasis"/>
          <w:rFonts w:asciiTheme="minorHAnsi" w:hAnsiTheme="minorHAnsi"/>
          <w:b/>
          <w:bCs/>
          <w:i w:val="0"/>
          <w:color w:val="000000"/>
          <w:sz w:val="32"/>
          <w:szCs w:val="32"/>
          <w:lang w:val="en-US"/>
        </w:rPr>
        <w:t>distribution of treasury shares (1:</w:t>
      </w:r>
      <w:r w:rsidRPr="00182D72">
        <w:rPr>
          <w:rStyle w:val="Emphasis"/>
          <w:rFonts w:asciiTheme="minorHAnsi" w:hAnsiTheme="minorHAnsi"/>
          <w:b/>
          <w:bCs/>
          <w:i w:val="0"/>
          <w:color w:val="000000"/>
          <w:sz w:val="32"/>
          <w:szCs w:val="32"/>
          <w:lang w:val="en-US"/>
        </w:rPr>
        <w:t>100</w:t>
      </w:r>
      <w:r w:rsidRPr="0067711C">
        <w:rPr>
          <w:rStyle w:val="Emphasis"/>
          <w:rFonts w:asciiTheme="minorHAnsi" w:hAnsiTheme="minorHAnsi"/>
          <w:b/>
          <w:bCs/>
          <w:i w:val="0"/>
          <w:color w:val="000000"/>
          <w:sz w:val="32"/>
          <w:szCs w:val="32"/>
          <w:lang w:val="en-US"/>
        </w:rPr>
        <w:t>)</w:t>
      </w:r>
    </w:p>
    <w:p w:rsidR="00425FFD" w:rsidRDefault="00425FFD" w:rsidP="00425FFD">
      <w:pPr>
        <w:spacing w:before="0" w:beforeAutospacing="0" w:after="0" w:afterAutospacing="0"/>
        <w:rPr>
          <w:rFonts w:asciiTheme="minorHAnsi" w:hAnsiTheme="minorHAnsi" w:cstheme="minorHAnsi"/>
          <w:b/>
          <w:sz w:val="32"/>
          <w:szCs w:val="32"/>
          <w:lang w:val="en-US"/>
        </w:rPr>
      </w:pPr>
    </w:p>
    <w:p w:rsidR="00C10570" w:rsidRDefault="00C10570" w:rsidP="008F3C58">
      <w:pPr>
        <w:spacing w:before="0" w:beforeAutospacing="0" w:after="0" w:afterAutospacing="0"/>
        <w:jc w:val="center"/>
        <w:rPr>
          <w:rFonts w:asciiTheme="minorHAnsi" w:hAnsiTheme="minorHAnsi" w:cstheme="minorHAnsi"/>
          <w:b/>
          <w:sz w:val="32"/>
          <w:szCs w:val="32"/>
          <w:lang w:val="en-US"/>
        </w:rPr>
      </w:pPr>
      <w:r>
        <w:rPr>
          <w:rFonts w:asciiTheme="minorHAnsi" w:hAnsiTheme="minorHAnsi" w:cstheme="minorHAnsi"/>
          <w:b/>
          <w:sz w:val="32"/>
          <w:szCs w:val="32"/>
          <w:lang w:val="en-US"/>
        </w:rPr>
        <w:t>Activity growing by more than 10%</w:t>
      </w:r>
      <w:r w:rsidR="004C0588">
        <w:rPr>
          <w:rFonts w:asciiTheme="minorHAnsi" w:hAnsiTheme="minorHAnsi" w:cstheme="minorHAnsi"/>
          <w:b/>
          <w:sz w:val="32"/>
          <w:szCs w:val="32"/>
          <w:lang w:val="en-US"/>
        </w:rPr>
        <w:t>*</w:t>
      </w:r>
      <w:r>
        <w:rPr>
          <w:rFonts w:asciiTheme="minorHAnsi" w:hAnsiTheme="minorHAnsi" w:cstheme="minorHAnsi"/>
          <w:b/>
          <w:sz w:val="32"/>
          <w:szCs w:val="32"/>
          <w:lang w:val="en-US"/>
        </w:rPr>
        <w:t xml:space="preserve"> </w:t>
      </w:r>
      <w:r w:rsidR="003F26DF">
        <w:rPr>
          <w:rFonts w:asciiTheme="minorHAnsi" w:hAnsiTheme="minorHAnsi" w:cstheme="minorHAnsi"/>
          <w:b/>
          <w:sz w:val="32"/>
          <w:szCs w:val="32"/>
          <w:lang w:val="en-US"/>
        </w:rPr>
        <w:t>in 2023 year to date</w:t>
      </w:r>
    </w:p>
    <w:p w:rsidR="004C0588" w:rsidRPr="004C0588" w:rsidRDefault="004C0588" w:rsidP="008F3C58">
      <w:pPr>
        <w:spacing w:before="0" w:beforeAutospacing="0" w:after="0" w:afterAutospacing="0"/>
        <w:jc w:val="center"/>
        <w:rPr>
          <w:rFonts w:asciiTheme="minorHAnsi" w:hAnsiTheme="minorHAnsi" w:cstheme="minorHAnsi"/>
          <w:b/>
          <w:sz w:val="20"/>
          <w:szCs w:val="32"/>
          <w:lang w:val="en-US"/>
        </w:rPr>
      </w:pPr>
    </w:p>
    <w:p w:rsidR="004C0588" w:rsidRDefault="004C0588" w:rsidP="004C0588">
      <w:pPr>
        <w:spacing w:before="0" w:beforeAutospacing="0" w:after="0" w:afterAutospacing="0"/>
        <w:jc w:val="left"/>
        <w:rPr>
          <w:rFonts w:asciiTheme="minorHAnsi" w:hAnsiTheme="minorHAnsi" w:cstheme="minorHAnsi"/>
          <w:bCs/>
          <w:i/>
          <w:sz w:val="16"/>
          <w:szCs w:val="16"/>
          <w:lang w:val="en-US"/>
        </w:rPr>
      </w:pPr>
      <w:r w:rsidRPr="004C0588">
        <w:rPr>
          <w:rFonts w:asciiTheme="minorHAnsi" w:hAnsiTheme="minorHAnsi" w:cstheme="minorHAnsi"/>
          <w:bCs/>
          <w:i/>
          <w:sz w:val="16"/>
          <w:szCs w:val="16"/>
          <w:lang w:val="en-US"/>
        </w:rPr>
        <w:t>*</w:t>
      </w:r>
      <w:r>
        <w:rPr>
          <w:rFonts w:asciiTheme="minorHAnsi" w:hAnsiTheme="minorHAnsi" w:cstheme="minorHAnsi"/>
          <w:bCs/>
          <w:i/>
          <w:sz w:val="16"/>
          <w:szCs w:val="16"/>
          <w:lang w:val="en-US"/>
        </w:rPr>
        <w:t xml:space="preserve"> </w:t>
      </w:r>
      <w:r w:rsidRPr="004C0588">
        <w:rPr>
          <w:rFonts w:asciiTheme="minorHAnsi" w:hAnsiTheme="minorHAnsi" w:cstheme="minorHAnsi"/>
          <w:bCs/>
          <w:i/>
          <w:sz w:val="16"/>
          <w:szCs w:val="16"/>
          <w:lang w:val="en-US"/>
        </w:rPr>
        <w:t>Variation in constant currencies</w:t>
      </w:r>
    </w:p>
    <w:p w:rsidR="00425FFD" w:rsidRPr="004C0588" w:rsidRDefault="004C0588" w:rsidP="004C0588">
      <w:pPr>
        <w:spacing w:before="0" w:beforeAutospacing="0" w:after="0" w:afterAutospacing="0"/>
        <w:jc w:val="left"/>
        <w:rPr>
          <w:rFonts w:asciiTheme="minorHAnsi" w:hAnsiTheme="minorHAnsi" w:cstheme="minorHAnsi"/>
          <w:b/>
          <w:sz w:val="32"/>
          <w:szCs w:val="32"/>
          <w:lang w:val="en-US"/>
        </w:rPr>
      </w:pPr>
      <w:r w:rsidRPr="004C0588">
        <w:rPr>
          <w:rFonts w:asciiTheme="minorHAnsi" w:hAnsiTheme="minorHAnsi" w:cstheme="minorHAnsi"/>
          <w:b/>
          <w:sz w:val="32"/>
          <w:szCs w:val="32"/>
          <w:lang w:val="en-US"/>
        </w:rPr>
        <w:t xml:space="preserve"> </w:t>
      </w:r>
    </w:p>
    <w:tbl>
      <w:tblPr>
        <w:tblW w:w="97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69"/>
        <w:gridCol w:w="1275"/>
        <w:gridCol w:w="1276"/>
        <w:gridCol w:w="1239"/>
        <w:gridCol w:w="1239"/>
      </w:tblGrid>
      <w:tr w:rsidR="00425FFD" w:rsidRPr="004728DD" w:rsidTr="000F622F">
        <w:trPr>
          <w:jc w:val="center"/>
        </w:trPr>
        <w:tc>
          <w:tcPr>
            <w:tcW w:w="4769" w:type="dxa"/>
            <w:vAlign w:val="bottom"/>
          </w:tcPr>
          <w:p w:rsidR="00425FFD" w:rsidRPr="00817E31" w:rsidRDefault="00425FFD" w:rsidP="000F622F">
            <w:pPr>
              <w:rPr>
                <w:rFonts w:asciiTheme="minorHAnsi" w:hAnsiTheme="minorHAnsi" w:cstheme="minorHAnsi"/>
                <w:bCs/>
                <w:i/>
                <w:lang w:val="en-US"/>
              </w:rPr>
            </w:pPr>
          </w:p>
          <w:p w:rsidR="00425FFD" w:rsidRPr="00C96DBD" w:rsidRDefault="00C96DBD" w:rsidP="000F622F">
            <w:pPr>
              <w:rPr>
                <w:rFonts w:asciiTheme="minorHAnsi" w:hAnsiTheme="minorHAnsi" w:cstheme="minorHAnsi"/>
                <w:b/>
                <w:bCs/>
                <w:lang w:val="en-US"/>
              </w:rPr>
            </w:pPr>
            <w:r w:rsidRPr="00C96DBD">
              <w:rPr>
                <w:rFonts w:asciiTheme="minorHAnsi" w:hAnsiTheme="minorHAnsi" w:cstheme="minorHAnsi"/>
                <w:b/>
                <w:bCs/>
                <w:i/>
                <w:sz w:val="16"/>
                <w:szCs w:val="16"/>
                <w:lang w:val="en-US"/>
              </w:rPr>
              <w:t xml:space="preserve">In </w:t>
            </w:r>
            <w:r w:rsidR="00425FFD" w:rsidRPr="00C96DBD">
              <w:rPr>
                <w:rFonts w:asciiTheme="minorHAnsi" w:hAnsiTheme="minorHAnsi" w:cstheme="minorHAnsi"/>
                <w:b/>
                <w:bCs/>
                <w:i/>
                <w:sz w:val="16"/>
                <w:szCs w:val="16"/>
                <w:lang w:val="en-US"/>
              </w:rPr>
              <w:t>CHF m</w:t>
            </w:r>
            <w:r>
              <w:rPr>
                <w:rFonts w:asciiTheme="minorHAnsi" w:hAnsiTheme="minorHAnsi" w:cstheme="minorHAnsi"/>
                <w:b/>
                <w:bCs/>
                <w:i/>
                <w:sz w:val="16"/>
                <w:szCs w:val="16"/>
                <w:lang w:val="en-US"/>
              </w:rPr>
              <w:t xml:space="preserve"> </w:t>
            </w:r>
            <w:r w:rsidR="00F81654" w:rsidRPr="00C96DBD">
              <w:rPr>
                <w:rFonts w:asciiTheme="minorHAnsi" w:hAnsiTheme="minorHAnsi" w:cstheme="minorHAnsi"/>
                <w:bCs/>
                <w:i/>
                <w:sz w:val="16"/>
                <w:szCs w:val="16"/>
                <w:lang w:val="en-US"/>
              </w:rPr>
              <w:t>(except earnings per share)</w:t>
            </w:r>
          </w:p>
        </w:tc>
        <w:tc>
          <w:tcPr>
            <w:tcW w:w="1275" w:type="dxa"/>
            <w:tcBorders>
              <w:bottom w:val="single" w:sz="6" w:space="0" w:color="auto"/>
            </w:tcBorders>
            <w:vAlign w:val="bottom"/>
          </w:tcPr>
          <w:p w:rsidR="00425FFD" w:rsidRPr="004959DF" w:rsidRDefault="00425FFD" w:rsidP="000F622F">
            <w:pPr>
              <w:jc w:val="right"/>
              <w:rPr>
                <w:rFonts w:asciiTheme="minorHAnsi" w:hAnsiTheme="minorHAnsi" w:cstheme="minorHAnsi"/>
                <w:b/>
                <w:bCs/>
                <w:lang w:val="en-US"/>
              </w:rPr>
            </w:pPr>
          </w:p>
          <w:p w:rsidR="00425FFD" w:rsidRPr="004959DF" w:rsidRDefault="00425FFD" w:rsidP="000F622F">
            <w:pPr>
              <w:jc w:val="right"/>
              <w:rPr>
                <w:rFonts w:asciiTheme="minorHAnsi" w:hAnsiTheme="minorHAnsi" w:cstheme="minorHAnsi"/>
                <w:b/>
                <w:bCs/>
                <w:lang w:val="en-US"/>
              </w:rPr>
            </w:pPr>
            <w:r>
              <w:rPr>
                <w:rFonts w:asciiTheme="minorHAnsi" w:hAnsiTheme="minorHAnsi" w:cstheme="minorHAnsi"/>
                <w:b/>
                <w:bCs/>
                <w:lang w:val="en-US"/>
              </w:rPr>
              <w:t>2022</w:t>
            </w:r>
          </w:p>
        </w:tc>
        <w:tc>
          <w:tcPr>
            <w:tcW w:w="1276" w:type="dxa"/>
            <w:tcBorders>
              <w:bottom w:val="single" w:sz="6" w:space="0" w:color="auto"/>
            </w:tcBorders>
            <w:vAlign w:val="bottom"/>
          </w:tcPr>
          <w:p w:rsidR="00425FFD" w:rsidRPr="004959DF" w:rsidRDefault="00425FFD" w:rsidP="000F622F">
            <w:pPr>
              <w:jc w:val="right"/>
              <w:rPr>
                <w:rFonts w:asciiTheme="minorHAnsi" w:hAnsiTheme="minorHAnsi" w:cstheme="minorHAnsi"/>
                <w:b/>
                <w:bCs/>
                <w:lang w:val="en-US"/>
              </w:rPr>
            </w:pPr>
          </w:p>
          <w:p w:rsidR="00425FFD" w:rsidRPr="004959DF" w:rsidRDefault="00425FFD" w:rsidP="000F622F">
            <w:pPr>
              <w:jc w:val="right"/>
              <w:rPr>
                <w:rFonts w:asciiTheme="minorHAnsi" w:hAnsiTheme="minorHAnsi" w:cstheme="minorHAnsi"/>
                <w:b/>
                <w:bCs/>
                <w:lang w:val="en-US"/>
              </w:rPr>
            </w:pPr>
            <w:r>
              <w:rPr>
                <w:rFonts w:asciiTheme="minorHAnsi" w:hAnsiTheme="minorHAnsi" w:cstheme="minorHAnsi"/>
                <w:b/>
                <w:bCs/>
                <w:lang w:val="en-US"/>
              </w:rPr>
              <w:t>2021</w:t>
            </w:r>
          </w:p>
        </w:tc>
        <w:tc>
          <w:tcPr>
            <w:tcW w:w="1239" w:type="dxa"/>
            <w:tcBorders>
              <w:bottom w:val="single" w:sz="6" w:space="0" w:color="auto"/>
            </w:tcBorders>
            <w:vAlign w:val="bottom"/>
          </w:tcPr>
          <w:p w:rsidR="00425FFD" w:rsidRPr="004959DF" w:rsidRDefault="00425FFD" w:rsidP="000F622F">
            <w:pPr>
              <w:jc w:val="right"/>
              <w:rPr>
                <w:rFonts w:asciiTheme="minorHAnsi" w:hAnsiTheme="minorHAnsi" w:cstheme="minorHAnsi"/>
                <w:b/>
                <w:bCs/>
                <w:lang w:val="en-US"/>
              </w:rPr>
            </w:pPr>
            <w:r w:rsidRPr="004959DF">
              <w:rPr>
                <w:rFonts w:asciiTheme="minorHAnsi" w:hAnsiTheme="minorHAnsi" w:cstheme="minorHAnsi"/>
                <w:b/>
                <w:bCs/>
                <w:lang w:val="en-US"/>
              </w:rPr>
              <w:t xml:space="preserve">Variation in </w:t>
            </w:r>
            <w:r>
              <w:rPr>
                <w:rFonts w:asciiTheme="minorHAnsi" w:hAnsiTheme="minorHAnsi" w:cstheme="minorHAnsi"/>
                <w:b/>
                <w:bCs/>
                <w:lang w:val="en-US"/>
              </w:rPr>
              <w:t>current</w:t>
            </w:r>
            <w:r w:rsidRPr="004959DF">
              <w:rPr>
                <w:rFonts w:asciiTheme="minorHAnsi" w:hAnsiTheme="minorHAnsi" w:cstheme="minorHAnsi"/>
                <w:b/>
                <w:bCs/>
                <w:lang w:val="en-US"/>
              </w:rPr>
              <w:t xml:space="preserve"> currencies</w:t>
            </w:r>
          </w:p>
        </w:tc>
        <w:tc>
          <w:tcPr>
            <w:tcW w:w="1239" w:type="dxa"/>
            <w:tcBorders>
              <w:bottom w:val="single" w:sz="6" w:space="0" w:color="auto"/>
            </w:tcBorders>
            <w:vAlign w:val="bottom"/>
          </w:tcPr>
          <w:p w:rsidR="00425FFD" w:rsidRPr="004959DF" w:rsidRDefault="00425FFD" w:rsidP="000F622F">
            <w:pPr>
              <w:jc w:val="right"/>
              <w:rPr>
                <w:rFonts w:asciiTheme="minorHAnsi" w:hAnsiTheme="minorHAnsi" w:cstheme="minorHAnsi"/>
                <w:b/>
                <w:bCs/>
                <w:lang w:val="en-US"/>
              </w:rPr>
            </w:pPr>
            <w:r w:rsidRPr="004959DF">
              <w:rPr>
                <w:rFonts w:asciiTheme="minorHAnsi" w:hAnsiTheme="minorHAnsi" w:cstheme="minorHAnsi"/>
                <w:b/>
                <w:bCs/>
                <w:lang w:val="en-US"/>
              </w:rPr>
              <w:t>Variation in constant currencies</w:t>
            </w:r>
          </w:p>
        </w:tc>
      </w:tr>
      <w:tr w:rsidR="00425FFD" w:rsidRPr="004728DD" w:rsidTr="000F622F">
        <w:trPr>
          <w:trHeight w:val="347"/>
          <w:jc w:val="center"/>
        </w:trPr>
        <w:tc>
          <w:tcPr>
            <w:tcW w:w="4769" w:type="dxa"/>
            <w:tcBorders>
              <w:top w:val="single" w:sz="6" w:space="0" w:color="auto"/>
              <w:bottom w:val="single" w:sz="4" w:space="0" w:color="auto"/>
            </w:tcBorders>
            <w:vAlign w:val="bottom"/>
          </w:tcPr>
          <w:p w:rsidR="00425FFD" w:rsidRPr="00810B37" w:rsidRDefault="00425FFD" w:rsidP="000F622F">
            <w:pPr>
              <w:rPr>
                <w:rFonts w:asciiTheme="minorHAnsi" w:hAnsiTheme="minorHAnsi" w:cstheme="minorHAnsi"/>
                <w:b/>
                <w:bCs/>
                <w:lang w:val="en-US"/>
              </w:rPr>
            </w:pPr>
            <w:r w:rsidRPr="00810B37">
              <w:rPr>
                <w:rFonts w:asciiTheme="minorHAnsi" w:hAnsiTheme="minorHAnsi" w:cstheme="minorHAnsi"/>
                <w:b/>
                <w:bCs/>
                <w:lang w:val="en-US"/>
              </w:rPr>
              <w:t xml:space="preserve">Reported (IFRS) </w:t>
            </w:r>
          </w:p>
        </w:tc>
        <w:tc>
          <w:tcPr>
            <w:tcW w:w="1275" w:type="dxa"/>
            <w:tcBorders>
              <w:top w:val="single" w:sz="6" w:space="0" w:color="auto"/>
              <w:bottom w:val="single" w:sz="6" w:space="0" w:color="auto"/>
              <w:right w:val="single" w:sz="4" w:space="0" w:color="auto"/>
            </w:tcBorders>
            <w:vAlign w:val="bottom"/>
          </w:tcPr>
          <w:p w:rsidR="00425FFD" w:rsidRPr="00810B37" w:rsidRDefault="00425FFD" w:rsidP="000F622F">
            <w:pPr>
              <w:jc w:val="right"/>
              <w:rPr>
                <w:rFonts w:asciiTheme="minorHAnsi" w:hAnsiTheme="minorHAnsi" w:cstheme="minorHAnsi"/>
                <w:bCs/>
                <w:lang w:val="en-US"/>
              </w:rPr>
            </w:pPr>
          </w:p>
        </w:tc>
        <w:tc>
          <w:tcPr>
            <w:tcW w:w="1276" w:type="dxa"/>
            <w:tcBorders>
              <w:top w:val="single" w:sz="6" w:space="0" w:color="auto"/>
              <w:bottom w:val="single" w:sz="6" w:space="0" w:color="auto"/>
            </w:tcBorders>
            <w:vAlign w:val="bottom"/>
          </w:tcPr>
          <w:p w:rsidR="00425FFD" w:rsidRPr="00810B37" w:rsidRDefault="00425FFD" w:rsidP="000F622F">
            <w:pPr>
              <w:jc w:val="right"/>
              <w:rPr>
                <w:rFonts w:asciiTheme="minorHAnsi" w:hAnsiTheme="minorHAnsi" w:cstheme="minorHAnsi"/>
                <w:bCs/>
                <w:lang w:val="en-US"/>
              </w:rPr>
            </w:pPr>
          </w:p>
        </w:tc>
        <w:tc>
          <w:tcPr>
            <w:tcW w:w="1239" w:type="dxa"/>
            <w:tcBorders>
              <w:top w:val="single" w:sz="6" w:space="0" w:color="auto"/>
              <w:left w:val="single" w:sz="4" w:space="0" w:color="auto"/>
              <w:bottom w:val="single" w:sz="6" w:space="0" w:color="auto"/>
              <w:right w:val="single" w:sz="4" w:space="0" w:color="auto"/>
            </w:tcBorders>
            <w:vAlign w:val="bottom"/>
          </w:tcPr>
          <w:p w:rsidR="00425FFD" w:rsidRPr="00810B37" w:rsidRDefault="00425FFD" w:rsidP="000F622F">
            <w:pPr>
              <w:jc w:val="right"/>
              <w:rPr>
                <w:rFonts w:asciiTheme="minorHAnsi" w:hAnsiTheme="minorHAnsi" w:cstheme="minorHAnsi"/>
                <w:bCs/>
                <w:lang w:val="en-US"/>
              </w:rPr>
            </w:pPr>
          </w:p>
        </w:tc>
        <w:tc>
          <w:tcPr>
            <w:tcW w:w="1239" w:type="dxa"/>
            <w:tcBorders>
              <w:top w:val="single" w:sz="6" w:space="0" w:color="auto"/>
              <w:left w:val="single" w:sz="4" w:space="0" w:color="auto"/>
              <w:bottom w:val="single" w:sz="6" w:space="0" w:color="auto"/>
            </w:tcBorders>
            <w:vAlign w:val="bottom"/>
          </w:tcPr>
          <w:p w:rsidR="00425FFD" w:rsidRPr="00810B37" w:rsidRDefault="00425FFD" w:rsidP="000F622F">
            <w:pPr>
              <w:jc w:val="right"/>
              <w:rPr>
                <w:rFonts w:asciiTheme="minorHAnsi" w:hAnsiTheme="minorHAnsi" w:cstheme="minorHAnsi"/>
                <w:bCs/>
                <w:lang w:val="en-US"/>
              </w:rPr>
            </w:pPr>
          </w:p>
        </w:tc>
      </w:tr>
      <w:tr w:rsidR="00F26FA3" w:rsidRPr="00F81976" w:rsidTr="00CD7376">
        <w:trPr>
          <w:trHeight w:val="347"/>
          <w:jc w:val="center"/>
        </w:trPr>
        <w:tc>
          <w:tcPr>
            <w:tcW w:w="4769" w:type="dxa"/>
            <w:tcBorders>
              <w:top w:val="single" w:sz="6" w:space="0" w:color="auto"/>
              <w:bottom w:val="single" w:sz="4" w:space="0" w:color="auto"/>
            </w:tcBorders>
            <w:vAlign w:val="bottom"/>
          </w:tcPr>
          <w:p w:rsidR="00F26FA3" w:rsidRPr="00810B37" w:rsidRDefault="00F26FA3" w:rsidP="00F26FA3">
            <w:pPr>
              <w:rPr>
                <w:rFonts w:asciiTheme="minorHAnsi" w:hAnsiTheme="minorHAnsi" w:cstheme="minorHAnsi"/>
                <w:bCs/>
                <w:lang w:val="en-US"/>
              </w:rPr>
            </w:pPr>
            <w:r w:rsidRPr="00810B37">
              <w:rPr>
                <w:rFonts w:asciiTheme="minorHAnsi" w:hAnsiTheme="minorHAnsi" w:cstheme="minorHAnsi"/>
                <w:bCs/>
                <w:lang w:val="en-US"/>
              </w:rPr>
              <w:t>Revenue</w:t>
            </w:r>
          </w:p>
        </w:tc>
        <w:tc>
          <w:tcPr>
            <w:tcW w:w="1275" w:type="dxa"/>
            <w:tcBorders>
              <w:top w:val="single" w:sz="6" w:space="0" w:color="auto"/>
              <w:bottom w:val="single" w:sz="6" w:space="0" w:color="auto"/>
              <w:right w:val="single" w:sz="4" w:space="0" w:color="auto"/>
            </w:tcBorders>
            <w:vAlign w:val="bottom"/>
          </w:tcPr>
          <w:p w:rsidR="00F26FA3" w:rsidRPr="00F81976" w:rsidRDefault="00F26FA3" w:rsidP="00F26FA3">
            <w:pPr>
              <w:jc w:val="right"/>
              <w:rPr>
                <w:rFonts w:asciiTheme="minorHAnsi" w:hAnsiTheme="minorHAnsi" w:cstheme="minorHAnsi"/>
                <w:bCs/>
              </w:rPr>
            </w:pPr>
            <w:r>
              <w:rPr>
                <w:rFonts w:asciiTheme="minorHAnsi" w:hAnsiTheme="minorHAnsi" w:cstheme="minorHAnsi"/>
                <w:bCs/>
              </w:rPr>
              <w:t>947.4</w:t>
            </w:r>
          </w:p>
        </w:tc>
        <w:tc>
          <w:tcPr>
            <w:tcW w:w="1276" w:type="dxa"/>
            <w:tcBorders>
              <w:top w:val="single" w:sz="6" w:space="0" w:color="auto"/>
              <w:bottom w:val="single" w:sz="6" w:space="0" w:color="auto"/>
            </w:tcBorders>
            <w:vAlign w:val="bottom"/>
          </w:tcPr>
          <w:p w:rsidR="00F26FA3" w:rsidRPr="00F8404A" w:rsidRDefault="00F26FA3" w:rsidP="00F26FA3">
            <w:pPr>
              <w:jc w:val="right"/>
              <w:rPr>
                <w:rFonts w:asciiTheme="minorHAnsi" w:hAnsiTheme="minorHAnsi" w:cstheme="minorHAnsi"/>
                <w:bCs/>
              </w:rPr>
            </w:pPr>
            <w:r w:rsidRPr="00F8404A">
              <w:rPr>
                <w:rFonts w:asciiTheme="minorHAnsi" w:hAnsiTheme="minorHAnsi" w:cstheme="minorHAnsi"/>
                <w:bCs/>
              </w:rPr>
              <w:t>873</w:t>
            </w:r>
            <w:r>
              <w:rPr>
                <w:rFonts w:asciiTheme="minorHAnsi" w:hAnsiTheme="minorHAnsi" w:cstheme="minorHAnsi"/>
                <w:bCs/>
              </w:rPr>
              <w:t>.</w:t>
            </w:r>
            <w:r w:rsidRPr="00F8404A">
              <w:rPr>
                <w:rFonts w:asciiTheme="minorHAnsi" w:hAnsiTheme="minorHAnsi" w:cstheme="minorHAnsi"/>
                <w:bCs/>
              </w:rPr>
              <w:t>6</w:t>
            </w:r>
          </w:p>
        </w:tc>
        <w:tc>
          <w:tcPr>
            <w:tcW w:w="1239" w:type="dxa"/>
            <w:tcBorders>
              <w:top w:val="single" w:sz="6" w:space="0" w:color="auto"/>
              <w:left w:val="single" w:sz="4" w:space="0" w:color="auto"/>
              <w:bottom w:val="single" w:sz="6" w:space="0" w:color="auto"/>
              <w:right w:val="single" w:sz="4" w:space="0" w:color="auto"/>
            </w:tcBorders>
            <w:vAlign w:val="bottom"/>
          </w:tcPr>
          <w:p w:rsidR="00F26FA3" w:rsidRPr="00F81976" w:rsidRDefault="00F26FA3" w:rsidP="00F26FA3">
            <w:pPr>
              <w:jc w:val="right"/>
              <w:rPr>
                <w:rFonts w:asciiTheme="minorHAnsi" w:hAnsiTheme="minorHAnsi" w:cstheme="minorHAnsi"/>
                <w:bCs/>
              </w:rPr>
            </w:pPr>
            <w:r>
              <w:rPr>
                <w:rFonts w:asciiTheme="minorHAnsi" w:hAnsiTheme="minorHAnsi" w:cstheme="minorHAnsi"/>
                <w:bCs/>
              </w:rPr>
              <w:t>+8.4%</w:t>
            </w:r>
          </w:p>
        </w:tc>
        <w:tc>
          <w:tcPr>
            <w:tcW w:w="1239" w:type="dxa"/>
            <w:tcBorders>
              <w:top w:val="single" w:sz="6" w:space="0" w:color="auto"/>
              <w:left w:val="single" w:sz="4" w:space="0" w:color="auto"/>
              <w:bottom w:val="single" w:sz="6" w:space="0" w:color="auto"/>
            </w:tcBorders>
            <w:vAlign w:val="bottom"/>
          </w:tcPr>
          <w:p w:rsidR="00F26FA3" w:rsidRPr="00F81976" w:rsidRDefault="00F26FA3" w:rsidP="00F26FA3">
            <w:pPr>
              <w:jc w:val="right"/>
              <w:rPr>
                <w:rFonts w:asciiTheme="minorHAnsi" w:hAnsiTheme="minorHAnsi" w:cstheme="minorHAnsi"/>
                <w:bCs/>
              </w:rPr>
            </w:pPr>
            <w:r>
              <w:rPr>
                <w:rFonts w:asciiTheme="minorHAnsi" w:hAnsiTheme="minorHAnsi" w:cstheme="minorHAnsi"/>
                <w:bCs/>
              </w:rPr>
              <w:t>+10.5%</w:t>
            </w:r>
          </w:p>
        </w:tc>
      </w:tr>
      <w:tr w:rsidR="00F26FA3" w:rsidRPr="00F81976" w:rsidTr="00CD7376">
        <w:trPr>
          <w:trHeight w:val="347"/>
          <w:jc w:val="center"/>
        </w:trPr>
        <w:tc>
          <w:tcPr>
            <w:tcW w:w="4769" w:type="dxa"/>
            <w:tcBorders>
              <w:top w:val="single" w:sz="6" w:space="0" w:color="auto"/>
              <w:bottom w:val="single" w:sz="4" w:space="0" w:color="auto"/>
            </w:tcBorders>
            <w:vAlign w:val="bottom"/>
          </w:tcPr>
          <w:p w:rsidR="00F26FA3" w:rsidRPr="00B64B43" w:rsidRDefault="00F26FA3" w:rsidP="00F26FA3">
            <w:pPr>
              <w:rPr>
                <w:rFonts w:asciiTheme="minorHAnsi" w:hAnsiTheme="minorHAnsi" w:cstheme="minorHAnsi"/>
                <w:bCs/>
              </w:rPr>
            </w:pPr>
            <w:r w:rsidRPr="00A525D4">
              <w:rPr>
                <w:rFonts w:asciiTheme="minorHAnsi" w:hAnsiTheme="minorHAnsi" w:cstheme="minorHAnsi"/>
                <w:bCs/>
              </w:rPr>
              <w:t>Operating profit</w:t>
            </w:r>
          </w:p>
        </w:tc>
        <w:tc>
          <w:tcPr>
            <w:tcW w:w="1275" w:type="dxa"/>
            <w:tcBorders>
              <w:top w:val="single" w:sz="6" w:space="0" w:color="auto"/>
              <w:bottom w:val="single" w:sz="6" w:space="0" w:color="auto"/>
              <w:right w:val="single" w:sz="4" w:space="0" w:color="auto"/>
            </w:tcBorders>
            <w:vAlign w:val="bottom"/>
          </w:tcPr>
          <w:p w:rsidR="00F26FA3" w:rsidRPr="00F81976" w:rsidRDefault="00F26FA3" w:rsidP="00F26FA3">
            <w:pPr>
              <w:jc w:val="right"/>
              <w:rPr>
                <w:rFonts w:asciiTheme="minorHAnsi" w:hAnsiTheme="minorHAnsi" w:cstheme="minorHAnsi"/>
                <w:bCs/>
              </w:rPr>
            </w:pPr>
            <w:r>
              <w:rPr>
                <w:rFonts w:asciiTheme="minorHAnsi" w:hAnsiTheme="minorHAnsi" w:cstheme="minorHAnsi"/>
                <w:bCs/>
              </w:rPr>
              <w:t>94.2</w:t>
            </w:r>
          </w:p>
        </w:tc>
        <w:tc>
          <w:tcPr>
            <w:tcW w:w="1276" w:type="dxa"/>
            <w:tcBorders>
              <w:top w:val="single" w:sz="6" w:space="0" w:color="auto"/>
              <w:bottom w:val="single" w:sz="6" w:space="0" w:color="auto"/>
            </w:tcBorders>
            <w:vAlign w:val="bottom"/>
          </w:tcPr>
          <w:p w:rsidR="00F26FA3" w:rsidRPr="00F8404A" w:rsidRDefault="00F26FA3" w:rsidP="00F26FA3">
            <w:pPr>
              <w:jc w:val="right"/>
              <w:rPr>
                <w:rFonts w:asciiTheme="minorHAnsi" w:hAnsiTheme="minorHAnsi" w:cstheme="minorHAnsi"/>
                <w:bCs/>
              </w:rPr>
            </w:pPr>
            <w:r w:rsidRPr="00F8404A">
              <w:rPr>
                <w:rFonts w:asciiTheme="minorHAnsi" w:hAnsiTheme="minorHAnsi" w:cstheme="minorHAnsi"/>
                <w:bCs/>
              </w:rPr>
              <w:t>73</w:t>
            </w:r>
            <w:r>
              <w:rPr>
                <w:rFonts w:asciiTheme="minorHAnsi" w:hAnsiTheme="minorHAnsi" w:cstheme="minorHAnsi"/>
                <w:bCs/>
              </w:rPr>
              <w:t>.</w:t>
            </w:r>
            <w:r w:rsidRPr="00F8404A">
              <w:rPr>
                <w:rFonts w:asciiTheme="minorHAnsi" w:hAnsiTheme="minorHAnsi" w:cstheme="minorHAnsi"/>
                <w:bCs/>
              </w:rPr>
              <w:t>2</w:t>
            </w:r>
          </w:p>
        </w:tc>
        <w:tc>
          <w:tcPr>
            <w:tcW w:w="1239" w:type="dxa"/>
            <w:tcBorders>
              <w:top w:val="single" w:sz="6" w:space="0" w:color="auto"/>
              <w:left w:val="single" w:sz="4" w:space="0" w:color="auto"/>
              <w:bottom w:val="single" w:sz="6" w:space="0" w:color="auto"/>
              <w:right w:val="single" w:sz="4" w:space="0" w:color="auto"/>
            </w:tcBorders>
            <w:vAlign w:val="bottom"/>
          </w:tcPr>
          <w:p w:rsidR="00F26FA3" w:rsidRPr="00F81976" w:rsidRDefault="00F26FA3" w:rsidP="00F26FA3">
            <w:pPr>
              <w:jc w:val="right"/>
              <w:rPr>
                <w:rFonts w:asciiTheme="minorHAnsi" w:hAnsiTheme="minorHAnsi" w:cstheme="minorHAnsi"/>
                <w:bCs/>
              </w:rPr>
            </w:pPr>
            <w:r>
              <w:rPr>
                <w:rFonts w:asciiTheme="minorHAnsi" w:hAnsiTheme="minorHAnsi" w:cstheme="minorHAnsi"/>
                <w:bCs/>
              </w:rPr>
              <w:t>+28.7%</w:t>
            </w:r>
          </w:p>
        </w:tc>
        <w:tc>
          <w:tcPr>
            <w:tcW w:w="1239" w:type="dxa"/>
            <w:tcBorders>
              <w:top w:val="single" w:sz="6" w:space="0" w:color="auto"/>
              <w:left w:val="single" w:sz="4" w:space="0" w:color="auto"/>
              <w:bottom w:val="single" w:sz="6" w:space="0" w:color="auto"/>
            </w:tcBorders>
            <w:vAlign w:val="bottom"/>
          </w:tcPr>
          <w:p w:rsidR="00F26FA3" w:rsidRPr="00F81976" w:rsidRDefault="00F26FA3" w:rsidP="00F26FA3">
            <w:pPr>
              <w:jc w:val="right"/>
              <w:rPr>
                <w:rFonts w:asciiTheme="minorHAnsi" w:hAnsiTheme="minorHAnsi" w:cstheme="minorHAnsi"/>
                <w:bCs/>
              </w:rPr>
            </w:pPr>
            <w:r>
              <w:rPr>
                <w:rFonts w:asciiTheme="minorHAnsi" w:hAnsiTheme="minorHAnsi" w:cstheme="minorHAnsi"/>
                <w:bCs/>
              </w:rPr>
              <w:t>+29.1%</w:t>
            </w:r>
          </w:p>
        </w:tc>
      </w:tr>
      <w:tr w:rsidR="00F26FA3" w:rsidRPr="00F81976" w:rsidTr="00CD7376">
        <w:trPr>
          <w:trHeight w:val="347"/>
          <w:jc w:val="center"/>
        </w:trPr>
        <w:tc>
          <w:tcPr>
            <w:tcW w:w="4769" w:type="dxa"/>
            <w:tcBorders>
              <w:top w:val="single" w:sz="6" w:space="0" w:color="auto"/>
              <w:bottom w:val="single" w:sz="4" w:space="0" w:color="auto"/>
            </w:tcBorders>
            <w:vAlign w:val="bottom"/>
          </w:tcPr>
          <w:p w:rsidR="00F26FA3" w:rsidRPr="00A525D4" w:rsidRDefault="00F26FA3" w:rsidP="00F26FA3">
            <w:pPr>
              <w:rPr>
                <w:rFonts w:asciiTheme="minorHAnsi" w:hAnsiTheme="minorHAnsi" w:cstheme="minorHAnsi"/>
                <w:bCs/>
              </w:rPr>
            </w:pPr>
            <w:r>
              <w:rPr>
                <w:rFonts w:asciiTheme="minorHAnsi" w:hAnsiTheme="minorHAnsi" w:cstheme="minorHAnsi"/>
                <w:bCs/>
              </w:rPr>
              <w:t xml:space="preserve">Operating </w:t>
            </w:r>
            <w:proofErr w:type="spellStart"/>
            <w:r>
              <w:rPr>
                <w:rFonts w:asciiTheme="minorHAnsi" w:hAnsiTheme="minorHAnsi" w:cstheme="minorHAnsi"/>
                <w:bCs/>
              </w:rPr>
              <w:t>margin</w:t>
            </w:r>
            <w:proofErr w:type="spellEnd"/>
          </w:p>
        </w:tc>
        <w:tc>
          <w:tcPr>
            <w:tcW w:w="1275" w:type="dxa"/>
            <w:tcBorders>
              <w:top w:val="single" w:sz="6" w:space="0" w:color="auto"/>
              <w:bottom w:val="single" w:sz="6" w:space="0" w:color="auto"/>
              <w:right w:val="single" w:sz="4" w:space="0" w:color="auto"/>
            </w:tcBorders>
            <w:vAlign w:val="bottom"/>
          </w:tcPr>
          <w:p w:rsidR="00F26FA3" w:rsidRPr="00F81976" w:rsidRDefault="00F26FA3" w:rsidP="00F26FA3">
            <w:pPr>
              <w:jc w:val="right"/>
              <w:rPr>
                <w:rFonts w:asciiTheme="minorHAnsi" w:hAnsiTheme="minorHAnsi" w:cstheme="minorHAnsi"/>
                <w:bCs/>
              </w:rPr>
            </w:pPr>
            <w:r>
              <w:rPr>
                <w:rFonts w:asciiTheme="minorHAnsi" w:hAnsiTheme="minorHAnsi" w:cstheme="minorHAnsi"/>
                <w:bCs/>
              </w:rPr>
              <w:t>9.9%</w:t>
            </w:r>
          </w:p>
        </w:tc>
        <w:tc>
          <w:tcPr>
            <w:tcW w:w="1276" w:type="dxa"/>
            <w:tcBorders>
              <w:top w:val="single" w:sz="6" w:space="0" w:color="auto"/>
              <w:bottom w:val="single" w:sz="6" w:space="0" w:color="auto"/>
            </w:tcBorders>
            <w:vAlign w:val="bottom"/>
          </w:tcPr>
          <w:p w:rsidR="00F26FA3" w:rsidRPr="00F8404A" w:rsidRDefault="00F26FA3" w:rsidP="00F26FA3">
            <w:pPr>
              <w:jc w:val="right"/>
              <w:rPr>
                <w:rFonts w:asciiTheme="minorHAnsi" w:hAnsiTheme="minorHAnsi" w:cstheme="minorHAnsi"/>
                <w:bCs/>
              </w:rPr>
            </w:pPr>
            <w:r w:rsidRPr="00F8404A">
              <w:rPr>
                <w:rFonts w:asciiTheme="minorHAnsi" w:hAnsiTheme="minorHAnsi" w:cstheme="minorHAnsi"/>
                <w:bCs/>
              </w:rPr>
              <w:t>8</w:t>
            </w:r>
            <w:r>
              <w:rPr>
                <w:rFonts w:asciiTheme="minorHAnsi" w:hAnsiTheme="minorHAnsi" w:cstheme="minorHAnsi"/>
                <w:bCs/>
              </w:rPr>
              <w:t>.</w:t>
            </w:r>
            <w:r w:rsidRPr="00F8404A">
              <w:rPr>
                <w:rFonts w:asciiTheme="minorHAnsi" w:hAnsiTheme="minorHAnsi" w:cstheme="minorHAnsi"/>
                <w:bCs/>
              </w:rPr>
              <w:t>4%</w:t>
            </w:r>
          </w:p>
        </w:tc>
        <w:tc>
          <w:tcPr>
            <w:tcW w:w="1239" w:type="dxa"/>
            <w:tcBorders>
              <w:top w:val="single" w:sz="6" w:space="0" w:color="auto"/>
              <w:left w:val="single" w:sz="4" w:space="0" w:color="auto"/>
              <w:bottom w:val="single" w:sz="6" w:space="0" w:color="auto"/>
              <w:right w:val="single" w:sz="4" w:space="0" w:color="auto"/>
            </w:tcBorders>
            <w:vAlign w:val="bottom"/>
          </w:tcPr>
          <w:p w:rsidR="00F26FA3" w:rsidRPr="00F81976" w:rsidRDefault="00F26FA3" w:rsidP="00F26FA3">
            <w:pPr>
              <w:jc w:val="right"/>
              <w:rPr>
                <w:rFonts w:asciiTheme="minorHAnsi" w:hAnsiTheme="minorHAnsi" w:cstheme="minorHAnsi"/>
                <w:bCs/>
              </w:rPr>
            </w:pPr>
          </w:p>
        </w:tc>
        <w:tc>
          <w:tcPr>
            <w:tcW w:w="1239" w:type="dxa"/>
            <w:tcBorders>
              <w:top w:val="single" w:sz="6" w:space="0" w:color="auto"/>
              <w:left w:val="single" w:sz="4" w:space="0" w:color="auto"/>
              <w:bottom w:val="single" w:sz="6" w:space="0" w:color="auto"/>
            </w:tcBorders>
            <w:vAlign w:val="bottom"/>
          </w:tcPr>
          <w:p w:rsidR="00F26FA3" w:rsidRDefault="00F26FA3" w:rsidP="00F26FA3">
            <w:pPr>
              <w:jc w:val="right"/>
              <w:rPr>
                <w:rFonts w:asciiTheme="minorHAnsi" w:hAnsiTheme="minorHAnsi" w:cstheme="minorHAnsi"/>
                <w:bCs/>
              </w:rPr>
            </w:pPr>
          </w:p>
        </w:tc>
      </w:tr>
      <w:tr w:rsidR="00F26FA3" w:rsidRPr="00F81976" w:rsidTr="00CD7376">
        <w:trPr>
          <w:trHeight w:val="347"/>
          <w:jc w:val="center"/>
        </w:trPr>
        <w:tc>
          <w:tcPr>
            <w:tcW w:w="4769" w:type="dxa"/>
            <w:tcBorders>
              <w:top w:val="single" w:sz="6" w:space="0" w:color="auto"/>
              <w:bottom w:val="single" w:sz="4" w:space="0" w:color="auto"/>
            </w:tcBorders>
            <w:vAlign w:val="bottom"/>
          </w:tcPr>
          <w:p w:rsidR="00F26FA3" w:rsidRPr="00F81976" w:rsidRDefault="00F26FA3" w:rsidP="00F26FA3">
            <w:pPr>
              <w:rPr>
                <w:rFonts w:asciiTheme="minorHAnsi" w:hAnsiTheme="minorHAnsi" w:cstheme="minorHAnsi"/>
                <w:bCs/>
              </w:rPr>
            </w:pPr>
            <w:r>
              <w:rPr>
                <w:rFonts w:asciiTheme="minorHAnsi" w:hAnsiTheme="minorHAnsi" w:cstheme="minorHAnsi"/>
                <w:bCs/>
              </w:rPr>
              <w:t xml:space="preserve">Profit </w:t>
            </w:r>
            <w:proofErr w:type="spellStart"/>
            <w:r>
              <w:rPr>
                <w:rFonts w:asciiTheme="minorHAnsi" w:hAnsiTheme="minorHAnsi" w:cstheme="minorHAnsi"/>
                <w:bCs/>
              </w:rPr>
              <w:t>before</w:t>
            </w:r>
            <w:proofErr w:type="spellEnd"/>
            <w:r>
              <w:rPr>
                <w:rFonts w:asciiTheme="minorHAnsi" w:hAnsiTheme="minorHAnsi" w:cstheme="minorHAnsi"/>
                <w:bCs/>
              </w:rPr>
              <w:t xml:space="preserve"> </w:t>
            </w:r>
            <w:proofErr w:type="spellStart"/>
            <w:r>
              <w:rPr>
                <w:rFonts w:asciiTheme="minorHAnsi" w:hAnsiTheme="minorHAnsi" w:cstheme="minorHAnsi"/>
                <w:bCs/>
              </w:rPr>
              <w:t>tax</w:t>
            </w:r>
            <w:proofErr w:type="spellEnd"/>
          </w:p>
        </w:tc>
        <w:tc>
          <w:tcPr>
            <w:tcW w:w="1275" w:type="dxa"/>
            <w:tcBorders>
              <w:top w:val="single" w:sz="6" w:space="0" w:color="auto"/>
              <w:bottom w:val="single" w:sz="6" w:space="0" w:color="auto"/>
              <w:right w:val="single" w:sz="4" w:space="0" w:color="auto"/>
            </w:tcBorders>
            <w:vAlign w:val="bottom"/>
          </w:tcPr>
          <w:p w:rsidR="00F26FA3" w:rsidRDefault="00F26FA3" w:rsidP="00F26FA3">
            <w:pPr>
              <w:jc w:val="right"/>
              <w:rPr>
                <w:rFonts w:asciiTheme="minorHAnsi" w:hAnsiTheme="minorHAnsi" w:cstheme="minorHAnsi"/>
                <w:bCs/>
              </w:rPr>
            </w:pPr>
            <w:r>
              <w:rPr>
                <w:rFonts w:asciiTheme="minorHAnsi" w:hAnsiTheme="minorHAnsi" w:cstheme="minorHAnsi"/>
                <w:bCs/>
              </w:rPr>
              <w:t>120.1</w:t>
            </w:r>
          </w:p>
        </w:tc>
        <w:tc>
          <w:tcPr>
            <w:tcW w:w="1276" w:type="dxa"/>
            <w:tcBorders>
              <w:top w:val="single" w:sz="6" w:space="0" w:color="auto"/>
              <w:bottom w:val="single" w:sz="6" w:space="0" w:color="auto"/>
            </w:tcBorders>
            <w:vAlign w:val="bottom"/>
          </w:tcPr>
          <w:p w:rsidR="00F26FA3" w:rsidRPr="00F8404A" w:rsidRDefault="00F26FA3" w:rsidP="00F26FA3">
            <w:pPr>
              <w:jc w:val="right"/>
              <w:rPr>
                <w:rFonts w:asciiTheme="minorHAnsi" w:hAnsiTheme="minorHAnsi" w:cstheme="minorHAnsi"/>
                <w:bCs/>
              </w:rPr>
            </w:pPr>
            <w:r w:rsidRPr="00F8404A">
              <w:rPr>
                <w:rFonts w:asciiTheme="minorHAnsi" w:hAnsiTheme="minorHAnsi" w:cstheme="minorHAnsi"/>
                <w:bCs/>
              </w:rPr>
              <w:t>85</w:t>
            </w:r>
            <w:r>
              <w:rPr>
                <w:rFonts w:asciiTheme="minorHAnsi" w:hAnsiTheme="minorHAnsi" w:cstheme="minorHAnsi"/>
                <w:bCs/>
              </w:rPr>
              <w:t>.</w:t>
            </w:r>
            <w:r w:rsidRPr="00F8404A">
              <w:rPr>
                <w:rFonts w:asciiTheme="minorHAnsi" w:hAnsiTheme="minorHAnsi" w:cstheme="minorHAnsi"/>
                <w:bCs/>
              </w:rPr>
              <w:t>0</w:t>
            </w:r>
          </w:p>
        </w:tc>
        <w:tc>
          <w:tcPr>
            <w:tcW w:w="1239" w:type="dxa"/>
            <w:tcBorders>
              <w:top w:val="single" w:sz="6" w:space="0" w:color="auto"/>
              <w:left w:val="single" w:sz="4" w:space="0" w:color="auto"/>
              <w:bottom w:val="single" w:sz="6" w:space="0" w:color="auto"/>
              <w:right w:val="single" w:sz="4" w:space="0" w:color="auto"/>
            </w:tcBorders>
            <w:vAlign w:val="bottom"/>
          </w:tcPr>
          <w:p w:rsidR="00F26FA3" w:rsidRDefault="00F26FA3" w:rsidP="00F26FA3">
            <w:pPr>
              <w:jc w:val="right"/>
              <w:rPr>
                <w:rFonts w:asciiTheme="minorHAnsi" w:hAnsiTheme="minorHAnsi" w:cstheme="minorHAnsi"/>
                <w:bCs/>
              </w:rPr>
            </w:pPr>
            <w:r>
              <w:rPr>
                <w:rFonts w:asciiTheme="minorHAnsi" w:hAnsiTheme="minorHAnsi" w:cstheme="minorHAnsi"/>
                <w:bCs/>
              </w:rPr>
              <w:t>+41.3%</w:t>
            </w:r>
          </w:p>
        </w:tc>
        <w:tc>
          <w:tcPr>
            <w:tcW w:w="1239" w:type="dxa"/>
            <w:tcBorders>
              <w:top w:val="single" w:sz="6" w:space="0" w:color="auto"/>
              <w:left w:val="single" w:sz="4" w:space="0" w:color="auto"/>
              <w:bottom w:val="single" w:sz="6" w:space="0" w:color="auto"/>
            </w:tcBorders>
            <w:vAlign w:val="bottom"/>
          </w:tcPr>
          <w:p w:rsidR="00F26FA3" w:rsidRDefault="00F26FA3" w:rsidP="00F26FA3">
            <w:pPr>
              <w:jc w:val="right"/>
              <w:rPr>
                <w:rFonts w:asciiTheme="minorHAnsi" w:hAnsiTheme="minorHAnsi" w:cstheme="minorHAnsi"/>
                <w:bCs/>
              </w:rPr>
            </w:pPr>
            <w:r>
              <w:rPr>
                <w:rFonts w:asciiTheme="minorHAnsi" w:hAnsiTheme="minorHAnsi" w:cstheme="minorHAnsi"/>
                <w:bCs/>
              </w:rPr>
              <w:t>+44.6%</w:t>
            </w:r>
          </w:p>
        </w:tc>
      </w:tr>
      <w:tr w:rsidR="00F26FA3" w:rsidRPr="00F81976" w:rsidTr="00CD7376">
        <w:trPr>
          <w:trHeight w:val="347"/>
          <w:jc w:val="center"/>
        </w:trPr>
        <w:tc>
          <w:tcPr>
            <w:tcW w:w="4769" w:type="dxa"/>
            <w:tcBorders>
              <w:top w:val="single" w:sz="6" w:space="0" w:color="auto"/>
              <w:bottom w:val="single" w:sz="4" w:space="0" w:color="auto"/>
            </w:tcBorders>
            <w:vAlign w:val="bottom"/>
          </w:tcPr>
          <w:p w:rsidR="00F26FA3" w:rsidRPr="00F81976" w:rsidRDefault="00F26FA3" w:rsidP="00F26FA3">
            <w:pPr>
              <w:rPr>
                <w:rFonts w:asciiTheme="minorHAnsi" w:hAnsiTheme="minorHAnsi" w:cstheme="minorHAnsi"/>
                <w:bCs/>
              </w:rPr>
            </w:pPr>
            <w:r>
              <w:rPr>
                <w:rFonts w:asciiTheme="minorHAnsi" w:hAnsiTheme="minorHAnsi" w:cstheme="minorHAnsi"/>
                <w:bCs/>
              </w:rPr>
              <w:t xml:space="preserve">Net profit Group </w:t>
            </w:r>
            <w:proofErr w:type="spellStart"/>
            <w:r>
              <w:rPr>
                <w:rFonts w:asciiTheme="minorHAnsi" w:hAnsiTheme="minorHAnsi" w:cstheme="minorHAnsi"/>
                <w:bCs/>
              </w:rPr>
              <w:t>share</w:t>
            </w:r>
            <w:proofErr w:type="spellEnd"/>
          </w:p>
        </w:tc>
        <w:tc>
          <w:tcPr>
            <w:tcW w:w="1275" w:type="dxa"/>
            <w:tcBorders>
              <w:top w:val="single" w:sz="6" w:space="0" w:color="auto"/>
              <w:bottom w:val="single" w:sz="6" w:space="0" w:color="auto"/>
              <w:right w:val="single" w:sz="4" w:space="0" w:color="auto"/>
            </w:tcBorders>
            <w:vAlign w:val="bottom"/>
          </w:tcPr>
          <w:p w:rsidR="00F26FA3" w:rsidRPr="00F81976" w:rsidRDefault="00F26FA3" w:rsidP="00F26FA3">
            <w:pPr>
              <w:jc w:val="right"/>
              <w:rPr>
                <w:rFonts w:asciiTheme="minorHAnsi" w:hAnsiTheme="minorHAnsi" w:cstheme="minorHAnsi"/>
                <w:bCs/>
              </w:rPr>
            </w:pPr>
            <w:r>
              <w:rPr>
                <w:rFonts w:asciiTheme="minorHAnsi" w:hAnsiTheme="minorHAnsi" w:cstheme="minorHAnsi"/>
                <w:bCs/>
              </w:rPr>
              <w:t>89.1</w:t>
            </w:r>
          </w:p>
        </w:tc>
        <w:tc>
          <w:tcPr>
            <w:tcW w:w="1276" w:type="dxa"/>
            <w:tcBorders>
              <w:top w:val="single" w:sz="6" w:space="0" w:color="auto"/>
              <w:bottom w:val="single" w:sz="6" w:space="0" w:color="auto"/>
            </w:tcBorders>
            <w:vAlign w:val="bottom"/>
          </w:tcPr>
          <w:p w:rsidR="00F26FA3" w:rsidRPr="00F8404A" w:rsidRDefault="00F26FA3" w:rsidP="00F26FA3">
            <w:pPr>
              <w:jc w:val="right"/>
              <w:rPr>
                <w:rFonts w:asciiTheme="minorHAnsi" w:hAnsiTheme="minorHAnsi" w:cstheme="minorHAnsi"/>
                <w:bCs/>
              </w:rPr>
            </w:pPr>
            <w:r w:rsidRPr="00F8404A">
              <w:rPr>
                <w:rFonts w:asciiTheme="minorHAnsi" w:hAnsiTheme="minorHAnsi" w:cstheme="minorHAnsi"/>
                <w:bCs/>
              </w:rPr>
              <w:t>65</w:t>
            </w:r>
            <w:r>
              <w:rPr>
                <w:rFonts w:asciiTheme="minorHAnsi" w:hAnsiTheme="minorHAnsi" w:cstheme="minorHAnsi"/>
                <w:bCs/>
              </w:rPr>
              <w:t>.</w:t>
            </w:r>
            <w:r w:rsidRPr="00F8404A">
              <w:rPr>
                <w:rFonts w:asciiTheme="minorHAnsi" w:hAnsiTheme="minorHAnsi" w:cstheme="minorHAnsi"/>
                <w:bCs/>
              </w:rPr>
              <w:t>3</w:t>
            </w:r>
          </w:p>
        </w:tc>
        <w:tc>
          <w:tcPr>
            <w:tcW w:w="1239" w:type="dxa"/>
            <w:tcBorders>
              <w:top w:val="single" w:sz="6" w:space="0" w:color="auto"/>
              <w:left w:val="single" w:sz="4" w:space="0" w:color="auto"/>
              <w:bottom w:val="single" w:sz="6" w:space="0" w:color="auto"/>
              <w:right w:val="single" w:sz="4" w:space="0" w:color="auto"/>
            </w:tcBorders>
            <w:vAlign w:val="bottom"/>
          </w:tcPr>
          <w:p w:rsidR="00F26FA3" w:rsidRPr="00F81976" w:rsidRDefault="00F26FA3" w:rsidP="00F26FA3">
            <w:pPr>
              <w:jc w:val="right"/>
              <w:rPr>
                <w:rFonts w:asciiTheme="minorHAnsi" w:hAnsiTheme="minorHAnsi" w:cstheme="minorHAnsi"/>
                <w:bCs/>
              </w:rPr>
            </w:pPr>
            <w:r>
              <w:rPr>
                <w:rFonts w:asciiTheme="minorHAnsi" w:hAnsiTheme="minorHAnsi" w:cstheme="minorHAnsi"/>
                <w:bCs/>
              </w:rPr>
              <w:t>+36.5%</w:t>
            </w:r>
          </w:p>
        </w:tc>
        <w:tc>
          <w:tcPr>
            <w:tcW w:w="1239" w:type="dxa"/>
            <w:tcBorders>
              <w:top w:val="single" w:sz="6" w:space="0" w:color="auto"/>
              <w:left w:val="single" w:sz="4" w:space="0" w:color="auto"/>
              <w:bottom w:val="single" w:sz="6" w:space="0" w:color="auto"/>
            </w:tcBorders>
            <w:vAlign w:val="bottom"/>
          </w:tcPr>
          <w:p w:rsidR="00F26FA3" w:rsidRPr="00F81976" w:rsidRDefault="00F26FA3" w:rsidP="00F26FA3">
            <w:pPr>
              <w:jc w:val="right"/>
              <w:rPr>
                <w:rFonts w:asciiTheme="minorHAnsi" w:hAnsiTheme="minorHAnsi" w:cstheme="minorHAnsi"/>
                <w:bCs/>
              </w:rPr>
            </w:pPr>
            <w:r>
              <w:rPr>
                <w:rFonts w:asciiTheme="minorHAnsi" w:hAnsiTheme="minorHAnsi" w:cstheme="minorHAnsi"/>
                <w:bCs/>
              </w:rPr>
              <w:t>+40.3%</w:t>
            </w:r>
          </w:p>
        </w:tc>
      </w:tr>
      <w:tr w:rsidR="00F81654" w:rsidRPr="00F81976" w:rsidTr="00C96DBD">
        <w:trPr>
          <w:trHeight w:val="347"/>
          <w:jc w:val="center"/>
        </w:trPr>
        <w:tc>
          <w:tcPr>
            <w:tcW w:w="4769" w:type="dxa"/>
            <w:tcBorders>
              <w:top w:val="single" w:sz="6" w:space="0" w:color="auto"/>
              <w:bottom w:val="single" w:sz="4" w:space="0" w:color="auto"/>
            </w:tcBorders>
            <w:vAlign w:val="bottom"/>
          </w:tcPr>
          <w:p w:rsidR="00F81654" w:rsidRDefault="00F81654" w:rsidP="00F81654">
            <w:pPr>
              <w:rPr>
                <w:rFonts w:asciiTheme="minorHAnsi" w:hAnsiTheme="minorHAnsi" w:cstheme="minorHAnsi"/>
                <w:bCs/>
              </w:rPr>
            </w:pPr>
            <w:proofErr w:type="spellStart"/>
            <w:r>
              <w:rPr>
                <w:rFonts w:asciiTheme="minorHAnsi" w:hAnsiTheme="minorHAnsi" w:cstheme="minorHAnsi"/>
                <w:bCs/>
              </w:rPr>
              <w:t>Earnings</w:t>
            </w:r>
            <w:proofErr w:type="spellEnd"/>
            <w:r>
              <w:rPr>
                <w:rFonts w:asciiTheme="minorHAnsi" w:hAnsiTheme="minorHAnsi" w:cstheme="minorHAnsi"/>
                <w:bCs/>
              </w:rPr>
              <w:t xml:space="preserve"> per </w:t>
            </w:r>
            <w:proofErr w:type="spellStart"/>
            <w:r>
              <w:rPr>
                <w:rFonts w:asciiTheme="minorHAnsi" w:hAnsiTheme="minorHAnsi" w:cstheme="minorHAnsi"/>
                <w:bCs/>
              </w:rPr>
              <w:t>share</w:t>
            </w:r>
            <w:proofErr w:type="spellEnd"/>
          </w:p>
        </w:tc>
        <w:tc>
          <w:tcPr>
            <w:tcW w:w="1275" w:type="dxa"/>
            <w:tcBorders>
              <w:top w:val="single" w:sz="6" w:space="0" w:color="auto"/>
              <w:bottom w:val="single" w:sz="6" w:space="0" w:color="auto"/>
              <w:right w:val="single" w:sz="4" w:space="0" w:color="auto"/>
            </w:tcBorders>
            <w:vAlign w:val="bottom"/>
          </w:tcPr>
          <w:p w:rsidR="00F81654" w:rsidRDefault="00F81654" w:rsidP="00F81654">
            <w:pPr>
              <w:jc w:val="right"/>
              <w:rPr>
                <w:rFonts w:asciiTheme="minorHAnsi" w:hAnsiTheme="minorHAnsi" w:cstheme="minorHAnsi"/>
                <w:bCs/>
              </w:rPr>
            </w:pPr>
            <w:r>
              <w:rPr>
                <w:rFonts w:asciiTheme="minorHAnsi" w:hAnsiTheme="minorHAnsi" w:cstheme="minorHAnsi"/>
                <w:bCs/>
              </w:rPr>
              <w:t>11.83</w:t>
            </w:r>
          </w:p>
        </w:tc>
        <w:tc>
          <w:tcPr>
            <w:tcW w:w="1276" w:type="dxa"/>
            <w:tcBorders>
              <w:top w:val="single" w:sz="6" w:space="0" w:color="auto"/>
              <w:bottom w:val="single" w:sz="6" w:space="0" w:color="auto"/>
            </w:tcBorders>
            <w:vAlign w:val="bottom"/>
          </w:tcPr>
          <w:p w:rsidR="00F81654" w:rsidRPr="00F8404A" w:rsidRDefault="00F81654" w:rsidP="00F81654">
            <w:pPr>
              <w:jc w:val="right"/>
              <w:rPr>
                <w:rFonts w:asciiTheme="minorHAnsi" w:hAnsiTheme="minorHAnsi" w:cstheme="minorHAnsi"/>
                <w:bCs/>
              </w:rPr>
            </w:pPr>
            <w:r>
              <w:rPr>
                <w:rFonts w:asciiTheme="minorHAnsi" w:hAnsiTheme="minorHAnsi" w:cstheme="minorHAnsi"/>
                <w:bCs/>
              </w:rPr>
              <w:t>8.76</w:t>
            </w:r>
          </w:p>
        </w:tc>
        <w:tc>
          <w:tcPr>
            <w:tcW w:w="1239" w:type="dxa"/>
            <w:tcBorders>
              <w:top w:val="single" w:sz="6" w:space="0" w:color="auto"/>
              <w:left w:val="single" w:sz="4" w:space="0" w:color="auto"/>
              <w:bottom w:val="single" w:sz="6" w:space="0" w:color="auto"/>
              <w:right w:val="single" w:sz="4" w:space="0" w:color="auto"/>
            </w:tcBorders>
            <w:vAlign w:val="bottom"/>
          </w:tcPr>
          <w:p w:rsidR="00F81654" w:rsidRDefault="00F81654" w:rsidP="00F81654">
            <w:pPr>
              <w:jc w:val="right"/>
              <w:rPr>
                <w:rFonts w:asciiTheme="minorHAnsi" w:hAnsiTheme="minorHAnsi" w:cstheme="minorHAnsi"/>
                <w:bCs/>
              </w:rPr>
            </w:pPr>
            <w:r>
              <w:rPr>
                <w:rFonts w:asciiTheme="minorHAnsi" w:hAnsiTheme="minorHAnsi" w:cstheme="minorHAnsi"/>
                <w:bCs/>
              </w:rPr>
              <w:t>+35.0%</w:t>
            </w:r>
          </w:p>
        </w:tc>
        <w:tc>
          <w:tcPr>
            <w:tcW w:w="1239" w:type="dxa"/>
            <w:tcBorders>
              <w:top w:val="single" w:sz="6" w:space="0" w:color="auto"/>
              <w:left w:val="single" w:sz="4" w:space="0" w:color="auto"/>
              <w:bottom w:val="single" w:sz="6" w:space="0" w:color="auto"/>
            </w:tcBorders>
            <w:vAlign w:val="bottom"/>
          </w:tcPr>
          <w:p w:rsidR="00F81654" w:rsidRDefault="00F81654" w:rsidP="00F81654">
            <w:pPr>
              <w:jc w:val="right"/>
              <w:rPr>
                <w:rFonts w:asciiTheme="minorHAnsi" w:hAnsiTheme="minorHAnsi" w:cstheme="minorHAnsi"/>
                <w:bCs/>
              </w:rPr>
            </w:pPr>
            <w:r>
              <w:rPr>
                <w:rFonts w:asciiTheme="minorHAnsi" w:hAnsiTheme="minorHAnsi" w:cstheme="minorHAnsi"/>
                <w:bCs/>
              </w:rPr>
              <w:t>+38.8%</w:t>
            </w:r>
          </w:p>
        </w:tc>
      </w:tr>
      <w:tr w:rsidR="00F26FA3" w:rsidRPr="00F81976" w:rsidTr="00CD7376">
        <w:trPr>
          <w:trHeight w:val="421"/>
          <w:jc w:val="center"/>
        </w:trPr>
        <w:tc>
          <w:tcPr>
            <w:tcW w:w="4769" w:type="dxa"/>
            <w:tcBorders>
              <w:bottom w:val="nil"/>
            </w:tcBorders>
            <w:vAlign w:val="bottom"/>
          </w:tcPr>
          <w:p w:rsidR="00F26FA3" w:rsidRPr="00014F9D" w:rsidRDefault="00F26FA3" w:rsidP="00F26FA3">
            <w:pPr>
              <w:rPr>
                <w:rFonts w:asciiTheme="minorHAnsi" w:hAnsiTheme="minorHAnsi" w:cstheme="minorHAnsi"/>
                <w:b/>
                <w:bCs/>
              </w:rPr>
            </w:pPr>
          </w:p>
        </w:tc>
        <w:tc>
          <w:tcPr>
            <w:tcW w:w="1275" w:type="dxa"/>
            <w:tcBorders>
              <w:top w:val="single" w:sz="6" w:space="0" w:color="auto"/>
              <w:bottom w:val="nil"/>
            </w:tcBorders>
            <w:vAlign w:val="bottom"/>
          </w:tcPr>
          <w:p w:rsidR="00F26FA3" w:rsidRDefault="00F26FA3" w:rsidP="00F26FA3">
            <w:pPr>
              <w:jc w:val="right"/>
              <w:rPr>
                <w:rFonts w:asciiTheme="minorHAnsi" w:hAnsiTheme="minorHAnsi" w:cstheme="minorHAnsi"/>
                <w:bCs/>
              </w:rPr>
            </w:pPr>
          </w:p>
        </w:tc>
        <w:tc>
          <w:tcPr>
            <w:tcW w:w="1276" w:type="dxa"/>
            <w:tcBorders>
              <w:top w:val="single" w:sz="6" w:space="0" w:color="auto"/>
              <w:bottom w:val="nil"/>
            </w:tcBorders>
            <w:vAlign w:val="bottom"/>
          </w:tcPr>
          <w:p w:rsidR="00F26FA3" w:rsidRPr="00F8404A" w:rsidRDefault="00F26FA3" w:rsidP="00F26FA3">
            <w:pPr>
              <w:jc w:val="right"/>
              <w:rPr>
                <w:rFonts w:asciiTheme="minorHAnsi" w:hAnsiTheme="minorHAnsi" w:cstheme="minorHAnsi"/>
                <w:bCs/>
              </w:rPr>
            </w:pPr>
          </w:p>
        </w:tc>
        <w:tc>
          <w:tcPr>
            <w:tcW w:w="1239" w:type="dxa"/>
            <w:tcBorders>
              <w:top w:val="single" w:sz="6" w:space="0" w:color="auto"/>
              <w:bottom w:val="nil"/>
            </w:tcBorders>
            <w:vAlign w:val="bottom"/>
          </w:tcPr>
          <w:p w:rsidR="00F26FA3" w:rsidRDefault="00F26FA3" w:rsidP="00F26FA3">
            <w:pPr>
              <w:jc w:val="right"/>
              <w:rPr>
                <w:rFonts w:asciiTheme="minorHAnsi" w:hAnsiTheme="minorHAnsi" w:cstheme="minorHAnsi"/>
                <w:bCs/>
              </w:rPr>
            </w:pPr>
          </w:p>
        </w:tc>
        <w:tc>
          <w:tcPr>
            <w:tcW w:w="1239" w:type="dxa"/>
            <w:tcBorders>
              <w:top w:val="single" w:sz="6" w:space="0" w:color="auto"/>
              <w:bottom w:val="nil"/>
            </w:tcBorders>
            <w:vAlign w:val="bottom"/>
          </w:tcPr>
          <w:p w:rsidR="00F26FA3" w:rsidRDefault="00F26FA3" w:rsidP="00F26FA3">
            <w:pPr>
              <w:jc w:val="right"/>
              <w:rPr>
                <w:rFonts w:asciiTheme="minorHAnsi" w:hAnsiTheme="minorHAnsi" w:cstheme="minorHAnsi"/>
                <w:bCs/>
              </w:rPr>
            </w:pPr>
          </w:p>
        </w:tc>
      </w:tr>
      <w:tr w:rsidR="00F26FA3" w:rsidRPr="00F81976" w:rsidTr="00CD7376">
        <w:trPr>
          <w:trHeight w:val="421"/>
          <w:jc w:val="center"/>
        </w:trPr>
        <w:tc>
          <w:tcPr>
            <w:tcW w:w="4769" w:type="dxa"/>
            <w:tcBorders>
              <w:top w:val="nil"/>
              <w:bottom w:val="single" w:sz="4" w:space="0" w:color="auto"/>
            </w:tcBorders>
            <w:vAlign w:val="bottom"/>
          </w:tcPr>
          <w:p w:rsidR="00F26FA3" w:rsidRPr="00014F9D" w:rsidRDefault="00F26FA3" w:rsidP="00F26FA3">
            <w:pPr>
              <w:rPr>
                <w:rFonts w:asciiTheme="minorHAnsi" w:hAnsiTheme="minorHAnsi" w:cstheme="minorHAnsi"/>
                <w:b/>
                <w:bCs/>
              </w:rPr>
            </w:pPr>
            <w:r>
              <w:rPr>
                <w:rFonts w:asciiTheme="minorHAnsi" w:hAnsiTheme="minorHAnsi" w:cstheme="minorHAnsi"/>
                <w:b/>
                <w:bCs/>
              </w:rPr>
              <w:t>Adjusted</w:t>
            </w:r>
            <w:r w:rsidR="004C0588" w:rsidRPr="004C0588">
              <w:rPr>
                <w:rFonts w:asciiTheme="minorHAnsi" w:hAnsiTheme="minorHAnsi" w:cstheme="minorHAnsi"/>
                <w:b/>
                <w:bCs/>
                <w:vertAlign w:val="superscript"/>
              </w:rPr>
              <w:t>1)</w:t>
            </w:r>
          </w:p>
        </w:tc>
        <w:tc>
          <w:tcPr>
            <w:tcW w:w="1275" w:type="dxa"/>
            <w:tcBorders>
              <w:top w:val="nil"/>
              <w:bottom w:val="single" w:sz="6" w:space="0" w:color="auto"/>
              <w:right w:val="single" w:sz="4" w:space="0" w:color="auto"/>
            </w:tcBorders>
            <w:vAlign w:val="bottom"/>
          </w:tcPr>
          <w:p w:rsidR="00F26FA3" w:rsidRDefault="00F26FA3" w:rsidP="00F26FA3">
            <w:pPr>
              <w:jc w:val="right"/>
              <w:rPr>
                <w:rFonts w:asciiTheme="minorHAnsi" w:hAnsiTheme="minorHAnsi" w:cstheme="minorHAnsi"/>
                <w:bCs/>
              </w:rPr>
            </w:pPr>
          </w:p>
        </w:tc>
        <w:tc>
          <w:tcPr>
            <w:tcW w:w="1276" w:type="dxa"/>
            <w:tcBorders>
              <w:top w:val="nil"/>
              <w:bottom w:val="single" w:sz="6" w:space="0" w:color="auto"/>
            </w:tcBorders>
            <w:vAlign w:val="bottom"/>
          </w:tcPr>
          <w:p w:rsidR="00F26FA3" w:rsidRPr="00F8404A" w:rsidRDefault="00F26FA3" w:rsidP="00F26FA3">
            <w:pPr>
              <w:jc w:val="right"/>
              <w:rPr>
                <w:rFonts w:asciiTheme="minorHAnsi" w:hAnsiTheme="minorHAnsi" w:cstheme="minorHAnsi"/>
                <w:bCs/>
              </w:rPr>
            </w:pPr>
          </w:p>
        </w:tc>
        <w:tc>
          <w:tcPr>
            <w:tcW w:w="1239" w:type="dxa"/>
            <w:tcBorders>
              <w:top w:val="nil"/>
              <w:left w:val="single" w:sz="4" w:space="0" w:color="auto"/>
              <w:bottom w:val="single" w:sz="6" w:space="0" w:color="auto"/>
              <w:right w:val="single" w:sz="4" w:space="0" w:color="auto"/>
            </w:tcBorders>
            <w:vAlign w:val="bottom"/>
          </w:tcPr>
          <w:p w:rsidR="00F26FA3" w:rsidRDefault="00F26FA3" w:rsidP="00F26FA3">
            <w:pPr>
              <w:jc w:val="right"/>
              <w:rPr>
                <w:rFonts w:asciiTheme="minorHAnsi" w:hAnsiTheme="minorHAnsi" w:cstheme="minorHAnsi"/>
                <w:bCs/>
              </w:rPr>
            </w:pPr>
          </w:p>
        </w:tc>
        <w:tc>
          <w:tcPr>
            <w:tcW w:w="1239" w:type="dxa"/>
            <w:tcBorders>
              <w:top w:val="nil"/>
              <w:left w:val="single" w:sz="4" w:space="0" w:color="auto"/>
              <w:bottom w:val="single" w:sz="6" w:space="0" w:color="auto"/>
              <w:right w:val="single" w:sz="4" w:space="0" w:color="auto"/>
            </w:tcBorders>
            <w:vAlign w:val="bottom"/>
          </w:tcPr>
          <w:p w:rsidR="00F26FA3" w:rsidRDefault="00F26FA3" w:rsidP="00F26FA3">
            <w:pPr>
              <w:jc w:val="right"/>
              <w:rPr>
                <w:rFonts w:asciiTheme="minorHAnsi" w:hAnsiTheme="minorHAnsi" w:cstheme="minorHAnsi"/>
                <w:bCs/>
              </w:rPr>
            </w:pPr>
          </w:p>
        </w:tc>
      </w:tr>
      <w:tr w:rsidR="00F26FA3" w:rsidRPr="00F81976" w:rsidTr="00CD7376">
        <w:trPr>
          <w:trHeight w:val="421"/>
          <w:jc w:val="center"/>
        </w:trPr>
        <w:tc>
          <w:tcPr>
            <w:tcW w:w="4769" w:type="dxa"/>
            <w:tcBorders>
              <w:bottom w:val="single" w:sz="4" w:space="0" w:color="auto"/>
            </w:tcBorders>
            <w:vAlign w:val="bottom"/>
          </w:tcPr>
          <w:p w:rsidR="00F26FA3" w:rsidRPr="00F81976" w:rsidRDefault="00F26FA3" w:rsidP="00F26FA3">
            <w:pPr>
              <w:rPr>
                <w:rFonts w:asciiTheme="minorHAnsi" w:hAnsiTheme="minorHAnsi" w:cstheme="minorHAnsi"/>
                <w:bCs/>
              </w:rPr>
            </w:pPr>
            <w:r>
              <w:rPr>
                <w:rFonts w:asciiTheme="minorHAnsi" w:hAnsiTheme="minorHAnsi" w:cstheme="minorHAnsi"/>
                <w:bCs/>
                <w:lang w:val="en-US"/>
              </w:rPr>
              <w:t>R</w:t>
            </w:r>
            <w:r w:rsidRPr="004959DF">
              <w:rPr>
                <w:rFonts w:asciiTheme="minorHAnsi" w:hAnsiTheme="minorHAnsi" w:cstheme="minorHAnsi"/>
                <w:bCs/>
                <w:lang w:val="en-US"/>
              </w:rPr>
              <w:t>evenue</w:t>
            </w:r>
          </w:p>
        </w:tc>
        <w:tc>
          <w:tcPr>
            <w:tcW w:w="1275" w:type="dxa"/>
            <w:tcBorders>
              <w:top w:val="single" w:sz="6" w:space="0" w:color="auto"/>
              <w:bottom w:val="single" w:sz="4" w:space="0" w:color="auto"/>
            </w:tcBorders>
            <w:vAlign w:val="bottom"/>
          </w:tcPr>
          <w:p w:rsidR="00F26FA3" w:rsidRPr="00F81976" w:rsidRDefault="00F26FA3" w:rsidP="00F26FA3">
            <w:pPr>
              <w:jc w:val="right"/>
              <w:rPr>
                <w:rFonts w:asciiTheme="minorHAnsi" w:hAnsiTheme="minorHAnsi" w:cstheme="minorHAnsi"/>
                <w:bCs/>
              </w:rPr>
            </w:pPr>
            <w:r>
              <w:rPr>
                <w:rFonts w:asciiTheme="minorHAnsi" w:hAnsiTheme="minorHAnsi" w:cstheme="minorHAnsi"/>
                <w:bCs/>
              </w:rPr>
              <w:t>1</w:t>
            </w:r>
            <w:r w:rsidR="004555C9">
              <w:rPr>
                <w:rFonts w:asciiTheme="minorHAnsi" w:hAnsiTheme="minorHAnsi" w:cstheme="minorHAnsi"/>
                <w:bCs/>
              </w:rPr>
              <w:t>,</w:t>
            </w:r>
            <w:r>
              <w:rPr>
                <w:rFonts w:asciiTheme="minorHAnsi" w:hAnsiTheme="minorHAnsi" w:cstheme="minorHAnsi"/>
                <w:bCs/>
              </w:rPr>
              <w:t>028.6</w:t>
            </w:r>
          </w:p>
        </w:tc>
        <w:tc>
          <w:tcPr>
            <w:tcW w:w="1276" w:type="dxa"/>
            <w:tcBorders>
              <w:top w:val="single" w:sz="6" w:space="0" w:color="auto"/>
              <w:bottom w:val="single" w:sz="4" w:space="0" w:color="auto"/>
            </w:tcBorders>
            <w:vAlign w:val="bottom"/>
          </w:tcPr>
          <w:p w:rsidR="00F26FA3" w:rsidRPr="00F8404A" w:rsidRDefault="00F26FA3" w:rsidP="00F26FA3">
            <w:pPr>
              <w:jc w:val="right"/>
              <w:rPr>
                <w:rFonts w:asciiTheme="minorHAnsi" w:hAnsiTheme="minorHAnsi" w:cstheme="minorHAnsi"/>
                <w:bCs/>
              </w:rPr>
            </w:pPr>
            <w:r w:rsidRPr="00F8404A">
              <w:rPr>
                <w:rFonts w:asciiTheme="minorHAnsi" w:hAnsiTheme="minorHAnsi" w:cstheme="minorHAnsi"/>
                <w:bCs/>
              </w:rPr>
              <w:t>950</w:t>
            </w:r>
            <w:r>
              <w:rPr>
                <w:rFonts w:asciiTheme="minorHAnsi" w:hAnsiTheme="minorHAnsi" w:cstheme="minorHAnsi"/>
                <w:bCs/>
              </w:rPr>
              <w:t>.</w:t>
            </w:r>
            <w:r w:rsidRPr="00F8404A">
              <w:rPr>
                <w:rFonts w:asciiTheme="minorHAnsi" w:hAnsiTheme="minorHAnsi" w:cstheme="minorHAnsi"/>
                <w:bCs/>
              </w:rPr>
              <w:t>8</w:t>
            </w:r>
          </w:p>
        </w:tc>
        <w:tc>
          <w:tcPr>
            <w:tcW w:w="1239" w:type="dxa"/>
            <w:tcBorders>
              <w:top w:val="single" w:sz="6" w:space="0" w:color="auto"/>
              <w:bottom w:val="single" w:sz="4" w:space="0" w:color="auto"/>
            </w:tcBorders>
            <w:vAlign w:val="bottom"/>
          </w:tcPr>
          <w:p w:rsidR="00F26FA3" w:rsidRPr="00F81976" w:rsidRDefault="00F26FA3" w:rsidP="00F26FA3">
            <w:pPr>
              <w:jc w:val="right"/>
              <w:rPr>
                <w:rFonts w:asciiTheme="minorHAnsi" w:hAnsiTheme="minorHAnsi" w:cstheme="minorHAnsi"/>
                <w:bCs/>
              </w:rPr>
            </w:pPr>
            <w:r>
              <w:rPr>
                <w:rFonts w:asciiTheme="minorHAnsi" w:hAnsiTheme="minorHAnsi" w:cstheme="minorHAnsi"/>
                <w:bCs/>
              </w:rPr>
              <w:t>+8.2%</w:t>
            </w:r>
          </w:p>
        </w:tc>
        <w:tc>
          <w:tcPr>
            <w:tcW w:w="1239" w:type="dxa"/>
            <w:tcBorders>
              <w:top w:val="single" w:sz="6" w:space="0" w:color="auto"/>
              <w:bottom w:val="single" w:sz="4" w:space="0" w:color="auto"/>
            </w:tcBorders>
            <w:vAlign w:val="bottom"/>
          </w:tcPr>
          <w:p w:rsidR="00F26FA3" w:rsidRPr="00F81976" w:rsidRDefault="00F26FA3" w:rsidP="00F26FA3">
            <w:pPr>
              <w:jc w:val="right"/>
              <w:rPr>
                <w:rFonts w:asciiTheme="minorHAnsi" w:hAnsiTheme="minorHAnsi" w:cstheme="minorHAnsi"/>
                <w:bCs/>
              </w:rPr>
            </w:pPr>
            <w:r>
              <w:rPr>
                <w:rFonts w:asciiTheme="minorHAnsi" w:hAnsiTheme="minorHAnsi" w:cstheme="minorHAnsi"/>
                <w:bCs/>
              </w:rPr>
              <w:t>+10.6%</w:t>
            </w:r>
          </w:p>
        </w:tc>
      </w:tr>
      <w:tr w:rsidR="00F26FA3" w:rsidRPr="00E87C13" w:rsidTr="00CD7376">
        <w:trPr>
          <w:trHeight w:val="421"/>
          <w:jc w:val="center"/>
        </w:trPr>
        <w:tc>
          <w:tcPr>
            <w:tcW w:w="4769" w:type="dxa"/>
            <w:tcBorders>
              <w:bottom w:val="single" w:sz="4" w:space="0" w:color="auto"/>
            </w:tcBorders>
            <w:vAlign w:val="bottom"/>
          </w:tcPr>
          <w:p w:rsidR="00F26FA3" w:rsidRPr="008E0601" w:rsidRDefault="00F26FA3" w:rsidP="00F26FA3">
            <w:pPr>
              <w:rPr>
                <w:rFonts w:asciiTheme="minorHAnsi" w:hAnsiTheme="minorHAnsi" w:cstheme="minorHAnsi"/>
                <w:bCs/>
                <w:lang w:val="en-US"/>
              </w:rPr>
            </w:pPr>
            <w:r>
              <w:rPr>
                <w:rFonts w:asciiTheme="minorHAnsi" w:hAnsiTheme="minorHAnsi" w:cstheme="minorHAnsi"/>
                <w:bCs/>
                <w:lang w:val="en-US"/>
              </w:rPr>
              <w:t>O</w:t>
            </w:r>
            <w:r w:rsidRPr="00A525D4">
              <w:rPr>
                <w:rFonts w:asciiTheme="minorHAnsi" w:hAnsiTheme="minorHAnsi" w:cstheme="minorHAnsi"/>
                <w:bCs/>
                <w:lang w:val="en-US"/>
              </w:rPr>
              <w:t>perating profit</w:t>
            </w:r>
            <w:r>
              <w:rPr>
                <w:rFonts w:asciiTheme="minorHAnsi" w:hAnsiTheme="minorHAnsi" w:cstheme="minorHAnsi"/>
                <w:bCs/>
                <w:lang w:val="en-US"/>
              </w:rPr>
              <w:t xml:space="preserve"> before</w:t>
            </w:r>
            <w:r w:rsidR="009605EB">
              <w:rPr>
                <w:rFonts w:asciiTheme="minorHAnsi" w:hAnsiTheme="minorHAnsi" w:cstheme="minorHAnsi"/>
                <w:bCs/>
                <w:lang w:val="en-US"/>
              </w:rPr>
              <w:t xml:space="preserve"> </w:t>
            </w:r>
            <w:r w:rsidRPr="008E0601">
              <w:rPr>
                <w:rFonts w:asciiTheme="minorHAnsi" w:hAnsiTheme="minorHAnsi" w:cstheme="minorHAnsi"/>
                <w:bCs/>
                <w:lang w:val="en-US"/>
              </w:rPr>
              <w:t>exceptional items</w:t>
            </w:r>
          </w:p>
        </w:tc>
        <w:tc>
          <w:tcPr>
            <w:tcW w:w="1275" w:type="dxa"/>
            <w:tcBorders>
              <w:bottom w:val="single" w:sz="4" w:space="0" w:color="auto"/>
            </w:tcBorders>
            <w:vAlign w:val="bottom"/>
          </w:tcPr>
          <w:p w:rsidR="00F26FA3" w:rsidRPr="002804BC" w:rsidRDefault="00F26FA3" w:rsidP="00F26FA3">
            <w:pPr>
              <w:jc w:val="right"/>
              <w:rPr>
                <w:rFonts w:asciiTheme="minorHAnsi" w:hAnsiTheme="minorHAnsi" w:cstheme="minorHAnsi"/>
                <w:bCs/>
                <w:sz w:val="18"/>
                <w:szCs w:val="18"/>
              </w:rPr>
            </w:pPr>
            <w:r>
              <w:rPr>
                <w:rFonts w:asciiTheme="minorHAnsi" w:hAnsiTheme="minorHAnsi" w:cstheme="minorHAnsi"/>
                <w:bCs/>
              </w:rPr>
              <w:t>130.3</w:t>
            </w:r>
          </w:p>
        </w:tc>
        <w:tc>
          <w:tcPr>
            <w:tcW w:w="1276" w:type="dxa"/>
            <w:tcBorders>
              <w:bottom w:val="single" w:sz="4" w:space="0" w:color="auto"/>
            </w:tcBorders>
            <w:vAlign w:val="bottom"/>
          </w:tcPr>
          <w:p w:rsidR="00F26FA3" w:rsidRPr="00F8404A" w:rsidRDefault="00F26FA3" w:rsidP="00F26FA3">
            <w:pPr>
              <w:jc w:val="right"/>
              <w:rPr>
                <w:rFonts w:asciiTheme="minorHAnsi" w:hAnsiTheme="minorHAnsi" w:cstheme="minorHAnsi"/>
                <w:bCs/>
                <w:sz w:val="18"/>
                <w:szCs w:val="18"/>
              </w:rPr>
            </w:pPr>
            <w:r w:rsidRPr="00F8404A">
              <w:rPr>
                <w:rFonts w:asciiTheme="minorHAnsi" w:hAnsiTheme="minorHAnsi" w:cstheme="minorHAnsi"/>
                <w:bCs/>
              </w:rPr>
              <w:t>99</w:t>
            </w:r>
            <w:r>
              <w:rPr>
                <w:rFonts w:asciiTheme="minorHAnsi" w:hAnsiTheme="minorHAnsi" w:cstheme="minorHAnsi"/>
                <w:bCs/>
              </w:rPr>
              <w:t>.</w:t>
            </w:r>
            <w:r w:rsidRPr="00F8404A">
              <w:rPr>
                <w:rFonts w:asciiTheme="minorHAnsi" w:hAnsiTheme="minorHAnsi" w:cstheme="minorHAnsi"/>
                <w:bCs/>
              </w:rPr>
              <w:t>9</w:t>
            </w:r>
          </w:p>
        </w:tc>
        <w:tc>
          <w:tcPr>
            <w:tcW w:w="1239" w:type="dxa"/>
            <w:tcBorders>
              <w:bottom w:val="single" w:sz="4" w:space="0" w:color="auto"/>
            </w:tcBorders>
            <w:vAlign w:val="bottom"/>
          </w:tcPr>
          <w:p w:rsidR="00F26FA3" w:rsidRPr="002804BC" w:rsidRDefault="00F26FA3" w:rsidP="00F26FA3">
            <w:pPr>
              <w:jc w:val="right"/>
              <w:rPr>
                <w:rFonts w:asciiTheme="minorHAnsi" w:hAnsiTheme="minorHAnsi" w:cstheme="minorHAnsi"/>
                <w:bCs/>
                <w:sz w:val="18"/>
                <w:szCs w:val="18"/>
              </w:rPr>
            </w:pPr>
            <w:r>
              <w:rPr>
                <w:rFonts w:asciiTheme="minorHAnsi" w:hAnsiTheme="minorHAnsi" w:cstheme="minorHAnsi"/>
                <w:bCs/>
              </w:rPr>
              <w:t>+30.5%</w:t>
            </w:r>
          </w:p>
        </w:tc>
        <w:tc>
          <w:tcPr>
            <w:tcW w:w="1239" w:type="dxa"/>
            <w:tcBorders>
              <w:bottom w:val="single" w:sz="4" w:space="0" w:color="auto"/>
            </w:tcBorders>
            <w:vAlign w:val="bottom"/>
          </w:tcPr>
          <w:p w:rsidR="00F26FA3" w:rsidRPr="002804BC" w:rsidRDefault="00F26FA3" w:rsidP="00F26FA3">
            <w:pPr>
              <w:jc w:val="right"/>
              <w:rPr>
                <w:rFonts w:asciiTheme="minorHAnsi" w:hAnsiTheme="minorHAnsi" w:cstheme="minorHAnsi"/>
                <w:bCs/>
                <w:sz w:val="18"/>
                <w:szCs w:val="18"/>
              </w:rPr>
            </w:pPr>
            <w:r>
              <w:rPr>
                <w:rFonts w:asciiTheme="minorHAnsi" w:hAnsiTheme="minorHAnsi" w:cstheme="minorHAnsi"/>
                <w:bCs/>
              </w:rPr>
              <w:t>+34.0%</w:t>
            </w:r>
          </w:p>
        </w:tc>
      </w:tr>
      <w:tr w:rsidR="00F26FA3" w:rsidRPr="00E87C13" w:rsidTr="00CD7376">
        <w:trPr>
          <w:trHeight w:val="421"/>
          <w:jc w:val="center"/>
        </w:trPr>
        <w:tc>
          <w:tcPr>
            <w:tcW w:w="4769" w:type="dxa"/>
            <w:vAlign w:val="bottom"/>
          </w:tcPr>
          <w:p w:rsidR="00F26FA3" w:rsidRPr="00E87C13" w:rsidRDefault="00F26FA3" w:rsidP="00F26FA3">
            <w:pPr>
              <w:rPr>
                <w:rFonts w:asciiTheme="minorHAnsi" w:hAnsiTheme="minorHAnsi" w:cstheme="minorHAnsi"/>
                <w:bCs/>
                <w:lang w:val="en-US"/>
              </w:rPr>
            </w:pPr>
            <w:r>
              <w:rPr>
                <w:rFonts w:asciiTheme="minorHAnsi" w:hAnsiTheme="minorHAnsi" w:cstheme="minorHAnsi"/>
                <w:bCs/>
                <w:lang w:val="en-US"/>
              </w:rPr>
              <w:t>O</w:t>
            </w:r>
            <w:r w:rsidRPr="00E87C13">
              <w:rPr>
                <w:rFonts w:asciiTheme="minorHAnsi" w:hAnsiTheme="minorHAnsi" w:cstheme="minorHAnsi"/>
                <w:bCs/>
                <w:lang w:val="en-US"/>
              </w:rPr>
              <w:t>perating margin</w:t>
            </w:r>
            <w:r>
              <w:rPr>
                <w:rFonts w:asciiTheme="minorHAnsi" w:hAnsiTheme="minorHAnsi" w:cstheme="minorHAnsi"/>
                <w:bCs/>
                <w:lang w:val="en-US"/>
              </w:rPr>
              <w:t xml:space="preserve"> before</w:t>
            </w:r>
            <w:r w:rsidRPr="008E0601">
              <w:rPr>
                <w:rFonts w:asciiTheme="minorHAnsi" w:hAnsiTheme="minorHAnsi" w:cstheme="minorHAnsi"/>
                <w:bCs/>
                <w:lang w:val="en-US"/>
              </w:rPr>
              <w:t xml:space="preserve"> exceptional items</w:t>
            </w:r>
          </w:p>
        </w:tc>
        <w:tc>
          <w:tcPr>
            <w:tcW w:w="1275" w:type="dxa"/>
            <w:vAlign w:val="bottom"/>
          </w:tcPr>
          <w:p w:rsidR="00F26FA3" w:rsidRPr="00E15539" w:rsidRDefault="00F26FA3" w:rsidP="00F26FA3">
            <w:pPr>
              <w:ind w:left="336"/>
              <w:jc w:val="right"/>
              <w:rPr>
                <w:rFonts w:asciiTheme="minorHAnsi" w:hAnsiTheme="minorHAnsi" w:cstheme="minorHAnsi"/>
                <w:bCs/>
                <w:sz w:val="18"/>
                <w:szCs w:val="18"/>
              </w:rPr>
            </w:pPr>
            <w:r>
              <w:rPr>
                <w:rFonts w:asciiTheme="minorHAnsi" w:hAnsiTheme="minorHAnsi" w:cstheme="minorHAnsi"/>
                <w:bCs/>
              </w:rPr>
              <w:t>12.7%</w:t>
            </w:r>
          </w:p>
        </w:tc>
        <w:tc>
          <w:tcPr>
            <w:tcW w:w="1276" w:type="dxa"/>
            <w:vAlign w:val="bottom"/>
          </w:tcPr>
          <w:p w:rsidR="00F26FA3" w:rsidRPr="00F8404A" w:rsidRDefault="00F26FA3" w:rsidP="00F26FA3">
            <w:pPr>
              <w:ind w:left="336"/>
              <w:jc w:val="right"/>
              <w:rPr>
                <w:rFonts w:asciiTheme="minorHAnsi" w:hAnsiTheme="minorHAnsi" w:cstheme="minorHAnsi"/>
                <w:bCs/>
                <w:sz w:val="18"/>
                <w:szCs w:val="18"/>
              </w:rPr>
            </w:pPr>
            <w:r w:rsidRPr="00F8404A">
              <w:rPr>
                <w:rFonts w:asciiTheme="minorHAnsi" w:hAnsiTheme="minorHAnsi" w:cstheme="minorHAnsi"/>
                <w:bCs/>
              </w:rPr>
              <w:t>10</w:t>
            </w:r>
            <w:r>
              <w:rPr>
                <w:rFonts w:asciiTheme="minorHAnsi" w:hAnsiTheme="minorHAnsi" w:cstheme="minorHAnsi"/>
                <w:bCs/>
              </w:rPr>
              <w:t>.</w:t>
            </w:r>
            <w:r w:rsidRPr="00F8404A">
              <w:rPr>
                <w:rFonts w:asciiTheme="minorHAnsi" w:hAnsiTheme="minorHAnsi" w:cstheme="minorHAnsi"/>
                <w:bCs/>
              </w:rPr>
              <w:t>5%</w:t>
            </w:r>
          </w:p>
        </w:tc>
        <w:tc>
          <w:tcPr>
            <w:tcW w:w="1239" w:type="dxa"/>
            <w:vAlign w:val="bottom"/>
          </w:tcPr>
          <w:p w:rsidR="00F26FA3" w:rsidRPr="00E15539" w:rsidRDefault="00F26FA3" w:rsidP="00F26FA3">
            <w:pPr>
              <w:ind w:left="336"/>
              <w:jc w:val="right"/>
              <w:rPr>
                <w:rFonts w:asciiTheme="minorHAnsi" w:hAnsiTheme="minorHAnsi" w:cstheme="minorHAnsi"/>
                <w:bCs/>
                <w:sz w:val="18"/>
                <w:szCs w:val="18"/>
              </w:rPr>
            </w:pPr>
          </w:p>
        </w:tc>
        <w:tc>
          <w:tcPr>
            <w:tcW w:w="1239" w:type="dxa"/>
            <w:vAlign w:val="bottom"/>
          </w:tcPr>
          <w:p w:rsidR="00F26FA3" w:rsidRPr="00E15539" w:rsidRDefault="00F26FA3" w:rsidP="00F26FA3">
            <w:pPr>
              <w:ind w:left="336"/>
              <w:jc w:val="right"/>
              <w:rPr>
                <w:rFonts w:asciiTheme="minorHAnsi" w:hAnsiTheme="minorHAnsi" w:cstheme="minorHAnsi"/>
                <w:bCs/>
                <w:sz w:val="18"/>
                <w:szCs w:val="18"/>
              </w:rPr>
            </w:pPr>
          </w:p>
        </w:tc>
      </w:tr>
    </w:tbl>
    <w:p w:rsidR="00425FFD" w:rsidRDefault="00425FFD" w:rsidP="00425FFD">
      <w:pPr>
        <w:spacing w:before="0" w:beforeAutospacing="0" w:after="0" w:afterAutospacing="0" w:line="288" w:lineRule="auto"/>
        <w:rPr>
          <w:rFonts w:asciiTheme="minorHAnsi" w:hAnsiTheme="minorHAnsi" w:cstheme="minorHAnsi"/>
          <w:bCs/>
          <w:i/>
          <w:sz w:val="16"/>
          <w:szCs w:val="16"/>
          <w:lang w:val="en-US"/>
        </w:rPr>
      </w:pPr>
    </w:p>
    <w:p w:rsidR="00425FFD" w:rsidRPr="004C0588" w:rsidRDefault="00425FFD" w:rsidP="004C0588">
      <w:pPr>
        <w:pStyle w:val="ListParagraph"/>
        <w:numPr>
          <w:ilvl w:val="0"/>
          <w:numId w:val="3"/>
        </w:numPr>
        <w:spacing w:before="0" w:beforeAutospacing="0" w:after="0" w:afterAutospacing="0" w:line="288" w:lineRule="auto"/>
        <w:rPr>
          <w:rFonts w:asciiTheme="minorHAnsi" w:hAnsiTheme="minorHAnsi" w:cstheme="minorHAnsi"/>
          <w:bCs/>
          <w:i/>
          <w:sz w:val="16"/>
          <w:szCs w:val="16"/>
          <w:lang w:val="en-US"/>
        </w:rPr>
      </w:pPr>
      <w:r w:rsidRPr="004C0588">
        <w:rPr>
          <w:rFonts w:asciiTheme="minorHAnsi" w:hAnsiTheme="minorHAnsi" w:cstheme="minorHAnsi"/>
          <w:bCs/>
          <w:i/>
          <w:sz w:val="16"/>
          <w:szCs w:val="16"/>
          <w:lang w:val="en-US"/>
        </w:rPr>
        <w:t>with proportionate consolidation method for joint ventures ("Adjusted")</w:t>
      </w:r>
    </w:p>
    <w:p w:rsidR="00425FFD" w:rsidRPr="003115B1" w:rsidRDefault="00425FFD" w:rsidP="00425FFD">
      <w:pPr>
        <w:spacing w:before="0" w:beforeAutospacing="0" w:after="0" w:afterAutospacing="0"/>
        <w:rPr>
          <w:rFonts w:asciiTheme="minorHAnsi" w:hAnsiTheme="minorHAnsi" w:cstheme="minorHAnsi"/>
          <w:bCs/>
          <w:u w:val="single"/>
          <w:lang w:val="en-US"/>
        </w:rPr>
      </w:pPr>
      <w:r w:rsidRPr="003115B1">
        <w:rPr>
          <w:rFonts w:asciiTheme="minorHAnsi" w:hAnsiTheme="minorHAnsi" w:cstheme="minorHAnsi"/>
          <w:bCs/>
          <w:u w:val="single"/>
          <w:lang w:val="en-US"/>
        </w:rPr>
        <w:lastRenderedPageBreak/>
        <w:t>Overview</w:t>
      </w:r>
    </w:p>
    <w:p w:rsidR="004555C9" w:rsidRPr="004555C9" w:rsidRDefault="004555C9" w:rsidP="004555C9">
      <w:pPr>
        <w:spacing w:before="0" w:beforeAutospacing="0" w:after="0" w:afterAutospacing="0"/>
        <w:outlineLvl w:val="0"/>
        <w:rPr>
          <w:rStyle w:val="jlqj4b"/>
          <w:lang w:val="en"/>
        </w:rPr>
      </w:pPr>
      <w:r w:rsidRPr="004555C9">
        <w:rPr>
          <w:rStyle w:val="jlqj4b"/>
          <w:lang w:val="en"/>
        </w:rPr>
        <w:t>A shift in central bank monetary policy, away from quantitative easing and towards rate hikes, benefited the Group’s operations. This positive trend was reflected across all regions and products, particularly in foreign exchange and interest rate products</w:t>
      </w:r>
      <w:r w:rsidR="00DE4AEA">
        <w:rPr>
          <w:rStyle w:val="jlqj4b"/>
          <w:lang w:val="en"/>
        </w:rPr>
        <w:t xml:space="preserve"> and </w:t>
      </w:r>
      <w:r w:rsidRPr="004555C9">
        <w:rPr>
          <w:rStyle w:val="jlqj4b"/>
          <w:lang w:val="en"/>
        </w:rPr>
        <w:t xml:space="preserve">securities and security derivatives. With the easing of Covid-19 measures, the gradual transition back </w:t>
      </w:r>
      <w:r w:rsidR="00DE4AEA">
        <w:rPr>
          <w:rStyle w:val="jlqj4b"/>
          <w:lang w:val="en"/>
        </w:rPr>
        <w:t>to the office across</w:t>
      </w:r>
      <w:r w:rsidR="00DE4AEA" w:rsidRPr="004555C9">
        <w:rPr>
          <w:rStyle w:val="jlqj4b"/>
          <w:lang w:val="en"/>
        </w:rPr>
        <w:t xml:space="preserve"> </w:t>
      </w:r>
      <w:r w:rsidRPr="004555C9">
        <w:rPr>
          <w:rStyle w:val="jlqj4b"/>
          <w:lang w:val="en"/>
        </w:rPr>
        <w:t xml:space="preserve">the trading floors also benefited our activities, and generally enabled the financial markets to function more efficiently. </w:t>
      </w:r>
    </w:p>
    <w:p w:rsidR="004555C9" w:rsidRPr="004555C9" w:rsidRDefault="004555C9" w:rsidP="004555C9">
      <w:pPr>
        <w:spacing w:before="0" w:beforeAutospacing="0" w:after="0" w:afterAutospacing="0"/>
        <w:outlineLvl w:val="0"/>
        <w:rPr>
          <w:rStyle w:val="jlqj4b"/>
          <w:lang w:val="en"/>
        </w:rPr>
      </w:pPr>
    </w:p>
    <w:p w:rsidR="004555C9" w:rsidRDefault="004555C9" w:rsidP="004555C9">
      <w:pPr>
        <w:spacing w:before="0" w:beforeAutospacing="0" w:after="0" w:afterAutospacing="0"/>
        <w:outlineLvl w:val="0"/>
        <w:rPr>
          <w:rStyle w:val="jlqj4b"/>
          <w:lang w:val="en"/>
        </w:rPr>
      </w:pPr>
      <w:r w:rsidRPr="004555C9">
        <w:rPr>
          <w:rStyle w:val="jlqj4b"/>
          <w:lang w:val="en"/>
        </w:rPr>
        <w:t>Against this backdrop, the Group’s adjusted consolidated revenue was up 10.6% at constant exchange rates to CHF 1,028.6m, compared with CHF 950.8m in 2021. Adjusted revenue from interdealer broking business (IDB) grew 10.4% at constant exchange rates to CHF 994.7m, while revenue from the online forex trading business for retail investors in Japan (non-IDB), was ahead 14.6% to CHF 33.9m. At current exchange rates, adjusted consolidated revenue was up 8.2%, while IDB and non-IDB activity was up 8.5% and 0.3% respectively, caused by depreciation of JPY over the year.</w:t>
      </w:r>
    </w:p>
    <w:p w:rsidR="004555C9" w:rsidRPr="004555C9" w:rsidRDefault="004555C9" w:rsidP="004555C9">
      <w:pPr>
        <w:spacing w:before="0" w:beforeAutospacing="0" w:after="0" w:afterAutospacing="0"/>
        <w:outlineLvl w:val="0"/>
        <w:rPr>
          <w:rStyle w:val="jlqj4b"/>
          <w:lang w:val="en"/>
        </w:rPr>
      </w:pPr>
    </w:p>
    <w:p w:rsidR="004555C9" w:rsidRDefault="004555C9" w:rsidP="004555C9">
      <w:pPr>
        <w:spacing w:before="0" w:beforeAutospacing="0" w:after="0" w:afterAutospacing="0"/>
        <w:outlineLvl w:val="0"/>
        <w:rPr>
          <w:rStyle w:val="jlqj4b"/>
          <w:lang w:val="en"/>
        </w:rPr>
      </w:pPr>
      <w:r w:rsidRPr="004555C9">
        <w:rPr>
          <w:rStyle w:val="jlqj4b"/>
          <w:lang w:val="en"/>
        </w:rPr>
        <w:t>After an increase of 7.7% at constant exchange rates in the first half, adjusted consolidated revenue was up 13.8% at constant exchange rates in the second half compared to the same period in 2021, with IDB business growing by 13.9% and non-IDB business by 11.9%.</w:t>
      </w:r>
    </w:p>
    <w:p w:rsidR="004555C9" w:rsidRPr="004555C9" w:rsidRDefault="004555C9" w:rsidP="004555C9">
      <w:pPr>
        <w:spacing w:before="0" w:beforeAutospacing="0" w:after="0" w:afterAutospacing="0"/>
        <w:outlineLvl w:val="0"/>
        <w:rPr>
          <w:rStyle w:val="jlqj4b"/>
          <w:lang w:val="en"/>
        </w:rPr>
      </w:pPr>
    </w:p>
    <w:p w:rsidR="00C851EC" w:rsidRDefault="004555C9" w:rsidP="004555C9">
      <w:pPr>
        <w:spacing w:before="0" w:beforeAutospacing="0" w:after="0" w:afterAutospacing="0"/>
        <w:outlineLvl w:val="0"/>
        <w:rPr>
          <w:rFonts w:asciiTheme="minorHAnsi" w:hAnsiTheme="minorHAnsi" w:cstheme="minorHAnsi"/>
          <w:bCs/>
          <w:lang w:val="en-US"/>
        </w:rPr>
      </w:pPr>
      <w:r w:rsidRPr="004555C9">
        <w:rPr>
          <w:rStyle w:val="jlqj4b"/>
          <w:lang w:val="en"/>
        </w:rPr>
        <w:t>Adjusted operating profit before exceptional items was CHF 130.3m against CHF</w:t>
      </w:r>
      <w:r w:rsidR="00041651">
        <w:rPr>
          <w:rStyle w:val="jlqj4b"/>
          <w:lang w:val="en"/>
        </w:rPr>
        <w:t xml:space="preserve"> </w:t>
      </w:r>
      <w:r w:rsidRPr="004555C9">
        <w:rPr>
          <w:rStyle w:val="jlqj4b"/>
          <w:lang w:val="en"/>
        </w:rPr>
        <w:t>99.9m in 2021, an increase of 34.0% at constant exchange rates, with an operating margin of 12.7% and 10.5% respectively. Net exceptional costs represented CHF 12.9m compared with CHF 5.8m in the previous year and include a net amount of CHF 7.9m in relation to the Russian invasion of Ukraine.</w:t>
      </w:r>
    </w:p>
    <w:p w:rsidR="00425FFD" w:rsidRDefault="00425FFD" w:rsidP="00425FFD">
      <w:pPr>
        <w:spacing w:before="0" w:beforeAutospacing="0" w:after="0" w:afterAutospacing="0"/>
        <w:outlineLvl w:val="0"/>
        <w:rPr>
          <w:rFonts w:asciiTheme="minorHAnsi" w:hAnsiTheme="minorHAnsi" w:cstheme="minorHAnsi"/>
          <w:bCs/>
          <w:lang w:val="en-US"/>
        </w:rPr>
      </w:pPr>
    </w:p>
    <w:p w:rsidR="00425FFD" w:rsidRPr="00817E31" w:rsidRDefault="00425FFD" w:rsidP="00425FFD">
      <w:pPr>
        <w:spacing w:before="0" w:beforeAutospacing="0" w:after="0" w:afterAutospacing="0"/>
        <w:rPr>
          <w:rFonts w:asciiTheme="minorHAnsi" w:hAnsiTheme="minorHAnsi" w:cstheme="minorHAnsi"/>
          <w:bCs/>
          <w:lang w:val="en-US"/>
        </w:rPr>
      </w:pPr>
      <w:r>
        <w:rPr>
          <w:rFonts w:asciiTheme="minorHAnsi" w:hAnsiTheme="minorHAnsi" w:cstheme="minorHAnsi"/>
          <w:bCs/>
          <w:u w:val="single"/>
          <w:lang w:val="en-US"/>
        </w:rPr>
        <w:t>Reported r</w:t>
      </w:r>
      <w:r w:rsidRPr="00817E31">
        <w:rPr>
          <w:rFonts w:asciiTheme="minorHAnsi" w:hAnsiTheme="minorHAnsi" w:cstheme="minorHAnsi"/>
          <w:bCs/>
          <w:u w:val="single"/>
          <w:lang w:val="en-US"/>
        </w:rPr>
        <w:t>evenue</w:t>
      </w:r>
      <w:r>
        <w:rPr>
          <w:rFonts w:asciiTheme="minorHAnsi" w:hAnsiTheme="minorHAnsi" w:cstheme="minorHAnsi"/>
          <w:bCs/>
          <w:u w:val="single"/>
          <w:lang w:val="en-US"/>
        </w:rPr>
        <w:t xml:space="preserve"> and operating profit</w:t>
      </w:r>
    </w:p>
    <w:p w:rsidR="00C31F24" w:rsidRDefault="004555C9" w:rsidP="00C31F24">
      <w:pPr>
        <w:spacing w:before="0" w:beforeAutospacing="0" w:after="0" w:afterAutospacing="0"/>
        <w:rPr>
          <w:rFonts w:asciiTheme="minorHAnsi" w:hAnsiTheme="minorHAnsi" w:cstheme="minorHAnsi"/>
          <w:lang w:val="en-AU" w:eastAsia="fr-CH"/>
        </w:rPr>
      </w:pPr>
      <w:r w:rsidRPr="004555C9">
        <w:rPr>
          <w:rFonts w:asciiTheme="minorHAnsi" w:hAnsiTheme="minorHAnsi" w:cstheme="minorHAnsi"/>
          <w:lang w:val="en-AU" w:eastAsia="fr-CH"/>
        </w:rPr>
        <w:t>The Group’s activity grew during the year with reported consolidated revenue of CHF 947.4m compared with CHF 873.6m in 2021, up 10.5% at constant exchange rates, or 8.4% at current exchange rates.</w:t>
      </w:r>
    </w:p>
    <w:p w:rsidR="004555C9" w:rsidRPr="00E7472F" w:rsidRDefault="004555C9" w:rsidP="00C31F24">
      <w:pPr>
        <w:spacing w:before="0" w:beforeAutospacing="0" w:after="0" w:afterAutospacing="0"/>
        <w:rPr>
          <w:rFonts w:asciiTheme="minorHAnsi" w:hAnsiTheme="minorHAnsi" w:cs="Arial"/>
          <w:bCs/>
          <w:highlight w:val="yellow"/>
          <w:lang w:val="en-US"/>
        </w:rPr>
      </w:pPr>
    </w:p>
    <w:p w:rsidR="00C31F24" w:rsidRDefault="004555C9" w:rsidP="00C31F24">
      <w:pPr>
        <w:spacing w:before="0" w:beforeAutospacing="0" w:after="0" w:afterAutospacing="0"/>
        <w:rPr>
          <w:rFonts w:asciiTheme="minorHAnsi" w:hAnsiTheme="minorHAnsi" w:cstheme="minorHAnsi"/>
          <w:u w:val="single"/>
          <w:lang w:val="en-US"/>
        </w:rPr>
      </w:pPr>
      <w:r w:rsidRPr="004555C9">
        <w:rPr>
          <w:rFonts w:asciiTheme="minorHAnsi" w:hAnsiTheme="minorHAnsi" w:cs="GillSansMT"/>
          <w:lang w:val="en-AU" w:eastAsia="fr-CH"/>
        </w:rPr>
        <w:t>Reported operating profit for the year was CHF 94.2m against CHF 73.2m in 2021, an increase of 29.1% at constant exchange rates with an operating margin of 9.9% against 8.4% in the previous year. Excluding the Russia related impact, the operating margin was 10.8% against 8.4% in 2021</w:t>
      </w:r>
    </w:p>
    <w:p w:rsidR="004555C9" w:rsidRDefault="004555C9" w:rsidP="00425FFD">
      <w:pPr>
        <w:spacing w:before="0" w:beforeAutospacing="0" w:after="0" w:afterAutospacing="0"/>
        <w:rPr>
          <w:rFonts w:asciiTheme="minorHAnsi" w:hAnsiTheme="minorHAnsi" w:cstheme="minorHAnsi"/>
          <w:u w:val="single"/>
          <w:lang w:val="en-US"/>
        </w:rPr>
      </w:pPr>
    </w:p>
    <w:p w:rsidR="00425FFD" w:rsidRPr="00817E31" w:rsidRDefault="00425FFD" w:rsidP="00425FFD">
      <w:pPr>
        <w:spacing w:before="0" w:beforeAutospacing="0" w:after="0" w:afterAutospacing="0"/>
        <w:rPr>
          <w:rFonts w:asciiTheme="minorHAnsi" w:hAnsiTheme="minorHAnsi" w:cstheme="minorHAnsi"/>
          <w:u w:val="single"/>
          <w:lang w:val="en-US"/>
        </w:rPr>
      </w:pPr>
      <w:r w:rsidRPr="00817E31">
        <w:rPr>
          <w:rFonts w:asciiTheme="minorHAnsi" w:hAnsiTheme="minorHAnsi" w:cstheme="minorHAnsi"/>
          <w:u w:val="single"/>
          <w:lang w:val="en-US"/>
        </w:rPr>
        <w:t>Net profit</w:t>
      </w:r>
    </w:p>
    <w:p w:rsidR="004555C9" w:rsidRPr="004555C9" w:rsidRDefault="004555C9" w:rsidP="004555C9">
      <w:pPr>
        <w:spacing w:before="0" w:beforeAutospacing="0" w:after="0" w:afterAutospacing="0"/>
        <w:jc w:val="left"/>
        <w:rPr>
          <w:rFonts w:asciiTheme="minorHAnsi" w:hAnsiTheme="minorHAnsi" w:cs="GillSansMT"/>
          <w:lang w:val="en-AU" w:eastAsia="fr-CH"/>
        </w:rPr>
      </w:pPr>
      <w:r w:rsidRPr="004555C9">
        <w:rPr>
          <w:rFonts w:asciiTheme="minorHAnsi" w:hAnsiTheme="minorHAnsi" w:cs="GillSansMT"/>
          <w:lang w:val="en-AU" w:eastAsia="fr-CH"/>
        </w:rPr>
        <w:t xml:space="preserve">The Group recognised net financial expense of CHF 3.7m in 2022 against CHF 10.8m in the previous year. Net foreign exchange results due to exchange rate fluctuations positively impacted the Group’s financial income and represented a gain of CHF 5.0m for the year as a result of movements in the rouble, against a loss of CHF 1.7m in 2021. Interest expense on bank borrowings and bonds, net of interest income from short-term cash investments, totalled CHF 6.4m against CHF 6.5m in the previous year. </w:t>
      </w:r>
    </w:p>
    <w:p w:rsidR="004555C9" w:rsidRPr="004555C9" w:rsidRDefault="004555C9" w:rsidP="004555C9">
      <w:pPr>
        <w:spacing w:before="0" w:beforeAutospacing="0" w:after="0" w:afterAutospacing="0"/>
        <w:jc w:val="left"/>
        <w:rPr>
          <w:rFonts w:asciiTheme="minorHAnsi" w:hAnsiTheme="minorHAnsi" w:cs="GillSansMT"/>
          <w:lang w:val="en-AU" w:eastAsia="fr-CH"/>
        </w:rPr>
      </w:pPr>
    </w:p>
    <w:p w:rsidR="004555C9" w:rsidRPr="004555C9" w:rsidRDefault="004555C9" w:rsidP="004555C9">
      <w:pPr>
        <w:spacing w:before="0" w:beforeAutospacing="0" w:after="0" w:afterAutospacing="0"/>
        <w:jc w:val="left"/>
        <w:rPr>
          <w:rFonts w:asciiTheme="minorHAnsi" w:hAnsiTheme="minorHAnsi" w:cs="GillSansMT"/>
          <w:lang w:val="en-AU" w:eastAsia="fr-CH"/>
        </w:rPr>
      </w:pPr>
      <w:r w:rsidRPr="004555C9">
        <w:rPr>
          <w:rFonts w:asciiTheme="minorHAnsi" w:hAnsiTheme="minorHAnsi" w:cs="GillSansMT"/>
          <w:lang w:val="en-AU" w:eastAsia="fr-CH"/>
        </w:rPr>
        <w:t>The share in the results of associates and joint ventures was CHF 29.6m against CHF 22.6m in 2021, an increase of 38.6% at constant exchange rates.</w:t>
      </w:r>
    </w:p>
    <w:p w:rsidR="004555C9" w:rsidRPr="004555C9" w:rsidRDefault="004555C9" w:rsidP="004555C9">
      <w:pPr>
        <w:spacing w:before="0" w:beforeAutospacing="0" w:after="0" w:afterAutospacing="0"/>
        <w:jc w:val="left"/>
        <w:rPr>
          <w:rFonts w:asciiTheme="minorHAnsi" w:hAnsiTheme="minorHAnsi" w:cs="GillSansMT"/>
          <w:lang w:val="en-AU" w:eastAsia="fr-CH"/>
        </w:rPr>
      </w:pPr>
    </w:p>
    <w:p w:rsidR="004555C9" w:rsidRPr="004555C9" w:rsidRDefault="004555C9" w:rsidP="004555C9">
      <w:pPr>
        <w:spacing w:before="0" w:beforeAutospacing="0" w:after="0" w:afterAutospacing="0"/>
        <w:jc w:val="left"/>
        <w:rPr>
          <w:rFonts w:asciiTheme="minorHAnsi" w:hAnsiTheme="minorHAnsi" w:cs="GillSansMT"/>
          <w:lang w:val="en-AU" w:eastAsia="fr-CH"/>
        </w:rPr>
      </w:pPr>
      <w:r w:rsidRPr="004555C9">
        <w:rPr>
          <w:rFonts w:asciiTheme="minorHAnsi" w:hAnsiTheme="minorHAnsi" w:cs="GillSansMT"/>
          <w:lang w:val="en-AU" w:eastAsia="fr-CH"/>
        </w:rPr>
        <w:t>Profit before tax was CHF 120.1m against CHF 85.0m in 2021. The Group’s tax expense amounted to CHF 22.7m against CHF 13.5m in 2021, with an effective tax rate of 25% against 22% in the previous year.</w:t>
      </w:r>
    </w:p>
    <w:p w:rsidR="00C96DBD" w:rsidRDefault="00C96DBD">
      <w:pPr>
        <w:spacing w:before="0" w:beforeAutospacing="0" w:after="0" w:afterAutospacing="0"/>
        <w:jc w:val="left"/>
        <w:rPr>
          <w:rFonts w:asciiTheme="minorHAnsi" w:hAnsiTheme="minorHAnsi" w:cs="GillSansMT"/>
          <w:lang w:val="en-AU" w:eastAsia="fr-CH"/>
        </w:rPr>
      </w:pPr>
    </w:p>
    <w:p w:rsidR="00F54A50" w:rsidRDefault="004555C9" w:rsidP="00CD7386">
      <w:pPr>
        <w:spacing w:before="0" w:beforeAutospacing="0" w:after="0" w:afterAutospacing="0"/>
        <w:rPr>
          <w:rFonts w:asciiTheme="minorHAnsi" w:hAnsiTheme="minorHAnsi" w:cstheme="minorHAnsi"/>
          <w:u w:val="single"/>
          <w:lang w:val="en-US"/>
        </w:rPr>
      </w:pPr>
      <w:r w:rsidRPr="004555C9">
        <w:rPr>
          <w:rFonts w:asciiTheme="minorHAnsi" w:hAnsiTheme="minorHAnsi" w:cs="GillSansMT"/>
          <w:lang w:val="en-AU" w:eastAsia="fr-CH"/>
        </w:rPr>
        <w:t xml:space="preserve">Consolidated net profit was CHF 97.4m compared with CHF 71.5m in 2021 with a Group share of </w:t>
      </w:r>
      <w:r w:rsidR="00422E19">
        <w:rPr>
          <w:rFonts w:asciiTheme="minorHAnsi" w:hAnsiTheme="minorHAnsi" w:cs="GillSansMT"/>
          <w:lang w:val="en-AU" w:eastAsia="fr-CH"/>
        </w:rPr>
        <w:br/>
      </w:r>
      <w:r w:rsidRPr="004555C9">
        <w:rPr>
          <w:rFonts w:asciiTheme="minorHAnsi" w:hAnsiTheme="minorHAnsi" w:cs="GillSansMT"/>
          <w:lang w:val="en-AU" w:eastAsia="fr-CH"/>
        </w:rPr>
        <w:t>CHF 89.1m against CHF 65.3m in 2021, an increase of 40.3% at constant exchange rates</w:t>
      </w:r>
      <w:r w:rsidR="00C96DBD">
        <w:rPr>
          <w:rFonts w:asciiTheme="minorHAnsi" w:hAnsiTheme="minorHAnsi" w:cs="GillSansMT"/>
          <w:lang w:val="en-AU" w:eastAsia="fr-CH"/>
        </w:rPr>
        <w:t>. Hence, the basic earnings per share increase by 35.0% at current exchange rates to CHF 11.83 from CHF 8.76 in 2021.</w:t>
      </w:r>
    </w:p>
    <w:p w:rsidR="00425FFD" w:rsidRDefault="00425FFD" w:rsidP="00425FFD">
      <w:pPr>
        <w:spacing w:before="0" w:beforeAutospacing="0" w:after="0" w:afterAutospacing="0"/>
        <w:rPr>
          <w:rFonts w:asciiTheme="minorHAnsi" w:hAnsiTheme="minorHAnsi" w:cstheme="minorHAnsi"/>
          <w:u w:val="single"/>
          <w:lang w:val="en-US"/>
        </w:rPr>
      </w:pPr>
    </w:p>
    <w:p w:rsidR="00425FFD" w:rsidRPr="00817E31" w:rsidRDefault="00425FFD" w:rsidP="00425FFD">
      <w:pPr>
        <w:spacing w:before="0" w:beforeAutospacing="0" w:after="0" w:afterAutospacing="0"/>
        <w:rPr>
          <w:rFonts w:asciiTheme="minorHAnsi" w:hAnsiTheme="minorHAnsi" w:cstheme="minorHAnsi"/>
          <w:u w:val="single"/>
          <w:lang w:val="en-US"/>
        </w:rPr>
      </w:pPr>
      <w:r w:rsidRPr="00817E31">
        <w:rPr>
          <w:rFonts w:asciiTheme="minorHAnsi" w:hAnsiTheme="minorHAnsi" w:cstheme="minorHAnsi"/>
          <w:u w:val="single"/>
          <w:lang w:val="en-US"/>
        </w:rPr>
        <w:lastRenderedPageBreak/>
        <w:t>Balance sheet</w:t>
      </w:r>
    </w:p>
    <w:p w:rsidR="004555C9" w:rsidRPr="004555C9" w:rsidRDefault="004555C9" w:rsidP="004555C9">
      <w:pPr>
        <w:spacing w:before="0" w:beforeAutospacing="0" w:after="0" w:afterAutospacing="0"/>
        <w:rPr>
          <w:rFonts w:asciiTheme="minorHAnsi" w:hAnsiTheme="minorHAnsi" w:cstheme="minorHAnsi"/>
          <w:bCs/>
          <w:lang w:val="en-US"/>
        </w:rPr>
      </w:pPr>
      <w:r w:rsidRPr="004555C9">
        <w:rPr>
          <w:rFonts w:asciiTheme="minorHAnsi" w:hAnsiTheme="minorHAnsi" w:cstheme="minorHAnsi"/>
          <w:bCs/>
          <w:lang w:val="en-US"/>
        </w:rPr>
        <w:t>The Group maintained its focus on a sound balance sheet with a strong capital position while keeping a low level of intangible assets and a strong net cash position. Consolidated equity, before deduction of treasury shares of CHF 23.5m, was CHF 466.0m at 31 December 2022, with an increase in adjusted cash to CHF 243.1m, including the Group’s share of net cash held by joint ventures, compared with CHF 203.4m in 2021.</w:t>
      </w:r>
    </w:p>
    <w:p w:rsidR="004555C9" w:rsidRPr="004555C9" w:rsidRDefault="004555C9" w:rsidP="004555C9">
      <w:pPr>
        <w:spacing w:before="0" w:beforeAutospacing="0" w:after="0" w:afterAutospacing="0"/>
        <w:rPr>
          <w:rFonts w:asciiTheme="minorHAnsi" w:hAnsiTheme="minorHAnsi" w:cstheme="minorHAnsi"/>
          <w:bCs/>
          <w:lang w:val="en-US"/>
        </w:rPr>
      </w:pPr>
    </w:p>
    <w:p w:rsidR="00425FFD" w:rsidRDefault="004555C9" w:rsidP="004555C9">
      <w:pPr>
        <w:spacing w:before="0" w:beforeAutospacing="0" w:after="0" w:afterAutospacing="0"/>
        <w:rPr>
          <w:rFonts w:asciiTheme="minorHAnsi" w:hAnsiTheme="minorHAnsi" w:cstheme="minorHAnsi"/>
          <w:bCs/>
          <w:lang w:val="en-US"/>
        </w:rPr>
      </w:pPr>
      <w:r w:rsidRPr="004555C9">
        <w:rPr>
          <w:rFonts w:asciiTheme="minorHAnsi" w:hAnsiTheme="minorHAnsi" w:cstheme="minorHAnsi"/>
          <w:bCs/>
          <w:lang w:val="en-US"/>
        </w:rPr>
        <w:t xml:space="preserve">At 31 December 2022, consolidated equity stood at CHF 442.5m (2021: CHF 429.7m) of which </w:t>
      </w:r>
      <w:r w:rsidR="00422E19">
        <w:rPr>
          <w:rFonts w:asciiTheme="minorHAnsi" w:hAnsiTheme="minorHAnsi" w:cstheme="minorHAnsi"/>
          <w:bCs/>
          <w:lang w:val="en-US"/>
        </w:rPr>
        <w:br/>
      </w:r>
      <w:r w:rsidRPr="004555C9">
        <w:rPr>
          <w:rFonts w:asciiTheme="minorHAnsi" w:hAnsiTheme="minorHAnsi" w:cstheme="minorHAnsi"/>
          <w:bCs/>
          <w:lang w:val="en-US"/>
        </w:rPr>
        <w:t>CHF 416.8m was attributable to shareholders of the parent (2021: CHF 407.5m). Total adjusted cash, including financial assets at fair value, net of financial debts, was up to CHF 149.1m at 31 December 2022 against CHF 105,7m at 31 December 2021.</w:t>
      </w:r>
    </w:p>
    <w:p w:rsidR="00F26FA3" w:rsidRDefault="00F26FA3" w:rsidP="00F26FA3">
      <w:pPr>
        <w:spacing w:before="0" w:beforeAutospacing="0" w:after="0" w:afterAutospacing="0"/>
        <w:rPr>
          <w:rFonts w:asciiTheme="minorHAnsi" w:hAnsiTheme="minorHAnsi" w:cstheme="minorHAnsi"/>
          <w:bCs/>
          <w:lang w:val="en-US"/>
        </w:rPr>
      </w:pPr>
    </w:p>
    <w:p w:rsidR="00C96DBD" w:rsidRDefault="00C96DBD" w:rsidP="00F26FA3">
      <w:pPr>
        <w:spacing w:before="0" w:beforeAutospacing="0" w:after="0" w:afterAutospacing="0"/>
        <w:rPr>
          <w:rFonts w:asciiTheme="minorHAnsi" w:hAnsiTheme="minorHAnsi" w:cstheme="minorHAnsi"/>
          <w:color w:val="000000"/>
          <w:u w:val="single"/>
          <w:lang w:val="en-US"/>
        </w:rPr>
      </w:pPr>
    </w:p>
    <w:p w:rsidR="00F26FA3" w:rsidRDefault="00F26FA3" w:rsidP="00F26FA3">
      <w:pPr>
        <w:spacing w:before="0" w:beforeAutospacing="0" w:after="0" w:afterAutospacing="0"/>
        <w:rPr>
          <w:rFonts w:asciiTheme="minorHAnsi" w:hAnsiTheme="minorHAnsi" w:cstheme="minorHAnsi"/>
          <w:color w:val="000000"/>
          <w:u w:val="single"/>
          <w:lang w:val="en-US"/>
        </w:rPr>
      </w:pPr>
      <w:r>
        <w:rPr>
          <w:rFonts w:asciiTheme="minorHAnsi" w:hAnsiTheme="minorHAnsi" w:cstheme="minorHAnsi"/>
          <w:color w:val="000000"/>
          <w:u w:val="single"/>
          <w:lang w:val="en-US"/>
        </w:rPr>
        <w:t>Dividend</w:t>
      </w:r>
    </w:p>
    <w:p w:rsidR="00F26FA3" w:rsidRPr="007A5EE3" w:rsidRDefault="00F26FA3" w:rsidP="00F26FA3">
      <w:pPr>
        <w:spacing w:before="0" w:beforeAutospacing="0" w:after="0" w:afterAutospacing="0"/>
        <w:rPr>
          <w:lang w:val="en-AU"/>
        </w:rPr>
      </w:pPr>
      <w:r w:rsidRPr="003A060C">
        <w:rPr>
          <w:lang w:val="en-AU"/>
        </w:rPr>
        <w:t xml:space="preserve">At the Annual General Meeting to be held on </w:t>
      </w:r>
      <w:r>
        <w:rPr>
          <w:lang w:val="en-AU"/>
        </w:rPr>
        <w:t>2</w:t>
      </w:r>
      <w:r w:rsidR="00E7472F">
        <w:rPr>
          <w:lang w:val="en-AU"/>
        </w:rPr>
        <w:t>5</w:t>
      </w:r>
      <w:r>
        <w:rPr>
          <w:lang w:val="en-AU"/>
        </w:rPr>
        <w:t xml:space="preserve"> May 202</w:t>
      </w:r>
      <w:r w:rsidR="00E7472F">
        <w:rPr>
          <w:lang w:val="en-AU"/>
        </w:rPr>
        <w:t>3</w:t>
      </w:r>
      <w:r w:rsidRPr="003A060C">
        <w:rPr>
          <w:lang w:val="en-AU"/>
        </w:rPr>
        <w:t xml:space="preserve">, the Board will be seeking shareholders’ </w:t>
      </w:r>
      <w:r w:rsidRPr="00CB0938">
        <w:rPr>
          <w:lang w:val="en-AU"/>
        </w:rPr>
        <w:t>approval to pay a cash dividend of CHF 5.</w:t>
      </w:r>
      <w:r w:rsidR="00E7472F">
        <w:rPr>
          <w:lang w:val="en-AU"/>
        </w:rPr>
        <w:t>5</w:t>
      </w:r>
      <w:r w:rsidRPr="00CB0938">
        <w:rPr>
          <w:lang w:val="en-AU"/>
        </w:rPr>
        <w:t xml:space="preserve"> per share </w:t>
      </w:r>
      <w:r w:rsidRPr="003405E6">
        <w:rPr>
          <w:lang w:val="en-AU"/>
        </w:rPr>
        <w:t xml:space="preserve">(yield </w:t>
      </w:r>
      <w:r w:rsidRPr="00CD1AC3">
        <w:rPr>
          <w:lang w:val="en-AU"/>
        </w:rPr>
        <w:t xml:space="preserve">of </w:t>
      </w:r>
      <w:r w:rsidR="00E7472F" w:rsidRPr="00CD1AC3">
        <w:rPr>
          <w:lang w:val="en-AU"/>
        </w:rPr>
        <w:t>5.0</w:t>
      </w:r>
      <w:r w:rsidRPr="00CD1AC3">
        <w:rPr>
          <w:lang w:val="en-AU"/>
        </w:rPr>
        <w:t>%</w:t>
      </w:r>
      <w:r w:rsidRPr="00CD1AC3">
        <w:rPr>
          <w:vertAlign w:val="superscript"/>
          <w:lang w:val="en-AU"/>
        </w:rPr>
        <w:t>1)</w:t>
      </w:r>
      <w:r w:rsidRPr="00CD1AC3">
        <w:rPr>
          <w:lang w:val="en-AU"/>
        </w:rPr>
        <w:t>). In addition, a distribution of treasury shares will also be proposed with one share distributed for each 100 shares held</w:t>
      </w:r>
      <w:r w:rsidRPr="00CD1AC3">
        <w:rPr>
          <w:lang w:val="en-US"/>
        </w:rPr>
        <w:t xml:space="preserve"> </w:t>
      </w:r>
      <w:r w:rsidRPr="00CD1AC3">
        <w:rPr>
          <w:lang w:val="en-AU"/>
        </w:rPr>
        <w:t>(yield of 1.0% or CHF 1.1</w:t>
      </w:r>
      <w:r w:rsidRPr="00CD1AC3">
        <w:rPr>
          <w:vertAlign w:val="superscript"/>
          <w:lang w:val="en-AU"/>
        </w:rPr>
        <w:t>1)</w:t>
      </w:r>
      <w:r w:rsidRPr="00CD1AC3">
        <w:rPr>
          <w:lang w:val="en-AU"/>
        </w:rPr>
        <w:t>).</w:t>
      </w:r>
    </w:p>
    <w:p w:rsidR="00F26FA3" w:rsidRPr="00810B37" w:rsidRDefault="00F26FA3" w:rsidP="00F26FA3">
      <w:pPr>
        <w:spacing w:before="0" w:beforeAutospacing="0" w:after="0" w:afterAutospacing="0"/>
        <w:rPr>
          <w:rFonts w:asciiTheme="minorHAnsi" w:hAnsiTheme="minorHAnsi" w:cstheme="minorHAnsi"/>
          <w:bCs/>
          <w:lang w:val="en-US"/>
        </w:rPr>
      </w:pPr>
    </w:p>
    <w:p w:rsidR="00C31F24" w:rsidRPr="00425FFD" w:rsidRDefault="00C31F24" w:rsidP="00425FFD">
      <w:pPr>
        <w:spacing w:before="0" w:beforeAutospacing="0" w:after="0" w:afterAutospacing="0"/>
        <w:rPr>
          <w:rFonts w:asciiTheme="minorHAnsi" w:hAnsiTheme="minorHAnsi" w:cstheme="minorHAnsi"/>
          <w:bCs/>
          <w:lang w:val="en-US"/>
        </w:rPr>
      </w:pPr>
    </w:p>
    <w:p w:rsidR="00425FFD" w:rsidRPr="006D7AFE" w:rsidRDefault="00425FFD" w:rsidP="00425FFD">
      <w:pPr>
        <w:spacing w:before="0" w:beforeAutospacing="0" w:after="0" w:afterAutospacing="0"/>
        <w:rPr>
          <w:rFonts w:asciiTheme="minorHAnsi" w:hAnsiTheme="minorHAnsi" w:cstheme="minorHAnsi"/>
          <w:u w:val="single"/>
          <w:lang w:val="en-US"/>
        </w:rPr>
      </w:pPr>
      <w:r w:rsidRPr="006D7AFE">
        <w:rPr>
          <w:rFonts w:asciiTheme="minorHAnsi" w:hAnsiTheme="minorHAnsi" w:cstheme="minorHAnsi"/>
          <w:u w:val="single"/>
          <w:lang w:val="en-US"/>
        </w:rPr>
        <w:t>Outlook</w:t>
      </w:r>
    </w:p>
    <w:p w:rsidR="00C31F24" w:rsidRDefault="004555C9" w:rsidP="00425FFD">
      <w:pPr>
        <w:autoSpaceDE w:val="0"/>
        <w:autoSpaceDN w:val="0"/>
        <w:adjustRightInd w:val="0"/>
        <w:spacing w:before="0" w:beforeAutospacing="0" w:after="0" w:afterAutospacing="0"/>
        <w:rPr>
          <w:lang w:val="en-US"/>
        </w:rPr>
      </w:pPr>
      <w:r w:rsidRPr="004555C9">
        <w:rPr>
          <w:rStyle w:val="jlqj4b"/>
          <w:lang w:val="en"/>
        </w:rPr>
        <w:t xml:space="preserve">The level of activity at the start of 2023 continued along the lines of last year, growing more than 10% from January </w:t>
      </w:r>
      <w:r w:rsidR="00EA7BAA">
        <w:rPr>
          <w:rStyle w:val="jlqj4b"/>
          <w:lang w:val="en"/>
        </w:rPr>
        <w:t xml:space="preserve">to date </w:t>
      </w:r>
      <w:r w:rsidRPr="004555C9">
        <w:rPr>
          <w:rStyle w:val="jlqj4b"/>
          <w:lang w:val="en"/>
        </w:rPr>
        <w:t>compared with the same period in 2022</w:t>
      </w:r>
      <w:r w:rsidR="00C10570">
        <w:rPr>
          <w:rStyle w:val="jlqj4b"/>
          <w:lang w:val="en"/>
        </w:rPr>
        <w:t xml:space="preserve"> </w:t>
      </w:r>
      <w:r w:rsidR="00C10570" w:rsidRPr="004555C9">
        <w:rPr>
          <w:rFonts w:asciiTheme="minorHAnsi" w:hAnsiTheme="minorHAnsi" w:cs="GillSansMT"/>
          <w:lang w:val="en-AU" w:eastAsia="fr-CH"/>
        </w:rPr>
        <w:t>at constant exchange rates</w:t>
      </w:r>
      <w:r w:rsidRPr="004555C9">
        <w:rPr>
          <w:rStyle w:val="jlqj4b"/>
          <w:lang w:val="en"/>
        </w:rPr>
        <w:t>, driven by central bank monetary tightening policy to combat stubborn inflation. Compagnie Financière Tradition will pursue its growth strategy and cost discipline, while maintaining investment in its data and analytics activities and hybrid broking capabilities.</w:t>
      </w:r>
    </w:p>
    <w:p w:rsidR="00F26FA3" w:rsidRDefault="00F26FA3" w:rsidP="00F26FA3">
      <w:pPr>
        <w:autoSpaceDE w:val="0"/>
        <w:autoSpaceDN w:val="0"/>
        <w:adjustRightInd w:val="0"/>
        <w:spacing w:before="0" w:beforeAutospacing="0" w:after="0" w:afterAutospacing="0"/>
        <w:rPr>
          <w:lang w:val="en-US"/>
        </w:rPr>
      </w:pPr>
    </w:p>
    <w:p w:rsidR="004555C9" w:rsidRDefault="004555C9" w:rsidP="00F26FA3">
      <w:pPr>
        <w:autoSpaceDE w:val="0"/>
        <w:autoSpaceDN w:val="0"/>
        <w:adjustRightInd w:val="0"/>
        <w:spacing w:before="0" w:beforeAutospacing="0" w:after="0" w:afterAutospacing="0"/>
        <w:rPr>
          <w:lang w:val="en-US"/>
        </w:rPr>
      </w:pPr>
    </w:p>
    <w:p w:rsidR="00F26FA3" w:rsidRPr="007B0A5E" w:rsidRDefault="00F26FA3" w:rsidP="00F26FA3">
      <w:pPr>
        <w:autoSpaceDE w:val="0"/>
        <w:autoSpaceDN w:val="0"/>
        <w:adjustRightInd w:val="0"/>
        <w:spacing w:before="0" w:beforeAutospacing="0" w:after="0" w:afterAutospacing="0" w:line="288" w:lineRule="auto"/>
        <w:rPr>
          <w:rFonts w:asciiTheme="minorHAnsi" w:hAnsiTheme="minorHAnsi" w:cs="GillSansMT"/>
          <w:color w:val="000000"/>
          <w:u w:val="single"/>
          <w:lang w:val="en-US" w:eastAsia="fr-CH"/>
        </w:rPr>
      </w:pPr>
      <w:r>
        <w:rPr>
          <w:rFonts w:asciiTheme="minorHAnsi" w:hAnsiTheme="minorHAnsi" w:cs="GillSansMT"/>
          <w:u w:val="single"/>
          <w:lang w:val="en-AU" w:eastAsia="fr-CH"/>
        </w:rPr>
        <w:t>Annual</w:t>
      </w:r>
      <w:r w:rsidRPr="00AC07DA">
        <w:rPr>
          <w:rFonts w:asciiTheme="minorHAnsi" w:hAnsiTheme="minorHAnsi" w:cs="GillSansMT"/>
          <w:u w:val="single"/>
          <w:lang w:val="en-AU" w:eastAsia="fr-CH"/>
        </w:rPr>
        <w:t xml:space="preserve"> report</w:t>
      </w:r>
    </w:p>
    <w:p w:rsidR="00F26FA3" w:rsidRPr="007B0A5E" w:rsidRDefault="00F26FA3" w:rsidP="00F26FA3">
      <w:pPr>
        <w:spacing w:before="0" w:beforeAutospacing="0" w:after="0" w:afterAutospacing="0"/>
        <w:jc w:val="left"/>
        <w:rPr>
          <w:rFonts w:asciiTheme="minorHAnsi" w:hAnsiTheme="minorHAnsi" w:cs="GillSansMT"/>
          <w:color w:val="4F81BD" w:themeColor="accent1"/>
          <w:lang w:val="en-US" w:eastAsia="fr-CH"/>
        </w:rPr>
      </w:pPr>
      <w:r>
        <w:rPr>
          <w:rFonts w:asciiTheme="minorHAnsi" w:hAnsiTheme="minorHAnsi" w:cs="GillSansMT"/>
          <w:lang w:val="en-AU" w:eastAsia="fr-CH"/>
        </w:rPr>
        <w:t>The 2022</w:t>
      </w:r>
      <w:r w:rsidRPr="00AC07DA">
        <w:rPr>
          <w:rFonts w:asciiTheme="minorHAnsi" w:hAnsiTheme="minorHAnsi" w:cs="GillSansMT"/>
          <w:lang w:val="en-AU" w:eastAsia="fr-CH"/>
        </w:rPr>
        <w:t xml:space="preserve"> </w:t>
      </w:r>
      <w:r>
        <w:rPr>
          <w:rFonts w:asciiTheme="minorHAnsi" w:hAnsiTheme="minorHAnsi" w:cs="GillSansMT"/>
          <w:lang w:val="en-AU" w:eastAsia="fr-CH"/>
        </w:rPr>
        <w:t>annual</w:t>
      </w:r>
      <w:r w:rsidRPr="00AC07DA">
        <w:rPr>
          <w:rFonts w:asciiTheme="minorHAnsi" w:hAnsiTheme="minorHAnsi" w:cs="GillSansMT"/>
          <w:lang w:val="en-AU" w:eastAsia="fr-CH"/>
        </w:rPr>
        <w:t xml:space="preserve"> report of Compagnie Financière Tradition SA </w:t>
      </w:r>
      <w:r>
        <w:rPr>
          <w:rFonts w:asciiTheme="minorHAnsi" w:hAnsiTheme="minorHAnsi" w:cs="GillSansMT"/>
          <w:lang w:val="en-AU" w:eastAsia="fr-CH"/>
        </w:rPr>
        <w:t>will be</w:t>
      </w:r>
      <w:r w:rsidRPr="00AC07DA">
        <w:rPr>
          <w:rFonts w:asciiTheme="minorHAnsi" w:hAnsiTheme="minorHAnsi" w:cs="GillSansMT"/>
          <w:lang w:val="en-AU" w:eastAsia="fr-CH"/>
        </w:rPr>
        <w:t xml:space="preserve"> available</w:t>
      </w:r>
      <w:r w:rsidRPr="00B35DFD">
        <w:rPr>
          <w:rFonts w:asciiTheme="minorHAnsi" w:hAnsiTheme="minorHAnsi" w:cs="GillSansMT"/>
          <w:lang w:val="en-AU" w:eastAsia="fr-CH"/>
        </w:rPr>
        <w:t xml:space="preserve"> </w:t>
      </w:r>
      <w:r w:rsidRPr="00AC07DA">
        <w:rPr>
          <w:rFonts w:asciiTheme="minorHAnsi" w:hAnsiTheme="minorHAnsi" w:cs="GillSansMT"/>
          <w:lang w:val="en-AU" w:eastAsia="fr-CH"/>
        </w:rPr>
        <w:t xml:space="preserve">on </w:t>
      </w:r>
      <w:r>
        <w:rPr>
          <w:rFonts w:asciiTheme="minorHAnsi" w:hAnsiTheme="minorHAnsi" w:cs="GillSansMT"/>
          <w:lang w:val="en-AU" w:eastAsia="fr-CH"/>
        </w:rPr>
        <w:t>2</w:t>
      </w:r>
      <w:r w:rsidR="00E7472F">
        <w:rPr>
          <w:rFonts w:asciiTheme="minorHAnsi" w:hAnsiTheme="minorHAnsi" w:cs="GillSansMT"/>
          <w:lang w:val="en-AU" w:eastAsia="fr-CH"/>
        </w:rPr>
        <w:t>7</w:t>
      </w:r>
      <w:r>
        <w:rPr>
          <w:rFonts w:asciiTheme="minorHAnsi" w:hAnsiTheme="minorHAnsi" w:cs="GillSansMT"/>
          <w:lang w:val="en-AU" w:eastAsia="fr-CH"/>
        </w:rPr>
        <w:t xml:space="preserve"> April 202</w:t>
      </w:r>
      <w:r w:rsidR="00E7472F">
        <w:rPr>
          <w:rFonts w:asciiTheme="minorHAnsi" w:hAnsiTheme="minorHAnsi" w:cs="GillSansMT"/>
          <w:lang w:val="en-AU" w:eastAsia="fr-CH"/>
        </w:rPr>
        <w:t>3</w:t>
      </w:r>
      <w:r w:rsidRPr="00AC07DA">
        <w:rPr>
          <w:rFonts w:asciiTheme="minorHAnsi" w:hAnsiTheme="minorHAnsi" w:cs="GillSansMT"/>
          <w:lang w:val="en-AU" w:eastAsia="fr-CH"/>
        </w:rPr>
        <w:t xml:space="preserve"> </w:t>
      </w:r>
      <w:r>
        <w:rPr>
          <w:rFonts w:asciiTheme="minorHAnsi" w:hAnsiTheme="minorHAnsi" w:cs="GillSansMT"/>
          <w:lang w:val="en-AU" w:eastAsia="fr-CH"/>
        </w:rPr>
        <w:t xml:space="preserve">on </w:t>
      </w:r>
      <w:r w:rsidRPr="00AC07DA">
        <w:rPr>
          <w:rFonts w:asciiTheme="minorHAnsi" w:hAnsiTheme="minorHAnsi" w:cs="GillSansMT"/>
          <w:lang w:val="en-AU" w:eastAsia="fr-CH"/>
        </w:rPr>
        <w:t xml:space="preserve">the Company’s website at </w:t>
      </w:r>
      <w:r w:rsidRPr="009E3313">
        <w:rPr>
          <w:rFonts w:asciiTheme="minorHAnsi" w:hAnsiTheme="minorHAnsi" w:cs="GillSansMT"/>
          <w:i/>
          <w:color w:val="4F81BD" w:themeColor="accent1"/>
          <w:lang w:val="en-US" w:eastAsia="fr-CH"/>
        </w:rPr>
        <w:t>http://tradition.com/financials/reports.aspx</w:t>
      </w:r>
      <w:r w:rsidRPr="008866CF">
        <w:rPr>
          <w:rFonts w:asciiTheme="minorHAnsi" w:hAnsiTheme="minorHAnsi" w:cs="GillSansMT"/>
          <w:color w:val="4F81BD" w:themeColor="accent1"/>
          <w:lang w:val="en-US" w:eastAsia="fr-CH"/>
        </w:rPr>
        <w:t xml:space="preserve"> </w:t>
      </w:r>
    </w:p>
    <w:p w:rsidR="00F26FA3" w:rsidRPr="003A2729" w:rsidRDefault="00F26FA3" w:rsidP="00F26FA3">
      <w:pPr>
        <w:spacing w:before="0" w:beforeAutospacing="0" w:after="0" w:afterAutospacing="0"/>
        <w:rPr>
          <w:rFonts w:asciiTheme="minorHAnsi" w:hAnsiTheme="minorHAnsi" w:cs="GillSansMT"/>
          <w:lang w:val="en-US" w:eastAsia="fr-CH"/>
        </w:rPr>
      </w:pPr>
    </w:p>
    <w:p w:rsidR="00F26FA3" w:rsidRDefault="00F26FA3" w:rsidP="00F26FA3">
      <w:pPr>
        <w:pStyle w:val="NormalWeb"/>
        <w:spacing w:before="0" w:beforeAutospacing="0" w:after="0" w:afterAutospacing="0"/>
        <w:rPr>
          <w:rFonts w:asciiTheme="minorHAnsi" w:hAnsiTheme="minorHAnsi" w:cstheme="minorHAnsi"/>
          <w:sz w:val="16"/>
          <w:szCs w:val="16"/>
          <w:lang w:val="en-US"/>
        </w:rPr>
      </w:pPr>
      <w:r w:rsidRPr="000F4045">
        <w:rPr>
          <w:rFonts w:asciiTheme="minorHAnsi" w:hAnsiTheme="minorHAnsi" w:cstheme="minorHAnsi"/>
          <w:sz w:val="16"/>
          <w:szCs w:val="16"/>
          <w:vertAlign w:val="superscript"/>
          <w:lang w:val="en-US"/>
        </w:rPr>
        <w:t>1</w:t>
      </w:r>
      <w:r>
        <w:rPr>
          <w:rFonts w:asciiTheme="minorHAnsi" w:hAnsiTheme="minorHAnsi" w:cstheme="minorHAnsi"/>
          <w:sz w:val="16"/>
          <w:szCs w:val="16"/>
          <w:vertAlign w:val="superscript"/>
          <w:lang w:val="en-US"/>
        </w:rPr>
        <w:t>)</w:t>
      </w:r>
      <w:r>
        <w:rPr>
          <w:rFonts w:asciiTheme="minorHAnsi" w:hAnsiTheme="minorHAnsi" w:cstheme="minorHAnsi"/>
          <w:sz w:val="16"/>
          <w:szCs w:val="16"/>
          <w:lang w:val="en-US"/>
        </w:rPr>
        <w:t xml:space="preserve"> Indicative value based on 23 March 2023 closing share price of </w:t>
      </w:r>
      <w:r w:rsidRPr="00CD1AC3">
        <w:rPr>
          <w:rFonts w:asciiTheme="minorHAnsi" w:hAnsiTheme="minorHAnsi" w:cstheme="minorHAnsi"/>
          <w:sz w:val="16"/>
          <w:szCs w:val="16"/>
          <w:lang w:val="en-US"/>
        </w:rPr>
        <w:t>CHF 11</w:t>
      </w:r>
      <w:r w:rsidR="00C777DD" w:rsidRPr="00CD1AC3">
        <w:rPr>
          <w:rFonts w:asciiTheme="minorHAnsi" w:hAnsiTheme="minorHAnsi" w:cstheme="minorHAnsi"/>
          <w:sz w:val="16"/>
          <w:szCs w:val="16"/>
          <w:lang w:val="en-US"/>
        </w:rPr>
        <w:t>1</w:t>
      </w:r>
      <w:r w:rsidRPr="00CD1AC3">
        <w:rPr>
          <w:rFonts w:asciiTheme="minorHAnsi" w:hAnsiTheme="minorHAnsi" w:cstheme="minorHAnsi"/>
          <w:sz w:val="16"/>
          <w:szCs w:val="16"/>
          <w:lang w:val="en-US"/>
        </w:rPr>
        <w:t>.0 per</w:t>
      </w:r>
      <w:r>
        <w:rPr>
          <w:rFonts w:asciiTheme="minorHAnsi" w:hAnsiTheme="minorHAnsi" w:cstheme="minorHAnsi"/>
          <w:sz w:val="16"/>
          <w:szCs w:val="16"/>
          <w:lang w:val="en-US"/>
        </w:rPr>
        <w:t xml:space="preserve"> share </w:t>
      </w:r>
    </w:p>
    <w:p w:rsidR="00A62BC0" w:rsidRDefault="00A62BC0" w:rsidP="00EA36AD">
      <w:pPr>
        <w:spacing w:before="0" w:beforeAutospacing="0" w:after="0" w:afterAutospacing="0"/>
        <w:rPr>
          <w:i/>
          <w:color w:val="1F497D"/>
          <w:u w:val="single"/>
          <w:lang w:val="en-US"/>
        </w:rPr>
      </w:pPr>
      <w:bookmarkStart w:id="0" w:name="_GoBack"/>
      <w:bookmarkEnd w:id="0"/>
    </w:p>
    <w:p w:rsidR="00EA36AD" w:rsidRPr="00944587" w:rsidRDefault="00EA36AD" w:rsidP="00EA36AD">
      <w:pPr>
        <w:spacing w:before="0" w:beforeAutospacing="0" w:after="0" w:afterAutospacing="0"/>
        <w:rPr>
          <w:i/>
          <w:color w:val="1F497D"/>
          <w:u w:val="single"/>
          <w:lang w:val="en-US"/>
        </w:rPr>
      </w:pPr>
      <w:r>
        <w:rPr>
          <w:noProof/>
          <w:lang w:val="fr-CH" w:eastAsia="fr-CH"/>
        </w:rPr>
        <mc:AlternateContent>
          <mc:Choice Requires="wps">
            <w:drawing>
              <wp:anchor distT="0" distB="0" distL="114300" distR="114300" simplePos="0" relativeHeight="251663872" behindDoc="0" locked="0" layoutInCell="1" allowOverlap="1" wp14:anchorId="652318E5" wp14:editId="0E7EE701">
                <wp:simplePos x="0" y="0"/>
                <wp:positionH relativeFrom="column">
                  <wp:posOffset>-924493</wp:posOffset>
                </wp:positionH>
                <wp:positionV relativeFrom="paragraph">
                  <wp:posOffset>127936</wp:posOffset>
                </wp:positionV>
                <wp:extent cx="2791326" cy="229870"/>
                <wp:effectExtent l="0" t="0" r="9525" b="0"/>
                <wp:wrapNone/>
                <wp:docPr id="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1326" cy="229870"/>
                        </a:xfrm>
                        <a:prstGeom prst="rect">
                          <a:avLst/>
                        </a:prstGeom>
                        <a:solidFill>
                          <a:srgbClr val="548DD4"/>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A36AD" w:rsidRPr="00023722" w:rsidRDefault="00EA36AD" w:rsidP="00EA36AD">
                            <w:pPr>
                              <w:jc w:val="right"/>
                              <w:rPr>
                                <w:b/>
                                <w:color w:val="FFFFFF"/>
                                <w:sz w:val="20"/>
                                <w:szCs w:val="20"/>
                              </w:rPr>
                            </w:pPr>
                            <w:r>
                              <w:rPr>
                                <w:b/>
                                <w:color w:val="FFFFFF"/>
                                <w:sz w:val="20"/>
                                <w:szCs w:val="20"/>
                              </w:rPr>
                              <w:t>ABOUT COMPAGNIE FINANCIERE TRADITION SA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2318E5" id="Text Box 9" o:spid="_x0000_s1028" type="#_x0000_t202" style="position:absolute;left:0;text-align:left;margin-left:-72.8pt;margin-top:10.05pt;width:219.8pt;height:18.1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" fillcolor="#548dd4" stroked="f">
                <v:textbox>
                  <w:txbxContent>
                    <w:p w:rsidR="00EA36AD" w:rsidRPr="00023722" w:rsidRDefault="00EA36AD" w:rsidP="00EA36AD">
                      <w:pPr>
                        <w:jc w:val="right"/>
                        <w:rPr>
                          <w:b/>
                          <w:color w:val="FFFFFF"/>
                          <w:sz w:val="20"/>
                          <w:szCs w:val="20"/>
                        </w:rPr>
                      </w:pPr>
                      <w:r>
                        <w:rPr>
                          <w:b/>
                          <w:color w:val="FFFFFF"/>
                          <w:sz w:val="20"/>
                          <w:szCs w:val="20"/>
                        </w:rPr>
                        <w:t>ABOUT COMPAGNIE FINANCIERE TRADITION SA</w:t>
                      </w:r>
                    </w:p>
                  </w:txbxContent>
                </v:textbox>
              </v:shape>
            </w:pict>
          </mc:Fallback>
        </mc:AlternateContent>
      </w:r>
    </w:p>
    <w:p w:rsidR="00EA36AD" w:rsidRPr="00944587" w:rsidRDefault="00EA36AD" w:rsidP="00EA36AD">
      <w:pPr>
        <w:spacing w:before="0" w:beforeAutospacing="0" w:after="0" w:afterAutospacing="0"/>
        <w:rPr>
          <w:i/>
          <w:color w:val="1F497D"/>
          <w:u w:val="single"/>
          <w:lang w:val="en-US"/>
        </w:rPr>
      </w:pPr>
    </w:p>
    <w:p w:rsidR="00EA36AD" w:rsidRPr="006C0EBE" w:rsidRDefault="00EA36AD" w:rsidP="00EA36AD">
      <w:pPr>
        <w:spacing w:before="0" w:beforeAutospacing="0" w:after="0" w:afterAutospacing="0"/>
        <w:rPr>
          <w:rFonts w:cs="Calibri"/>
          <w:i/>
          <w:color w:val="000000"/>
          <w:sz w:val="20"/>
          <w:szCs w:val="20"/>
          <w:u w:color="000000"/>
          <w:lang w:val="en-US"/>
        </w:rPr>
      </w:pPr>
    </w:p>
    <w:p w:rsidR="00EA36AD" w:rsidRDefault="00EA36AD" w:rsidP="00EA36AD">
      <w:pPr>
        <w:pStyle w:val="PlainText"/>
        <w:jc w:val="both"/>
        <w:rPr>
          <w:rFonts w:ascii="Calibri" w:hAnsi="Calibri" w:cs="Calibri"/>
          <w:i/>
          <w:sz w:val="20"/>
          <w:szCs w:val="20"/>
        </w:rPr>
      </w:pPr>
      <w:r>
        <w:rPr>
          <w:rFonts w:ascii="Calibri" w:hAnsi="Calibri" w:cs="Calibri"/>
          <w:i/>
          <w:sz w:val="20"/>
          <w:szCs w:val="20"/>
        </w:rPr>
        <w:t>Compagnie Financière Tradition SA is one of the world's largest interdealer brokers in over-the-counter financial and commodity related products. Represented in</w:t>
      </w:r>
      <w:r w:rsidR="00D14420">
        <w:rPr>
          <w:rFonts w:ascii="Calibri" w:hAnsi="Calibri" w:cs="Calibri"/>
          <w:i/>
          <w:sz w:val="20"/>
          <w:szCs w:val="20"/>
        </w:rPr>
        <w:t xml:space="preserve"> over</w:t>
      </w:r>
      <w:r>
        <w:rPr>
          <w:rFonts w:ascii="Calibri" w:hAnsi="Calibri" w:cs="Calibri"/>
          <w:i/>
          <w:sz w:val="20"/>
          <w:szCs w:val="20"/>
        </w:rPr>
        <w:t xml:space="preserve"> </w:t>
      </w:r>
      <w:r w:rsidR="00D14420">
        <w:rPr>
          <w:rFonts w:ascii="Calibri" w:hAnsi="Calibri" w:cs="Calibri"/>
          <w:i/>
          <w:sz w:val="20"/>
          <w:szCs w:val="20"/>
        </w:rPr>
        <w:t>30</w:t>
      </w:r>
      <w:r>
        <w:rPr>
          <w:rFonts w:ascii="Calibri" w:hAnsi="Calibri" w:cs="Calibri"/>
          <w:i/>
          <w:sz w:val="20"/>
          <w:szCs w:val="20"/>
        </w:rPr>
        <w:t xml:space="preserve"> countries</w:t>
      </w:r>
      <w:r w:rsidR="009049A1">
        <w:rPr>
          <w:rFonts w:ascii="Calibri" w:hAnsi="Calibri" w:cs="Calibri"/>
          <w:i/>
          <w:sz w:val="20"/>
          <w:szCs w:val="20"/>
        </w:rPr>
        <w:t>.</w:t>
      </w:r>
      <w:r>
        <w:rPr>
          <w:rFonts w:ascii="Calibri" w:hAnsi="Calibri" w:cs="Calibri"/>
          <w:i/>
          <w:sz w:val="20"/>
          <w:szCs w:val="20"/>
        </w:rPr>
        <w:t xml:space="preserve"> Compagnie Financière Tradition SA employs more than 2</w:t>
      </w:r>
      <w:r w:rsidR="009049A1">
        <w:rPr>
          <w:rFonts w:ascii="Calibri" w:hAnsi="Calibri" w:cs="Calibri"/>
          <w:i/>
          <w:sz w:val="20"/>
          <w:szCs w:val="20"/>
        </w:rPr>
        <w:t>.</w:t>
      </w:r>
      <w:r w:rsidR="00F87579">
        <w:rPr>
          <w:rFonts w:ascii="Calibri" w:hAnsi="Calibri" w:cs="Calibri"/>
          <w:i/>
          <w:sz w:val="20"/>
          <w:szCs w:val="20"/>
        </w:rPr>
        <w:t>4</w:t>
      </w:r>
      <w:r>
        <w:rPr>
          <w:rFonts w:ascii="Calibri" w:hAnsi="Calibri" w:cs="Calibri"/>
          <w:i/>
          <w:sz w:val="20"/>
          <w:szCs w:val="20"/>
        </w:rPr>
        <w:t>00 people globally and provides broking services for a complete range of financial products (money market products</w:t>
      </w:r>
      <w:r w:rsidR="009049A1">
        <w:rPr>
          <w:rFonts w:ascii="Calibri" w:hAnsi="Calibri" w:cs="Calibri"/>
          <w:i/>
          <w:sz w:val="20"/>
          <w:szCs w:val="20"/>
        </w:rPr>
        <w:t>.</w:t>
      </w:r>
      <w:r>
        <w:rPr>
          <w:rFonts w:ascii="Calibri" w:hAnsi="Calibri" w:cs="Calibri"/>
          <w:i/>
          <w:sz w:val="20"/>
          <w:szCs w:val="20"/>
        </w:rPr>
        <w:t xml:space="preserve"> bonds</w:t>
      </w:r>
      <w:r w:rsidR="009049A1">
        <w:rPr>
          <w:rFonts w:ascii="Calibri" w:hAnsi="Calibri" w:cs="Calibri"/>
          <w:i/>
          <w:sz w:val="20"/>
          <w:szCs w:val="20"/>
        </w:rPr>
        <w:t>.</w:t>
      </w:r>
      <w:r>
        <w:rPr>
          <w:rFonts w:ascii="Calibri" w:hAnsi="Calibri" w:cs="Calibri"/>
          <w:i/>
          <w:sz w:val="20"/>
          <w:szCs w:val="20"/>
        </w:rPr>
        <w:t xml:space="preserve"> interest rate</w:t>
      </w:r>
      <w:r w:rsidR="009049A1">
        <w:rPr>
          <w:rFonts w:ascii="Calibri" w:hAnsi="Calibri" w:cs="Calibri"/>
          <w:i/>
          <w:sz w:val="20"/>
          <w:szCs w:val="20"/>
        </w:rPr>
        <w:t>.</w:t>
      </w:r>
      <w:r>
        <w:rPr>
          <w:rFonts w:ascii="Calibri" w:hAnsi="Calibri" w:cs="Calibri"/>
          <w:i/>
          <w:sz w:val="20"/>
          <w:szCs w:val="20"/>
        </w:rPr>
        <w:t xml:space="preserve"> currency and credit derivatives</w:t>
      </w:r>
      <w:r w:rsidR="009049A1">
        <w:rPr>
          <w:rFonts w:ascii="Calibri" w:hAnsi="Calibri" w:cs="Calibri"/>
          <w:i/>
          <w:sz w:val="20"/>
          <w:szCs w:val="20"/>
        </w:rPr>
        <w:t>.</w:t>
      </w:r>
      <w:r>
        <w:rPr>
          <w:rFonts w:ascii="Calibri" w:hAnsi="Calibri" w:cs="Calibri"/>
          <w:i/>
          <w:sz w:val="20"/>
          <w:szCs w:val="20"/>
        </w:rPr>
        <w:t xml:space="preserve"> equities</w:t>
      </w:r>
      <w:r w:rsidR="009049A1">
        <w:rPr>
          <w:rFonts w:ascii="Calibri" w:hAnsi="Calibri" w:cs="Calibri"/>
          <w:i/>
          <w:sz w:val="20"/>
          <w:szCs w:val="20"/>
        </w:rPr>
        <w:t>.</w:t>
      </w:r>
      <w:r>
        <w:rPr>
          <w:rFonts w:ascii="Calibri" w:hAnsi="Calibri" w:cs="Calibri"/>
          <w:i/>
          <w:sz w:val="20"/>
          <w:szCs w:val="20"/>
        </w:rPr>
        <w:t xml:space="preserve"> equity derivatives</w:t>
      </w:r>
      <w:r w:rsidR="009049A1">
        <w:rPr>
          <w:rFonts w:ascii="Calibri" w:hAnsi="Calibri" w:cs="Calibri"/>
          <w:i/>
          <w:sz w:val="20"/>
          <w:szCs w:val="20"/>
        </w:rPr>
        <w:t>.</w:t>
      </w:r>
      <w:r>
        <w:rPr>
          <w:rFonts w:ascii="Calibri" w:hAnsi="Calibri" w:cs="Calibri"/>
          <w:i/>
          <w:sz w:val="20"/>
          <w:szCs w:val="20"/>
        </w:rPr>
        <w:t xml:space="preserve"> interest rate futures and index futures) and non-financial products (energy and environmental products</w:t>
      </w:r>
      <w:r w:rsidR="009049A1">
        <w:rPr>
          <w:rFonts w:ascii="Calibri" w:hAnsi="Calibri" w:cs="Calibri"/>
          <w:i/>
          <w:sz w:val="20"/>
          <w:szCs w:val="20"/>
        </w:rPr>
        <w:t>.</w:t>
      </w:r>
      <w:r>
        <w:rPr>
          <w:rFonts w:ascii="Calibri" w:hAnsi="Calibri" w:cs="Calibri"/>
          <w:i/>
          <w:sz w:val="20"/>
          <w:szCs w:val="20"/>
        </w:rPr>
        <w:t xml:space="preserve"> and precious metals). Compagnie Financière Tradition SA (CFT) is listed on the SIX Swiss Exchange. </w:t>
      </w:r>
    </w:p>
    <w:p w:rsidR="00EA36AD" w:rsidRDefault="00EA36AD" w:rsidP="00B9177E">
      <w:pPr>
        <w:rPr>
          <w:rFonts w:cs="Calibri"/>
          <w:b/>
          <w:i/>
          <w:color w:val="000000"/>
          <w:sz w:val="20"/>
          <w:szCs w:val="20"/>
          <w:u w:color="000000"/>
          <w:lang w:val="en-US"/>
        </w:rPr>
      </w:pPr>
      <w:r w:rsidRPr="0085027E">
        <w:rPr>
          <w:rFonts w:cs="Calibri"/>
          <w:i/>
          <w:color w:val="000000"/>
          <w:sz w:val="20"/>
          <w:szCs w:val="20"/>
          <w:u w:color="000000"/>
          <w:lang w:val="en-US"/>
        </w:rPr>
        <w:t>For more information</w:t>
      </w:r>
      <w:r w:rsidR="009049A1">
        <w:rPr>
          <w:rFonts w:cs="Calibri"/>
          <w:i/>
          <w:color w:val="000000"/>
          <w:sz w:val="20"/>
          <w:szCs w:val="20"/>
          <w:u w:color="000000"/>
          <w:lang w:val="en-US"/>
        </w:rPr>
        <w:t>.</w:t>
      </w:r>
      <w:r w:rsidRPr="0085027E">
        <w:rPr>
          <w:rFonts w:cs="Calibri"/>
          <w:i/>
          <w:color w:val="000000"/>
          <w:sz w:val="20"/>
          <w:szCs w:val="20"/>
          <w:u w:color="000000"/>
          <w:lang w:val="en-US"/>
        </w:rPr>
        <w:t xml:space="preserve"> please visit </w:t>
      </w:r>
      <w:hyperlink r:id="rId9" w:history="1">
        <w:r w:rsidRPr="0068599E">
          <w:rPr>
            <w:rFonts w:cs="Calibri"/>
            <w:b/>
            <w:i/>
            <w:color w:val="000000"/>
            <w:sz w:val="20"/>
            <w:szCs w:val="20"/>
            <w:u w:color="000000"/>
            <w:lang w:val="en-US"/>
          </w:rPr>
          <w:t>www.tradition.com</w:t>
        </w:r>
      </w:hyperlink>
      <w:r w:rsidRPr="0068599E">
        <w:rPr>
          <w:rFonts w:cs="Calibri"/>
          <w:b/>
          <w:i/>
          <w:color w:val="000000"/>
          <w:sz w:val="20"/>
          <w:szCs w:val="20"/>
          <w:u w:color="000000"/>
          <w:lang w:val="en-US"/>
        </w:rPr>
        <w:t>.</w:t>
      </w:r>
    </w:p>
    <w:p w:rsidR="00EA36AD" w:rsidRPr="00E069CE" w:rsidRDefault="00EA36AD" w:rsidP="00EA36AD">
      <w:pPr>
        <w:spacing w:before="0" w:beforeAutospacing="0" w:after="0" w:afterAutospacing="0"/>
        <w:rPr>
          <w:color w:val="1F497D"/>
          <w:lang w:val="en-US"/>
        </w:rPr>
      </w:pPr>
      <w:r>
        <w:rPr>
          <w:noProof/>
          <w:lang w:val="fr-CH" w:eastAsia="fr-CH"/>
        </w:rPr>
        <mc:AlternateContent>
          <mc:Choice Requires="wps">
            <w:drawing>
              <wp:anchor distT="0" distB="0" distL="114300" distR="114300" simplePos="0" relativeHeight="251664896" behindDoc="0" locked="0" layoutInCell="1" allowOverlap="1" wp14:anchorId="3570D4BA" wp14:editId="449DA25C">
                <wp:simplePos x="0" y="0"/>
                <wp:positionH relativeFrom="column">
                  <wp:posOffset>-924284</wp:posOffset>
                </wp:positionH>
                <wp:positionV relativeFrom="paragraph">
                  <wp:posOffset>111898</wp:posOffset>
                </wp:positionV>
                <wp:extent cx="2719070" cy="229870"/>
                <wp:effectExtent l="0" t="0" r="5080" b="0"/>
                <wp:wrapNone/>
                <wp:docPr id="5"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9070" cy="229870"/>
                        </a:xfrm>
                        <a:prstGeom prst="rect">
                          <a:avLst/>
                        </a:prstGeom>
                        <a:solidFill>
                          <a:srgbClr val="548DD4"/>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A36AD" w:rsidRPr="00023722" w:rsidRDefault="00EA36AD" w:rsidP="00EA36AD">
                            <w:pPr>
                              <w:jc w:val="right"/>
                              <w:rPr>
                                <w:b/>
                                <w:color w:val="FFFFFF"/>
                                <w:sz w:val="20"/>
                                <w:szCs w:val="20"/>
                              </w:rPr>
                            </w:pPr>
                            <w:r w:rsidRPr="00023722">
                              <w:rPr>
                                <w:color w:val="FFFFFF"/>
                                <w:sz w:val="20"/>
                                <w:szCs w:val="20"/>
                              </w:rPr>
                              <w:tab/>
                            </w:r>
                            <w:r w:rsidRPr="00023722">
                              <w:rPr>
                                <w:b/>
                                <w:color w:val="FFFFFF"/>
                                <w:sz w:val="20"/>
                                <w:szCs w:val="20"/>
                              </w:rPr>
                              <w:t>MEDIA CONTACTS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70D4BA" id="Text Box 10" o:spid="_x0000_s1029" type="#_x0000_t202" style="position:absolute;left:0;text-align:left;margin-left:-72.8pt;margin-top:8.8pt;width:214.1pt;height:18.1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" fillcolor="#548dd4" stroked="f">
                <v:textbox>
                  <w:txbxContent>
                    <w:p w:rsidR="00EA36AD" w:rsidRPr="00023722" w:rsidRDefault="00EA36AD" w:rsidP="00EA36AD">
                      <w:pPr>
                        <w:jc w:val="right"/>
                        <w:rPr>
                          <w:b/>
                          <w:color w:val="FFFFFF"/>
                          <w:sz w:val="20"/>
                          <w:szCs w:val="20"/>
                        </w:rPr>
                      </w:pPr>
                      <w:r w:rsidRPr="00023722">
                        <w:rPr>
                          <w:color w:val="FFFFFF"/>
                          <w:sz w:val="20"/>
                          <w:szCs w:val="20"/>
                        </w:rPr>
                        <w:tab/>
                      </w:r>
                      <w:r w:rsidRPr="00023722">
                        <w:rPr>
                          <w:b/>
                          <w:color w:val="FFFFFF"/>
                          <w:sz w:val="20"/>
                          <w:szCs w:val="20"/>
                        </w:rPr>
                        <w:t>MEDIA CONTACTS</w:t>
                      </w:r>
                    </w:p>
                  </w:txbxContent>
                </v:textbox>
              </v:shape>
            </w:pict>
          </mc:Fallback>
        </mc:AlternateContent>
      </w:r>
    </w:p>
    <w:p w:rsidR="00EA36AD" w:rsidRDefault="00EA36AD" w:rsidP="00EA36AD">
      <w:pPr>
        <w:pStyle w:val="Body"/>
        <w:spacing w:after="0" w:line="240" w:lineRule="auto"/>
        <w:jc w:val="both"/>
        <w:rPr>
          <w:color w:val="FFFFFF"/>
          <w:lang w:val="sv-SE"/>
        </w:rPr>
      </w:pPr>
      <w:r>
        <w:rPr>
          <w:noProof/>
          <w:lang w:val="fr-CH" w:eastAsia="fr-CH"/>
        </w:rPr>
        <mc:AlternateContent>
          <mc:Choice Requires="wps">
            <w:drawing>
              <wp:anchor distT="0" distB="0" distL="114300" distR="114300" simplePos="0" relativeHeight="251662848" behindDoc="1" locked="0" layoutInCell="1" allowOverlap="1" wp14:anchorId="6E6A8580" wp14:editId="079076CA">
                <wp:simplePos x="0" y="0"/>
                <wp:positionH relativeFrom="column">
                  <wp:posOffset>-994410</wp:posOffset>
                </wp:positionH>
                <wp:positionV relativeFrom="paragraph">
                  <wp:posOffset>55880</wp:posOffset>
                </wp:positionV>
                <wp:extent cx="7680325" cy="779145"/>
                <wp:effectExtent l="15240" t="17780" r="19685" b="12700"/>
                <wp:wrapNone/>
                <wp:docPr id="4"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80325" cy="779145"/>
                        </a:xfrm>
                        <a:prstGeom prst="rect">
                          <a:avLst/>
                        </a:prstGeom>
                        <a:solidFill>
                          <a:srgbClr val="1F497D"/>
                        </a:solidFill>
                        <a:ln w="25400">
                          <a:solidFill>
                            <a:srgbClr val="243F6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A783376" id="Rectangle 8" o:spid="_x0000_s1026" style="position:absolute;margin-left:-78.3pt;margin-top:4.4pt;width:604.75pt;height:61.3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" fillcolor="#1f497d" strokecolor="#243f60" strokeweight="2pt"/>
            </w:pict>
          </mc:Fallback>
        </mc:AlternateContent>
      </w:r>
    </w:p>
    <w:p w:rsidR="00EA36AD" w:rsidRPr="006C0EBE" w:rsidRDefault="00EA36AD" w:rsidP="00EA36AD">
      <w:pPr>
        <w:pStyle w:val="Body"/>
        <w:tabs>
          <w:tab w:val="left" w:pos="6663"/>
        </w:tabs>
        <w:spacing w:after="0" w:line="240" w:lineRule="auto"/>
        <w:ind w:right="-286"/>
        <w:jc w:val="both"/>
        <w:rPr>
          <w:color w:val="FFFFFF"/>
          <w:lang w:val="fr-CH"/>
        </w:rPr>
      </w:pPr>
      <w:r>
        <w:rPr>
          <w:color w:val="FFFFFF"/>
          <w:lang w:val="sv-SE"/>
        </w:rPr>
        <w:t>Patrick Combes</w:t>
      </w:r>
      <w:r w:rsidR="009049A1">
        <w:rPr>
          <w:color w:val="FFFFFF"/>
          <w:lang w:val="sv-SE"/>
        </w:rPr>
        <w:t>.</w:t>
      </w:r>
      <w:r>
        <w:rPr>
          <w:color w:val="FFFFFF"/>
          <w:lang w:val="sv-SE"/>
        </w:rPr>
        <w:t xml:space="preserve"> President</w:t>
      </w:r>
      <w:r>
        <w:rPr>
          <w:color w:val="FFFFFF"/>
          <w:lang w:val="sv-SE"/>
        </w:rPr>
        <w:tab/>
        <w:t>Rohan Sant</w:t>
      </w:r>
    </w:p>
    <w:p w:rsidR="00EA36AD" w:rsidRPr="006C0EBE" w:rsidRDefault="00EA36AD" w:rsidP="00EA36AD">
      <w:pPr>
        <w:pStyle w:val="Body"/>
        <w:tabs>
          <w:tab w:val="left" w:pos="6663"/>
        </w:tabs>
        <w:spacing w:after="0" w:line="240" w:lineRule="auto"/>
        <w:ind w:right="-286"/>
        <w:jc w:val="both"/>
        <w:rPr>
          <w:color w:val="FFFFFF"/>
          <w:lang w:val="fr-CH"/>
        </w:rPr>
      </w:pPr>
      <w:r w:rsidRPr="006C0EBE">
        <w:rPr>
          <w:color w:val="FFFFFF"/>
          <w:lang w:val="fr-CH"/>
        </w:rPr>
        <w:t>Compagnie Financière Tradition SA</w:t>
      </w:r>
      <w:r w:rsidRPr="006C0EBE">
        <w:rPr>
          <w:color w:val="FFFFFF"/>
          <w:lang w:val="fr-CH"/>
        </w:rPr>
        <w:tab/>
      </w:r>
      <w:proofErr w:type="spellStart"/>
      <w:r w:rsidRPr="006C0EBE">
        <w:rPr>
          <w:color w:val="FFFFFF"/>
          <w:lang w:val="fr-CH"/>
        </w:rPr>
        <w:t>Voxia</w:t>
      </w:r>
      <w:proofErr w:type="spellEnd"/>
      <w:r w:rsidRPr="006C0EBE">
        <w:rPr>
          <w:color w:val="FFFFFF"/>
          <w:lang w:val="fr-CH"/>
        </w:rPr>
        <w:t xml:space="preserve"> communication</w:t>
      </w:r>
    </w:p>
    <w:p w:rsidR="00EA36AD" w:rsidRDefault="00EA36AD" w:rsidP="00EA36AD">
      <w:pPr>
        <w:pStyle w:val="Body"/>
        <w:tabs>
          <w:tab w:val="left" w:pos="6663"/>
        </w:tabs>
        <w:spacing w:after="0" w:line="240" w:lineRule="auto"/>
        <w:ind w:right="-286"/>
        <w:jc w:val="both"/>
        <w:rPr>
          <w:color w:val="FFFFFF"/>
          <w:lang w:val="fr-CH"/>
        </w:rPr>
      </w:pPr>
      <w:r>
        <w:rPr>
          <w:color w:val="FFFFFF"/>
          <w:lang w:val="fr-CH"/>
        </w:rPr>
        <w:t>+41 (0)21 343 52 87</w:t>
      </w:r>
      <w:r>
        <w:rPr>
          <w:color w:val="FFFFFF"/>
          <w:lang w:val="fr-CH"/>
        </w:rPr>
        <w:tab/>
        <w:t>+41 (0)22 591 22 63</w:t>
      </w:r>
    </w:p>
    <w:p w:rsidR="009168A3" w:rsidRPr="00C83658" w:rsidRDefault="00CD1AC3" w:rsidP="00EA36AD">
      <w:pPr>
        <w:pStyle w:val="Body"/>
        <w:tabs>
          <w:tab w:val="left" w:pos="6663"/>
        </w:tabs>
        <w:spacing w:after="0" w:line="240" w:lineRule="auto"/>
        <w:ind w:right="-286"/>
        <w:jc w:val="both"/>
        <w:rPr>
          <w:color w:val="FFFFFF"/>
          <w:lang w:val="fr-CH"/>
        </w:rPr>
      </w:pPr>
      <w:hyperlink r:id="rId10" w:history="1">
        <w:r w:rsidR="00EA36AD" w:rsidRPr="003D1AB4">
          <w:rPr>
            <w:rStyle w:val="Hyperlink"/>
            <w:rFonts w:cs="Calibri"/>
            <w:sz w:val="22"/>
            <w:szCs w:val="22"/>
            <w:lang w:val="fr-CH"/>
          </w:rPr>
          <w:t>actionnaire@tradition.ch</w:t>
        </w:r>
      </w:hyperlink>
      <w:r w:rsidR="009168A3">
        <w:rPr>
          <w:lang w:val="fr-CH"/>
        </w:rPr>
        <w:tab/>
      </w:r>
      <w:hyperlink r:id="rId11" w:history="1">
        <w:r w:rsidR="009168A3" w:rsidRPr="00FC6561">
          <w:rPr>
            <w:rStyle w:val="Hyperlink"/>
            <w:rFonts w:cs="Calibri"/>
            <w:sz w:val="22"/>
            <w:szCs w:val="22"/>
            <w:lang w:val="fr-CH"/>
          </w:rPr>
          <w:t>rohan.sant@voxia.ch</w:t>
        </w:r>
      </w:hyperlink>
      <w:r w:rsidR="009168A3">
        <w:rPr>
          <w:color w:val="FFFFFF"/>
          <w:lang w:val="fr-CH"/>
        </w:rPr>
        <w:t xml:space="preserve"> </w:t>
      </w:r>
    </w:p>
    <w:sectPr w:rsidR="009168A3" w:rsidRPr="00C83658" w:rsidSect="00E95BBB">
      <w:headerReference w:type="default" r:id="rId12"/>
      <w:footerReference w:type="default" r:id="rId13"/>
      <w:footerReference w:type="first" r:id="rId14"/>
      <w:type w:val="continuous"/>
      <w:pgSz w:w="11906" w:h="16838"/>
      <w:pgMar w:top="1531" w:right="1418" w:bottom="284" w:left="1418" w:header="568" w:footer="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41216" w:rsidRDefault="00741216" w:rsidP="00B506DD">
      <w:pPr>
        <w:spacing w:before="0" w:after="0"/>
      </w:pPr>
      <w:r>
        <w:separator/>
      </w:r>
    </w:p>
  </w:endnote>
  <w:endnote w:type="continuationSeparator" w:id="0">
    <w:p w:rsidR="00741216" w:rsidRDefault="00741216" w:rsidP="00B506D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GillSansMT">
    <w:altName w:val="MS Gothic"/>
    <w:panose1 w:val="00000000000000000000"/>
    <w:charset w:val="00"/>
    <w:family w:val="swiss"/>
    <w:notTrueType/>
    <w:pitch w:val="default"/>
    <w:sig w:usb0="00000003" w:usb1="08070000" w:usb2="00000010"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41216" w:rsidRDefault="00741216">
    <w:pPr>
      <w:rPr>
        <w:rFonts w:ascii="Cambria" w:hAnsi="Cambria"/>
      </w:rPr>
    </w:pPr>
  </w:p>
  <w:p w:rsidR="00741216" w:rsidRDefault="00741216">
    <w:pPr>
      <w:pStyle w:val="Footer"/>
    </w:pPr>
    <w:r>
      <w:rPr>
        <w:noProof/>
        <w:lang w:val="fr-CH" w:eastAsia="fr-CH"/>
      </w:rPr>
      <mc:AlternateContent>
        <mc:Choice Requires="wps">
          <w:drawing>
            <wp:anchor distT="0" distB="0" distL="114300" distR="114300" simplePos="0" relativeHeight="251656704" behindDoc="0" locked="0" layoutInCell="1" allowOverlap="1" wp14:anchorId="0815C52C" wp14:editId="4639DFC2">
              <wp:simplePos x="0" y="0"/>
              <wp:positionH relativeFrom="margin">
                <wp:posOffset>5588635</wp:posOffset>
              </wp:positionH>
              <wp:positionV relativeFrom="page">
                <wp:posOffset>10250170</wp:posOffset>
              </wp:positionV>
              <wp:extent cx="262255" cy="270510"/>
              <wp:effectExtent l="6985" t="1270" r="6985" b="4445"/>
              <wp:wrapNone/>
              <wp:docPr id="1" name="Ellips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2255" cy="270510"/>
                      </a:xfrm>
                      <a:prstGeom prst="ellipse">
                        <a:avLst/>
                      </a:prstGeom>
                      <a:solidFill>
                        <a:srgbClr val="F79646"/>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741216" w:rsidRPr="00023722" w:rsidRDefault="00741216" w:rsidP="00972EBA">
                          <w:pPr>
                            <w:pStyle w:val="Footer"/>
                            <w:jc w:val="center"/>
                            <w:rPr>
                              <w:rFonts w:ascii="Arial Narrow" w:hAnsi="Arial Narrow"/>
                              <w:b/>
                              <w:bCs/>
                              <w:color w:val="FFFFFF"/>
                              <w:sz w:val="15"/>
                              <w:szCs w:val="15"/>
                            </w:rPr>
                          </w:pPr>
                          <w:r w:rsidRPr="00972EBA">
                            <w:rPr>
                              <w:rFonts w:ascii="Arial Narrow" w:hAnsi="Arial Narrow"/>
                              <w:b/>
                              <w:sz w:val="15"/>
                              <w:szCs w:val="15"/>
                            </w:rPr>
                            <w:fldChar w:fldCharType="begin"/>
                          </w:r>
                          <w:r w:rsidRPr="00972EBA">
                            <w:rPr>
                              <w:rFonts w:ascii="Arial Narrow" w:hAnsi="Arial Narrow"/>
                              <w:b/>
                              <w:sz w:val="15"/>
                              <w:szCs w:val="15"/>
                            </w:rPr>
                            <w:instrText>PAGE    \* MERGEFORMAT</w:instrText>
                          </w:r>
                          <w:r w:rsidRPr="00972EBA">
                            <w:rPr>
                              <w:rFonts w:ascii="Arial Narrow" w:hAnsi="Arial Narrow"/>
                              <w:b/>
                              <w:sz w:val="15"/>
                              <w:szCs w:val="15"/>
                            </w:rPr>
                            <w:fldChar w:fldCharType="separate"/>
                          </w:r>
                          <w:r w:rsidR="007B02CA" w:rsidRPr="007B02CA">
                            <w:rPr>
                              <w:rFonts w:ascii="Arial Narrow" w:hAnsi="Arial Narrow"/>
                              <w:b/>
                              <w:bCs/>
                              <w:noProof/>
                              <w:color w:val="FFFFFF"/>
                              <w:sz w:val="15"/>
                              <w:szCs w:val="15"/>
                            </w:rPr>
                            <w:t>2</w:t>
                          </w:r>
                          <w:r w:rsidRPr="00972EBA">
                            <w:rPr>
                              <w:rFonts w:ascii="Arial Narrow" w:hAnsi="Arial Narrow"/>
                              <w:b/>
                              <w:sz w:val="15"/>
                              <w:szCs w:val="15"/>
                            </w:rPr>
                            <w:fldChar w:fldCharType="end"/>
                          </w:r>
                        </w:p>
                      </w:txbxContent>
                    </wps:txbx>
                    <wps:bodyPr rot="0" vert="horz" wrap="square" lIns="0" tIns="45720" rIns="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0815C52C" id="Ellipse 10" o:spid="_x0000_s1032" style="position:absolute;left:0;text-align:left;margin-left:440.05pt;margin-top:807.1pt;width:20.65pt;height:21.3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" fillcolor="#f79646" stroked="f">
              <v:textbox inset="0,,0">
                <w:txbxContent>
                  <w:p w:rsidR="00741216" w:rsidRPr="00023722" w:rsidRDefault="00741216" w:rsidP="00972EBA">
                    <w:pPr>
                      <w:pStyle w:val="Footer"/>
                      <w:jc w:val="center"/>
                      <w:rPr>
                        <w:rFonts w:ascii="Arial Narrow" w:hAnsi="Arial Narrow"/>
                        <w:b/>
                        <w:bCs/>
                        <w:color w:val="FFFFFF"/>
                        <w:sz w:val="15"/>
                        <w:szCs w:val="15"/>
                      </w:rPr>
                    </w:pPr>
                    <w:r w:rsidRPr="00972EBA">
                      <w:rPr>
                        <w:rFonts w:ascii="Arial Narrow" w:hAnsi="Arial Narrow"/>
                        <w:b/>
                        <w:sz w:val="15"/>
                        <w:szCs w:val="15"/>
                      </w:rPr>
                      <w:fldChar w:fldCharType="begin"/>
                    </w:r>
                    <w:r w:rsidRPr="00972EBA">
                      <w:rPr>
                        <w:rFonts w:ascii="Arial Narrow" w:hAnsi="Arial Narrow"/>
                        <w:b/>
                        <w:sz w:val="15"/>
                        <w:szCs w:val="15"/>
                      </w:rPr>
                      <w:instrText>PAGE    \* MERGEFORMAT</w:instrText>
                    </w:r>
                    <w:r w:rsidRPr="00972EBA">
                      <w:rPr>
                        <w:rFonts w:ascii="Arial Narrow" w:hAnsi="Arial Narrow"/>
                        <w:b/>
                        <w:sz w:val="15"/>
                        <w:szCs w:val="15"/>
                      </w:rPr>
                      <w:fldChar w:fldCharType="separate"/>
                    </w:r>
                    <w:r w:rsidR="007B02CA" w:rsidRPr="007B02CA">
                      <w:rPr>
                        <w:rFonts w:ascii="Arial Narrow" w:hAnsi="Arial Narrow"/>
                        <w:b/>
                        <w:bCs/>
                        <w:noProof/>
                        <w:color w:val="FFFFFF"/>
                        <w:sz w:val="15"/>
                        <w:szCs w:val="15"/>
                      </w:rPr>
                      <w:t>2</w:t>
                    </w:r>
                    <w:r w:rsidRPr="00972EBA">
                      <w:rPr>
                        <w:rFonts w:ascii="Arial Narrow" w:hAnsi="Arial Narrow"/>
                        <w:b/>
                        <w:sz w:val="15"/>
                        <w:szCs w:val="15"/>
                      </w:rPr>
                      <w:fldChar w:fldCharType="end"/>
                    </w:r>
                  </w:p>
                </w:txbxContent>
              </v:textbox>
              <w10:wrap anchorx="margin" anchory="page"/>
            </v:oval>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41216" w:rsidRDefault="00741216">
    <w:pPr>
      <w:rPr>
        <w:rFonts w:ascii="Cambria" w:hAnsi="Cambria"/>
      </w:rPr>
    </w:pPr>
  </w:p>
  <w:p w:rsidR="00741216" w:rsidRDefault="007412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41216" w:rsidRDefault="00741216" w:rsidP="00B506DD">
      <w:pPr>
        <w:spacing w:before="0" w:after="0"/>
      </w:pPr>
      <w:r>
        <w:separator/>
      </w:r>
    </w:p>
  </w:footnote>
  <w:footnote w:type="continuationSeparator" w:id="0">
    <w:p w:rsidR="00741216" w:rsidRDefault="00741216" w:rsidP="00B506DD">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41216" w:rsidRDefault="00B221AA" w:rsidP="007F3DD1">
    <w:pPr>
      <w:pStyle w:val="Header"/>
      <w:tabs>
        <w:tab w:val="clear" w:pos="4536"/>
        <w:tab w:val="clear" w:pos="9072"/>
        <w:tab w:val="left" w:pos="1402"/>
      </w:tabs>
      <w:ind w:hanging="709"/>
    </w:pPr>
    <w:r w:rsidRPr="00B221AA">
      <w:rPr>
        <w:noProof/>
      </w:rPr>
      <mc:AlternateContent>
        <mc:Choice Requires="wps">
          <w:drawing>
            <wp:anchor distT="0" distB="0" distL="114300" distR="114300" simplePos="0" relativeHeight="251660288" behindDoc="0" locked="0" layoutInCell="1" allowOverlap="1" wp14:anchorId="5251E27C" wp14:editId="2A6A8238">
              <wp:simplePos x="0" y="0"/>
              <wp:positionH relativeFrom="column">
                <wp:posOffset>4844415</wp:posOffset>
              </wp:positionH>
              <wp:positionV relativeFrom="paragraph">
                <wp:posOffset>462915</wp:posOffset>
              </wp:positionV>
              <wp:extent cx="1327150" cy="82550"/>
              <wp:effectExtent l="4445" t="635" r="1905" b="254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7150" cy="82550"/>
                      </a:xfrm>
                      <a:prstGeom prst="rect">
                        <a:avLst/>
                      </a:prstGeom>
                      <a:solidFill>
                        <a:srgbClr val="548DD4"/>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221AA" w:rsidRPr="00023722" w:rsidRDefault="00B221AA" w:rsidP="00B221AA">
                          <w:pPr>
                            <w:jc w:val="right"/>
                            <w:rPr>
                              <w:color w:val="FFFFFF"/>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51E27C" id="_x0000_t202" coordsize="21600,21600" o:spt="202" path="m,l,21600r21600,l21600,xe">
              <v:stroke joinstyle="miter"/>
              <v:path gradientshapeok="t" o:connecttype="rect"/>
            </v:shapetype>
            <v:shape id="Text Box 1" o:spid="_x0000_s1030" type="#_x0000_t202" style="position:absolute;left:0;text-align:left;margin-left:381.45pt;margin-top:36.45pt;width:104.5pt;height: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" fillcolor="#548dd4" stroked="f">
              <v:textbox>
                <w:txbxContent>
                  <w:p w:rsidR="00B221AA" w:rsidRPr="00023722" w:rsidRDefault="00B221AA" w:rsidP="00B221AA">
                    <w:pPr>
                      <w:jc w:val="right"/>
                      <w:rPr>
                        <w:color w:val="FFFFFF"/>
                        <w:sz w:val="16"/>
                        <w:szCs w:val="16"/>
                      </w:rPr>
                    </w:pPr>
                  </w:p>
                </w:txbxContent>
              </v:textbox>
            </v:shape>
          </w:pict>
        </mc:Fallback>
      </mc:AlternateContent>
    </w:r>
    <w:r w:rsidRPr="00B221AA">
      <w:rPr>
        <w:noProof/>
      </w:rPr>
      <mc:AlternateContent>
        <mc:Choice Requires="wps">
          <w:drawing>
            <wp:anchor distT="0" distB="0" distL="114300" distR="114300" simplePos="0" relativeHeight="251659264" behindDoc="0" locked="0" layoutInCell="1" allowOverlap="1" wp14:anchorId="7674EBAA" wp14:editId="7E81CE48">
              <wp:simplePos x="0" y="0"/>
              <wp:positionH relativeFrom="column">
                <wp:posOffset>4162425</wp:posOffset>
              </wp:positionH>
              <wp:positionV relativeFrom="paragraph">
                <wp:posOffset>213995</wp:posOffset>
              </wp:positionV>
              <wp:extent cx="2000885" cy="262255"/>
              <wp:effectExtent l="0" t="0" r="0" b="444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0885" cy="262255"/>
                      </a:xfrm>
                      <a:prstGeom prst="rect">
                        <a:avLst/>
                      </a:prstGeom>
                      <a:solidFill>
                        <a:srgbClr val="1F497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221AA" w:rsidRPr="00B221AA" w:rsidRDefault="00B221AA" w:rsidP="00B221AA">
                          <w:pPr>
                            <w:jc w:val="right"/>
                            <w:rPr>
                              <w:color w:val="FFFFFF"/>
                              <w:sz w:val="24"/>
                              <w:szCs w:val="24"/>
                              <w:lang w:val="en-US"/>
                            </w:rPr>
                          </w:pPr>
                          <w:r>
                            <w:rPr>
                              <w:color w:val="FFFFFF"/>
                              <w:sz w:val="24"/>
                              <w:szCs w:val="24"/>
                              <w:lang w:val="en-US"/>
                            </w:rPr>
                            <w:t>PRESS RELEASE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74EBAA" id="Text Box 2" o:spid="_x0000_s1031" type="#_x0000_t202" style="position:absolute;left:0;text-align:left;margin-left:327.75pt;margin-top:16.85pt;width:157.55pt;height:20.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" fillcolor="#1f497d" stroked="f">
              <v:textbox>
                <w:txbxContent>
                  <w:p w:rsidR="00B221AA" w:rsidRPr="00B221AA" w:rsidRDefault="00B221AA" w:rsidP="00B221AA">
                    <w:pPr>
                      <w:jc w:val="right"/>
                      <w:rPr>
                        <w:color w:val="FFFFFF"/>
                        <w:sz w:val="24"/>
                        <w:szCs w:val="24"/>
                        <w:lang w:val="en-US"/>
                      </w:rPr>
                    </w:pPr>
                    <w:r>
                      <w:rPr>
                        <w:color w:val="FFFFFF"/>
                        <w:sz w:val="24"/>
                        <w:szCs w:val="24"/>
                        <w:lang w:val="en-US"/>
                      </w:rPr>
                      <w:t>PRESS RELEASE</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CFA0F1E"/>
    <w:multiLevelType w:val="hybridMultilevel"/>
    <w:tmpl w:val="4142E72C"/>
    <w:lvl w:ilvl="0" w:tplc="0C000011">
      <w:start w:val="1"/>
      <w:numFmt w:val="decimal"/>
      <w:lvlText w:val="%1)"/>
      <w:lvlJc w:val="left"/>
      <w:pPr>
        <w:ind w:left="720" w:hanging="360"/>
      </w:pPr>
      <w:rPr>
        <w:rFonts w:hint="default"/>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1" w15:restartNumberingAfterBreak="0">
    <w:nsid w:val="52A60206"/>
    <w:multiLevelType w:val="hybridMultilevel"/>
    <w:tmpl w:val="365E2B66"/>
    <w:lvl w:ilvl="0" w:tplc="16DA2CA6">
      <w:start w:val="1"/>
      <w:numFmt w:val="bullet"/>
      <w:lvlText w:val=""/>
      <w:lvlJc w:val="left"/>
      <w:pPr>
        <w:ind w:left="720" w:hanging="360"/>
      </w:pPr>
      <w:rPr>
        <w:rFonts w:ascii="Symbol" w:eastAsia="Calibri" w:hAnsi="Symbol" w:cstheme="minorHAnsi" w:hint="default"/>
        <w:b w:val="0"/>
        <w:i/>
        <w:sz w:val="16"/>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2" w15:restartNumberingAfterBreak="0">
    <w:nsid w:val="761D0EFD"/>
    <w:multiLevelType w:val="multilevel"/>
    <w:tmpl w:val="4B682490"/>
    <w:styleLink w:val="List0"/>
    <w:lvl w:ilvl="0">
      <w:start w:val="1"/>
      <w:numFmt w:val="bullet"/>
      <w:lvlText w:val="•"/>
      <w:lvlJc w:val="left"/>
      <w:pPr>
        <w:tabs>
          <w:tab w:val="num" w:pos="720"/>
        </w:tabs>
        <w:ind w:left="720" w:hanging="360"/>
      </w:pPr>
      <w:rPr>
        <w:rFonts w:ascii="Trebuchet MS" w:eastAsia="Times New Roman" w:hAnsi="Trebuchet MS"/>
        <w:color w:val="000000"/>
        <w:position w:val="0"/>
        <w:sz w:val="21"/>
        <w:u w:color="000000"/>
      </w:rPr>
    </w:lvl>
    <w:lvl w:ilvl="1">
      <w:start w:val="1"/>
      <w:numFmt w:val="bullet"/>
      <w:lvlText w:val="o"/>
      <w:lvlJc w:val="left"/>
      <w:pPr>
        <w:tabs>
          <w:tab w:val="num" w:pos="1410"/>
        </w:tabs>
        <w:ind w:left="1410" w:hanging="330"/>
      </w:pPr>
      <w:rPr>
        <w:rFonts w:ascii="Calibri" w:eastAsia="Times New Roman" w:hAnsi="Calibri"/>
        <w:color w:val="000000"/>
        <w:position w:val="0"/>
        <w:sz w:val="22"/>
        <w:u w:color="000000"/>
      </w:rPr>
    </w:lvl>
    <w:lvl w:ilvl="2">
      <w:start w:val="1"/>
      <w:numFmt w:val="bullet"/>
      <w:lvlText w:val="▪"/>
      <w:lvlJc w:val="left"/>
      <w:pPr>
        <w:tabs>
          <w:tab w:val="num" w:pos="2130"/>
        </w:tabs>
        <w:ind w:left="2130" w:hanging="330"/>
      </w:pPr>
      <w:rPr>
        <w:rFonts w:ascii="Calibri" w:eastAsia="Times New Roman" w:hAnsi="Calibri"/>
        <w:color w:val="000000"/>
        <w:position w:val="0"/>
        <w:sz w:val="22"/>
        <w:u w:color="000000"/>
      </w:rPr>
    </w:lvl>
    <w:lvl w:ilvl="3">
      <w:start w:val="1"/>
      <w:numFmt w:val="bullet"/>
      <w:lvlText w:val="•"/>
      <w:lvlJc w:val="left"/>
      <w:pPr>
        <w:tabs>
          <w:tab w:val="num" w:pos="2850"/>
        </w:tabs>
        <w:ind w:left="2850" w:hanging="330"/>
      </w:pPr>
      <w:rPr>
        <w:rFonts w:ascii="Calibri" w:eastAsia="Times New Roman" w:hAnsi="Calibri"/>
        <w:color w:val="000000"/>
        <w:position w:val="0"/>
        <w:sz w:val="22"/>
        <w:u w:color="000000"/>
      </w:rPr>
    </w:lvl>
    <w:lvl w:ilvl="4">
      <w:start w:val="1"/>
      <w:numFmt w:val="bullet"/>
      <w:lvlText w:val="o"/>
      <w:lvlJc w:val="left"/>
      <w:pPr>
        <w:tabs>
          <w:tab w:val="num" w:pos="3570"/>
        </w:tabs>
        <w:ind w:left="3570" w:hanging="330"/>
      </w:pPr>
      <w:rPr>
        <w:rFonts w:ascii="Calibri" w:eastAsia="Times New Roman" w:hAnsi="Calibri"/>
        <w:color w:val="000000"/>
        <w:position w:val="0"/>
        <w:sz w:val="22"/>
        <w:u w:color="000000"/>
      </w:rPr>
    </w:lvl>
    <w:lvl w:ilvl="5">
      <w:start w:val="1"/>
      <w:numFmt w:val="bullet"/>
      <w:lvlText w:val="▪"/>
      <w:lvlJc w:val="left"/>
      <w:pPr>
        <w:tabs>
          <w:tab w:val="num" w:pos="4290"/>
        </w:tabs>
        <w:ind w:left="4290" w:hanging="330"/>
      </w:pPr>
      <w:rPr>
        <w:rFonts w:ascii="Calibri" w:eastAsia="Times New Roman" w:hAnsi="Calibri"/>
        <w:color w:val="000000"/>
        <w:position w:val="0"/>
        <w:sz w:val="22"/>
        <w:u w:color="000000"/>
      </w:rPr>
    </w:lvl>
    <w:lvl w:ilvl="6">
      <w:start w:val="1"/>
      <w:numFmt w:val="bullet"/>
      <w:lvlText w:val="•"/>
      <w:lvlJc w:val="left"/>
      <w:pPr>
        <w:tabs>
          <w:tab w:val="num" w:pos="5010"/>
        </w:tabs>
        <w:ind w:left="5010" w:hanging="330"/>
      </w:pPr>
      <w:rPr>
        <w:rFonts w:ascii="Calibri" w:eastAsia="Times New Roman" w:hAnsi="Calibri"/>
        <w:color w:val="000000"/>
        <w:position w:val="0"/>
        <w:sz w:val="22"/>
        <w:u w:color="000000"/>
      </w:rPr>
    </w:lvl>
    <w:lvl w:ilvl="7">
      <w:start w:val="1"/>
      <w:numFmt w:val="bullet"/>
      <w:lvlText w:val="o"/>
      <w:lvlJc w:val="left"/>
      <w:pPr>
        <w:tabs>
          <w:tab w:val="num" w:pos="5730"/>
        </w:tabs>
        <w:ind w:left="5730" w:hanging="330"/>
      </w:pPr>
      <w:rPr>
        <w:rFonts w:ascii="Calibri" w:eastAsia="Times New Roman" w:hAnsi="Calibri"/>
        <w:color w:val="000000"/>
        <w:position w:val="0"/>
        <w:sz w:val="22"/>
        <w:u w:color="000000"/>
      </w:rPr>
    </w:lvl>
    <w:lvl w:ilvl="8">
      <w:start w:val="1"/>
      <w:numFmt w:val="bullet"/>
      <w:lvlText w:val="▪"/>
      <w:lvlJc w:val="left"/>
      <w:pPr>
        <w:tabs>
          <w:tab w:val="num" w:pos="6450"/>
        </w:tabs>
        <w:ind w:left="6450" w:hanging="330"/>
      </w:pPr>
      <w:rPr>
        <w:rFonts w:ascii="Calibri" w:eastAsia="Times New Roman" w:hAnsi="Calibri"/>
        <w:color w:val="000000"/>
        <w:position w:val="0"/>
        <w:sz w:val="22"/>
        <w:u w:color="000000"/>
      </w:rPr>
    </w:lvl>
  </w:abstractNum>
  <w:num w:numId="1">
    <w:abstractNumId w:val="2"/>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trackRevisions/>
  <w:defaultTabStop w:val="708"/>
  <w:hyphenationZone w:val="425"/>
  <w:characterSpacingControl w:val="doNotCompress"/>
  <w:hdrShapeDefaults>
    <o:shapedefaults v:ext="edit" spidmax="1925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06DD"/>
    <w:rsid w:val="00002940"/>
    <w:rsid w:val="00003CB0"/>
    <w:rsid w:val="000122F3"/>
    <w:rsid w:val="000142E1"/>
    <w:rsid w:val="00023722"/>
    <w:rsid w:val="00024325"/>
    <w:rsid w:val="000251CF"/>
    <w:rsid w:val="000273D5"/>
    <w:rsid w:val="00027F90"/>
    <w:rsid w:val="00036135"/>
    <w:rsid w:val="00041651"/>
    <w:rsid w:val="00053430"/>
    <w:rsid w:val="0006294D"/>
    <w:rsid w:val="000631AF"/>
    <w:rsid w:val="00066558"/>
    <w:rsid w:val="00067488"/>
    <w:rsid w:val="0007006B"/>
    <w:rsid w:val="00081A05"/>
    <w:rsid w:val="000821FF"/>
    <w:rsid w:val="000826B0"/>
    <w:rsid w:val="00087517"/>
    <w:rsid w:val="000938F1"/>
    <w:rsid w:val="0009407A"/>
    <w:rsid w:val="000A3C3A"/>
    <w:rsid w:val="000A6B1C"/>
    <w:rsid w:val="000B029C"/>
    <w:rsid w:val="000B1858"/>
    <w:rsid w:val="000B244A"/>
    <w:rsid w:val="000B2616"/>
    <w:rsid w:val="000B39F9"/>
    <w:rsid w:val="000C39CC"/>
    <w:rsid w:val="000C7077"/>
    <w:rsid w:val="000D0926"/>
    <w:rsid w:val="000D14B2"/>
    <w:rsid w:val="000F4045"/>
    <w:rsid w:val="00100E8E"/>
    <w:rsid w:val="00101610"/>
    <w:rsid w:val="00110A09"/>
    <w:rsid w:val="0011193E"/>
    <w:rsid w:val="0012741C"/>
    <w:rsid w:val="001311DC"/>
    <w:rsid w:val="001344F4"/>
    <w:rsid w:val="001350D1"/>
    <w:rsid w:val="0014524B"/>
    <w:rsid w:val="00145C8D"/>
    <w:rsid w:val="00155F6D"/>
    <w:rsid w:val="00157023"/>
    <w:rsid w:val="00161611"/>
    <w:rsid w:val="0016378F"/>
    <w:rsid w:val="001653C7"/>
    <w:rsid w:val="0016614B"/>
    <w:rsid w:val="0016634D"/>
    <w:rsid w:val="00170317"/>
    <w:rsid w:val="00177B65"/>
    <w:rsid w:val="00180AE1"/>
    <w:rsid w:val="0018649C"/>
    <w:rsid w:val="001930DC"/>
    <w:rsid w:val="001A07E0"/>
    <w:rsid w:val="001A2223"/>
    <w:rsid w:val="001B0550"/>
    <w:rsid w:val="001B1F2B"/>
    <w:rsid w:val="001B213D"/>
    <w:rsid w:val="001C3B32"/>
    <w:rsid w:val="001D032F"/>
    <w:rsid w:val="001D2298"/>
    <w:rsid w:val="001D3A77"/>
    <w:rsid w:val="001E5AA1"/>
    <w:rsid w:val="001F5A65"/>
    <w:rsid w:val="001F6B43"/>
    <w:rsid w:val="001F7DE2"/>
    <w:rsid w:val="00204DF6"/>
    <w:rsid w:val="00206954"/>
    <w:rsid w:val="00206A35"/>
    <w:rsid w:val="002071B6"/>
    <w:rsid w:val="002143D4"/>
    <w:rsid w:val="002245DA"/>
    <w:rsid w:val="0023528B"/>
    <w:rsid w:val="00242692"/>
    <w:rsid w:val="00246450"/>
    <w:rsid w:val="00265032"/>
    <w:rsid w:val="00265F30"/>
    <w:rsid w:val="00274622"/>
    <w:rsid w:val="00281612"/>
    <w:rsid w:val="002828E6"/>
    <w:rsid w:val="002835CB"/>
    <w:rsid w:val="00286D9A"/>
    <w:rsid w:val="00290044"/>
    <w:rsid w:val="00291FE6"/>
    <w:rsid w:val="00293300"/>
    <w:rsid w:val="002A0916"/>
    <w:rsid w:val="002A3DCB"/>
    <w:rsid w:val="002A475D"/>
    <w:rsid w:val="002C0572"/>
    <w:rsid w:val="002C38A5"/>
    <w:rsid w:val="002C4A89"/>
    <w:rsid w:val="002D224D"/>
    <w:rsid w:val="002D4660"/>
    <w:rsid w:val="002E31D5"/>
    <w:rsid w:val="002E61F8"/>
    <w:rsid w:val="002F4DEA"/>
    <w:rsid w:val="00302EA5"/>
    <w:rsid w:val="00303448"/>
    <w:rsid w:val="0030475B"/>
    <w:rsid w:val="003115B1"/>
    <w:rsid w:val="00312A27"/>
    <w:rsid w:val="00321F1B"/>
    <w:rsid w:val="00323C38"/>
    <w:rsid w:val="00325FE1"/>
    <w:rsid w:val="00346D89"/>
    <w:rsid w:val="0035078C"/>
    <w:rsid w:val="00353E40"/>
    <w:rsid w:val="0035677F"/>
    <w:rsid w:val="003628AA"/>
    <w:rsid w:val="00366E5B"/>
    <w:rsid w:val="00390323"/>
    <w:rsid w:val="00395A33"/>
    <w:rsid w:val="003A060C"/>
    <w:rsid w:val="003A5130"/>
    <w:rsid w:val="003B25D7"/>
    <w:rsid w:val="003B2943"/>
    <w:rsid w:val="003C1EBF"/>
    <w:rsid w:val="003E179D"/>
    <w:rsid w:val="003E405C"/>
    <w:rsid w:val="003F26DF"/>
    <w:rsid w:val="003F7987"/>
    <w:rsid w:val="004052A1"/>
    <w:rsid w:val="004139FD"/>
    <w:rsid w:val="00417016"/>
    <w:rsid w:val="0042227C"/>
    <w:rsid w:val="00422E19"/>
    <w:rsid w:val="00423B6F"/>
    <w:rsid w:val="00425FFD"/>
    <w:rsid w:val="00427FF4"/>
    <w:rsid w:val="004324D8"/>
    <w:rsid w:val="00432B2E"/>
    <w:rsid w:val="00441B26"/>
    <w:rsid w:val="004555C9"/>
    <w:rsid w:val="00460341"/>
    <w:rsid w:val="0046538D"/>
    <w:rsid w:val="00465DFB"/>
    <w:rsid w:val="0048379B"/>
    <w:rsid w:val="00487361"/>
    <w:rsid w:val="00487FAC"/>
    <w:rsid w:val="0049091C"/>
    <w:rsid w:val="004929B7"/>
    <w:rsid w:val="00493C6F"/>
    <w:rsid w:val="004961B4"/>
    <w:rsid w:val="00496368"/>
    <w:rsid w:val="00497181"/>
    <w:rsid w:val="00497610"/>
    <w:rsid w:val="004A3494"/>
    <w:rsid w:val="004C0588"/>
    <w:rsid w:val="004C6552"/>
    <w:rsid w:val="004D138C"/>
    <w:rsid w:val="004D495E"/>
    <w:rsid w:val="004E5DC1"/>
    <w:rsid w:val="004F03CC"/>
    <w:rsid w:val="004F35DF"/>
    <w:rsid w:val="00505613"/>
    <w:rsid w:val="0050592C"/>
    <w:rsid w:val="00512383"/>
    <w:rsid w:val="00521771"/>
    <w:rsid w:val="00523DEF"/>
    <w:rsid w:val="00532757"/>
    <w:rsid w:val="00542C34"/>
    <w:rsid w:val="00544D63"/>
    <w:rsid w:val="0055181C"/>
    <w:rsid w:val="0055455A"/>
    <w:rsid w:val="005647D5"/>
    <w:rsid w:val="005654D4"/>
    <w:rsid w:val="005841A4"/>
    <w:rsid w:val="00587DDE"/>
    <w:rsid w:val="00587DE7"/>
    <w:rsid w:val="00592AEB"/>
    <w:rsid w:val="005A0B4D"/>
    <w:rsid w:val="005A45D2"/>
    <w:rsid w:val="005C607A"/>
    <w:rsid w:val="005D18F6"/>
    <w:rsid w:val="005D5B06"/>
    <w:rsid w:val="005E1B1B"/>
    <w:rsid w:val="005E1EBF"/>
    <w:rsid w:val="005E306F"/>
    <w:rsid w:val="005E4366"/>
    <w:rsid w:val="005F0F01"/>
    <w:rsid w:val="005F5B00"/>
    <w:rsid w:val="00606CDE"/>
    <w:rsid w:val="006142C4"/>
    <w:rsid w:val="00620721"/>
    <w:rsid w:val="00625BC5"/>
    <w:rsid w:val="006279A3"/>
    <w:rsid w:val="006312B1"/>
    <w:rsid w:val="00650AA3"/>
    <w:rsid w:val="00666E53"/>
    <w:rsid w:val="00674261"/>
    <w:rsid w:val="0068198D"/>
    <w:rsid w:val="006851C7"/>
    <w:rsid w:val="0068599E"/>
    <w:rsid w:val="00691B36"/>
    <w:rsid w:val="006A47D8"/>
    <w:rsid w:val="006B4D18"/>
    <w:rsid w:val="006B7C67"/>
    <w:rsid w:val="006B7EB0"/>
    <w:rsid w:val="006C0EBE"/>
    <w:rsid w:val="006C76B4"/>
    <w:rsid w:val="006D03FA"/>
    <w:rsid w:val="006D0993"/>
    <w:rsid w:val="006D7AFE"/>
    <w:rsid w:val="006E2BB0"/>
    <w:rsid w:val="006E6CF8"/>
    <w:rsid w:val="006F6C7D"/>
    <w:rsid w:val="00704407"/>
    <w:rsid w:val="007073F4"/>
    <w:rsid w:val="007116EC"/>
    <w:rsid w:val="00711F25"/>
    <w:rsid w:val="007133B1"/>
    <w:rsid w:val="00715F3C"/>
    <w:rsid w:val="00716A98"/>
    <w:rsid w:val="00732575"/>
    <w:rsid w:val="00740A29"/>
    <w:rsid w:val="00741216"/>
    <w:rsid w:val="007447DC"/>
    <w:rsid w:val="007457E1"/>
    <w:rsid w:val="00747D7F"/>
    <w:rsid w:val="0075754A"/>
    <w:rsid w:val="007611BD"/>
    <w:rsid w:val="00762C13"/>
    <w:rsid w:val="00770CF0"/>
    <w:rsid w:val="007718F0"/>
    <w:rsid w:val="0078287A"/>
    <w:rsid w:val="007867BD"/>
    <w:rsid w:val="00794410"/>
    <w:rsid w:val="00797DCC"/>
    <w:rsid w:val="007A2C9E"/>
    <w:rsid w:val="007A4D9E"/>
    <w:rsid w:val="007A7992"/>
    <w:rsid w:val="007B02CA"/>
    <w:rsid w:val="007B1C53"/>
    <w:rsid w:val="007B20FA"/>
    <w:rsid w:val="007B3749"/>
    <w:rsid w:val="007B5399"/>
    <w:rsid w:val="007C0035"/>
    <w:rsid w:val="007D115E"/>
    <w:rsid w:val="007D21B3"/>
    <w:rsid w:val="007F3DD1"/>
    <w:rsid w:val="00805A98"/>
    <w:rsid w:val="008105FD"/>
    <w:rsid w:val="00810B37"/>
    <w:rsid w:val="00811D03"/>
    <w:rsid w:val="00813658"/>
    <w:rsid w:val="00815484"/>
    <w:rsid w:val="00816E1D"/>
    <w:rsid w:val="0082307E"/>
    <w:rsid w:val="00837C3E"/>
    <w:rsid w:val="0084144A"/>
    <w:rsid w:val="00846ECE"/>
    <w:rsid w:val="0085027E"/>
    <w:rsid w:val="00850DC4"/>
    <w:rsid w:val="00853DE2"/>
    <w:rsid w:val="0085537D"/>
    <w:rsid w:val="0086485B"/>
    <w:rsid w:val="0086602C"/>
    <w:rsid w:val="0086701E"/>
    <w:rsid w:val="008829F6"/>
    <w:rsid w:val="008846E8"/>
    <w:rsid w:val="008955BB"/>
    <w:rsid w:val="00897AF0"/>
    <w:rsid w:val="008A03C0"/>
    <w:rsid w:val="008A046F"/>
    <w:rsid w:val="008A104C"/>
    <w:rsid w:val="008A2EC8"/>
    <w:rsid w:val="008B05F4"/>
    <w:rsid w:val="008C1493"/>
    <w:rsid w:val="008C5197"/>
    <w:rsid w:val="008D4345"/>
    <w:rsid w:val="008D4E08"/>
    <w:rsid w:val="008E0601"/>
    <w:rsid w:val="008F3C58"/>
    <w:rsid w:val="008F4BDE"/>
    <w:rsid w:val="008F54DC"/>
    <w:rsid w:val="009049A1"/>
    <w:rsid w:val="00911396"/>
    <w:rsid w:val="009153B1"/>
    <w:rsid w:val="009168A3"/>
    <w:rsid w:val="00922AD7"/>
    <w:rsid w:val="0092697C"/>
    <w:rsid w:val="00933775"/>
    <w:rsid w:val="00937B19"/>
    <w:rsid w:val="00937DBD"/>
    <w:rsid w:val="0094069B"/>
    <w:rsid w:val="009422AF"/>
    <w:rsid w:val="00944587"/>
    <w:rsid w:val="009526BE"/>
    <w:rsid w:val="00957847"/>
    <w:rsid w:val="009605EB"/>
    <w:rsid w:val="00964DC3"/>
    <w:rsid w:val="00966EFC"/>
    <w:rsid w:val="00971435"/>
    <w:rsid w:val="009722B9"/>
    <w:rsid w:val="00972EBA"/>
    <w:rsid w:val="00977EF2"/>
    <w:rsid w:val="0098324A"/>
    <w:rsid w:val="00985434"/>
    <w:rsid w:val="00985949"/>
    <w:rsid w:val="00994C7B"/>
    <w:rsid w:val="009A4A4F"/>
    <w:rsid w:val="009B4C12"/>
    <w:rsid w:val="009E1D37"/>
    <w:rsid w:val="009E4958"/>
    <w:rsid w:val="009E61C6"/>
    <w:rsid w:val="00A0151E"/>
    <w:rsid w:val="00A04FDE"/>
    <w:rsid w:val="00A051A2"/>
    <w:rsid w:val="00A05216"/>
    <w:rsid w:val="00A20E12"/>
    <w:rsid w:val="00A225A5"/>
    <w:rsid w:val="00A23351"/>
    <w:rsid w:val="00A26C26"/>
    <w:rsid w:val="00A26E76"/>
    <w:rsid w:val="00A27300"/>
    <w:rsid w:val="00A35631"/>
    <w:rsid w:val="00A419DE"/>
    <w:rsid w:val="00A4551F"/>
    <w:rsid w:val="00A50967"/>
    <w:rsid w:val="00A523F8"/>
    <w:rsid w:val="00A62BC0"/>
    <w:rsid w:val="00A64C17"/>
    <w:rsid w:val="00A6629A"/>
    <w:rsid w:val="00A742D0"/>
    <w:rsid w:val="00A74E91"/>
    <w:rsid w:val="00A762B8"/>
    <w:rsid w:val="00A80871"/>
    <w:rsid w:val="00A81DF3"/>
    <w:rsid w:val="00A84F04"/>
    <w:rsid w:val="00A85689"/>
    <w:rsid w:val="00A96D2A"/>
    <w:rsid w:val="00AA6653"/>
    <w:rsid w:val="00AC10F0"/>
    <w:rsid w:val="00AC6F30"/>
    <w:rsid w:val="00AD1CC3"/>
    <w:rsid w:val="00AD4090"/>
    <w:rsid w:val="00AD74A9"/>
    <w:rsid w:val="00AE5E13"/>
    <w:rsid w:val="00AF4F0C"/>
    <w:rsid w:val="00AF7A33"/>
    <w:rsid w:val="00B02C00"/>
    <w:rsid w:val="00B06B33"/>
    <w:rsid w:val="00B1562D"/>
    <w:rsid w:val="00B1616C"/>
    <w:rsid w:val="00B21613"/>
    <w:rsid w:val="00B221AA"/>
    <w:rsid w:val="00B26D26"/>
    <w:rsid w:val="00B27FC1"/>
    <w:rsid w:val="00B3633C"/>
    <w:rsid w:val="00B3638F"/>
    <w:rsid w:val="00B36FC5"/>
    <w:rsid w:val="00B506DD"/>
    <w:rsid w:val="00B52009"/>
    <w:rsid w:val="00B644FD"/>
    <w:rsid w:val="00B648C6"/>
    <w:rsid w:val="00B64BDC"/>
    <w:rsid w:val="00B65968"/>
    <w:rsid w:val="00B85DA5"/>
    <w:rsid w:val="00B864B7"/>
    <w:rsid w:val="00B9148B"/>
    <w:rsid w:val="00B9177E"/>
    <w:rsid w:val="00B93296"/>
    <w:rsid w:val="00B9526A"/>
    <w:rsid w:val="00BA5C9F"/>
    <w:rsid w:val="00BB21A8"/>
    <w:rsid w:val="00BC03CD"/>
    <w:rsid w:val="00BC7F41"/>
    <w:rsid w:val="00BD2063"/>
    <w:rsid w:val="00BD422E"/>
    <w:rsid w:val="00BE0CE6"/>
    <w:rsid w:val="00BE31F2"/>
    <w:rsid w:val="00BE32CD"/>
    <w:rsid w:val="00BF0AB7"/>
    <w:rsid w:val="00C004D1"/>
    <w:rsid w:val="00C034EE"/>
    <w:rsid w:val="00C10570"/>
    <w:rsid w:val="00C129B3"/>
    <w:rsid w:val="00C267AD"/>
    <w:rsid w:val="00C31F24"/>
    <w:rsid w:val="00C400BC"/>
    <w:rsid w:val="00C4544B"/>
    <w:rsid w:val="00C503B2"/>
    <w:rsid w:val="00C748A0"/>
    <w:rsid w:val="00C777DD"/>
    <w:rsid w:val="00C818C4"/>
    <w:rsid w:val="00C83658"/>
    <w:rsid w:val="00C851EC"/>
    <w:rsid w:val="00C96DBD"/>
    <w:rsid w:val="00CA2C88"/>
    <w:rsid w:val="00CA515E"/>
    <w:rsid w:val="00CA63F6"/>
    <w:rsid w:val="00CB0938"/>
    <w:rsid w:val="00CB2727"/>
    <w:rsid w:val="00CC05D0"/>
    <w:rsid w:val="00CC110F"/>
    <w:rsid w:val="00CC224A"/>
    <w:rsid w:val="00CD1AC3"/>
    <w:rsid w:val="00CD7261"/>
    <w:rsid w:val="00CD7386"/>
    <w:rsid w:val="00CE191F"/>
    <w:rsid w:val="00CE664C"/>
    <w:rsid w:val="00CF09D7"/>
    <w:rsid w:val="00CF1241"/>
    <w:rsid w:val="00CF2D3F"/>
    <w:rsid w:val="00D044A4"/>
    <w:rsid w:val="00D04CC6"/>
    <w:rsid w:val="00D14328"/>
    <w:rsid w:val="00D14420"/>
    <w:rsid w:val="00D31A37"/>
    <w:rsid w:val="00D40410"/>
    <w:rsid w:val="00D46430"/>
    <w:rsid w:val="00D51102"/>
    <w:rsid w:val="00D529CD"/>
    <w:rsid w:val="00D5395D"/>
    <w:rsid w:val="00D572C6"/>
    <w:rsid w:val="00D60E5D"/>
    <w:rsid w:val="00D638E4"/>
    <w:rsid w:val="00D7021C"/>
    <w:rsid w:val="00D74699"/>
    <w:rsid w:val="00D75CCC"/>
    <w:rsid w:val="00D835B0"/>
    <w:rsid w:val="00D93B93"/>
    <w:rsid w:val="00D95F79"/>
    <w:rsid w:val="00D971AD"/>
    <w:rsid w:val="00D97959"/>
    <w:rsid w:val="00DA3BC3"/>
    <w:rsid w:val="00DA5846"/>
    <w:rsid w:val="00DB66AA"/>
    <w:rsid w:val="00DB78F0"/>
    <w:rsid w:val="00DC058F"/>
    <w:rsid w:val="00DC10F0"/>
    <w:rsid w:val="00DC56BE"/>
    <w:rsid w:val="00DC5C5B"/>
    <w:rsid w:val="00DD0ABC"/>
    <w:rsid w:val="00DD3D3E"/>
    <w:rsid w:val="00DD4FE1"/>
    <w:rsid w:val="00DD7411"/>
    <w:rsid w:val="00DE2B2F"/>
    <w:rsid w:val="00DE3F1D"/>
    <w:rsid w:val="00DE4632"/>
    <w:rsid w:val="00DE4AEA"/>
    <w:rsid w:val="00DE674A"/>
    <w:rsid w:val="00DF20FA"/>
    <w:rsid w:val="00E01E3B"/>
    <w:rsid w:val="00E069CE"/>
    <w:rsid w:val="00E15539"/>
    <w:rsid w:val="00E539C6"/>
    <w:rsid w:val="00E56036"/>
    <w:rsid w:val="00E61E3C"/>
    <w:rsid w:val="00E62BD6"/>
    <w:rsid w:val="00E67733"/>
    <w:rsid w:val="00E71B70"/>
    <w:rsid w:val="00E7202A"/>
    <w:rsid w:val="00E7472F"/>
    <w:rsid w:val="00E77037"/>
    <w:rsid w:val="00E82345"/>
    <w:rsid w:val="00E8561B"/>
    <w:rsid w:val="00E87C13"/>
    <w:rsid w:val="00E95BBB"/>
    <w:rsid w:val="00E97B48"/>
    <w:rsid w:val="00EA36AD"/>
    <w:rsid w:val="00EA3FD7"/>
    <w:rsid w:val="00EA4444"/>
    <w:rsid w:val="00EA7BAA"/>
    <w:rsid w:val="00EC17D0"/>
    <w:rsid w:val="00EC44CD"/>
    <w:rsid w:val="00ED7183"/>
    <w:rsid w:val="00ED72DD"/>
    <w:rsid w:val="00EE056C"/>
    <w:rsid w:val="00EE14EA"/>
    <w:rsid w:val="00EE2F74"/>
    <w:rsid w:val="00EE47D0"/>
    <w:rsid w:val="00EF3836"/>
    <w:rsid w:val="00F12D23"/>
    <w:rsid w:val="00F12DA5"/>
    <w:rsid w:val="00F219F3"/>
    <w:rsid w:val="00F26FA3"/>
    <w:rsid w:val="00F36A6A"/>
    <w:rsid w:val="00F374D1"/>
    <w:rsid w:val="00F45A6C"/>
    <w:rsid w:val="00F54A50"/>
    <w:rsid w:val="00F573D8"/>
    <w:rsid w:val="00F575D9"/>
    <w:rsid w:val="00F6009C"/>
    <w:rsid w:val="00F61458"/>
    <w:rsid w:val="00F63437"/>
    <w:rsid w:val="00F64F82"/>
    <w:rsid w:val="00F67C8C"/>
    <w:rsid w:val="00F71FF3"/>
    <w:rsid w:val="00F81654"/>
    <w:rsid w:val="00F8634D"/>
    <w:rsid w:val="00F87579"/>
    <w:rsid w:val="00FA03A4"/>
    <w:rsid w:val="00FA745D"/>
    <w:rsid w:val="00FC1F49"/>
    <w:rsid w:val="00FE4E2B"/>
    <w:rsid w:val="00FF042F"/>
    <w:rsid w:val="00FF144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92513"/>
    <o:shapelayout v:ext="edit">
      <o:idmap v:ext="edit" data="1"/>
    </o:shapelayout>
  </w:shapeDefaults>
  <w:decimalSymbol w:val="."/>
  <w:listSeparator w:val=";"/>
  <w15:docId w15:val="{0F3A92FA-CE9F-4A9F-BC31-C8776FE8F6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fr-FR" w:eastAsia="fr-FR"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qFormat="1"/>
    <w:lsdException w:name="Document Map" w:semiHidden="1" w:unhideWhenUsed="1"/>
    <w:lsdException w:name="Plain Text" w:lock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E61C6"/>
    <w:pPr>
      <w:spacing w:before="100" w:beforeAutospacing="1" w:after="100" w:afterAutospacing="1"/>
      <w:jc w:val="both"/>
    </w:pPr>
    <w:rPr>
      <w:lang w:eastAsia="en-US"/>
    </w:rPr>
  </w:style>
  <w:style w:type="paragraph" w:styleId="Heading2">
    <w:name w:val="heading 2"/>
    <w:basedOn w:val="Normal"/>
    <w:next w:val="Normal"/>
    <w:link w:val="Heading2Char"/>
    <w:semiHidden/>
    <w:unhideWhenUsed/>
    <w:qFormat/>
    <w:locked/>
    <w:rsid w:val="001B0550"/>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9">
    <w:name w:val="heading 9"/>
    <w:basedOn w:val="Normal"/>
    <w:next w:val="Normal"/>
    <w:link w:val="Heading9Char"/>
    <w:qFormat/>
    <w:locked/>
    <w:rsid w:val="007A4D9E"/>
    <w:pPr>
      <w:keepNext/>
      <w:spacing w:before="0" w:beforeAutospacing="0" w:after="0" w:afterAutospacing="0"/>
      <w:jc w:val="left"/>
      <w:outlineLvl w:val="8"/>
    </w:pPr>
    <w:rPr>
      <w:rFonts w:ascii="Arial Narrow" w:eastAsia="Times New Roman" w:hAnsi="Arial Narrow"/>
      <w:b/>
      <w:sz w:val="4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rsid w:val="00B506DD"/>
    <w:pPr>
      <w:spacing w:before="0" w:after="0"/>
    </w:pPr>
    <w:rPr>
      <w:sz w:val="20"/>
      <w:szCs w:val="20"/>
    </w:rPr>
  </w:style>
  <w:style w:type="character" w:customStyle="1" w:styleId="FootnoteTextChar">
    <w:name w:val="Footnote Text Char"/>
    <w:basedOn w:val="DefaultParagraphFont"/>
    <w:link w:val="FootnoteText"/>
    <w:uiPriority w:val="99"/>
    <w:semiHidden/>
    <w:locked/>
    <w:rsid w:val="00B506DD"/>
    <w:rPr>
      <w:rFonts w:cs="Times New Roman"/>
      <w:sz w:val="20"/>
      <w:szCs w:val="20"/>
    </w:rPr>
  </w:style>
  <w:style w:type="character" w:styleId="FootnoteReference">
    <w:name w:val="footnote reference"/>
    <w:basedOn w:val="DefaultParagraphFont"/>
    <w:uiPriority w:val="99"/>
    <w:semiHidden/>
    <w:rsid w:val="00B506DD"/>
    <w:rPr>
      <w:rFonts w:cs="Times New Roman"/>
      <w:vertAlign w:val="superscript"/>
    </w:rPr>
  </w:style>
  <w:style w:type="paragraph" w:styleId="BalloonText">
    <w:name w:val="Balloon Text"/>
    <w:basedOn w:val="Normal"/>
    <w:link w:val="BalloonTextChar"/>
    <w:uiPriority w:val="99"/>
    <w:semiHidden/>
    <w:rsid w:val="002828E6"/>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828E6"/>
    <w:rPr>
      <w:rFonts w:ascii="Tahoma" w:hAnsi="Tahoma" w:cs="Tahoma"/>
      <w:sz w:val="16"/>
      <w:szCs w:val="16"/>
    </w:rPr>
  </w:style>
  <w:style w:type="character" w:styleId="Hyperlink">
    <w:name w:val="Hyperlink"/>
    <w:basedOn w:val="DefaultParagraphFont"/>
    <w:uiPriority w:val="99"/>
    <w:rsid w:val="002828E6"/>
    <w:rPr>
      <w:rFonts w:cs="Times New Roman"/>
      <w:b/>
      <w:bCs/>
      <w:color w:val="FFFFFF"/>
      <w:sz w:val="17"/>
      <w:szCs w:val="17"/>
      <w:u w:val="none"/>
      <w:effect w:val="none"/>
    </w:rPr>
  </w:style>
  <w:style w:type="paragraph" w:styleId="NormalWeb">
    <w:name w:val="Normal (Web)"/>
    <w:basedOn w:val="Normal"/>
    <w:uiPriority w:val="99"/>
    <w:semiHidden/>
    <w:rsid w:val="002828E6"/>
    <w:pPr>
      <w:jc w:val="left"/>
    </w:pPr>
    <w:rPr>
      <w:rFonts w:ascii="Times New Roman" w:eastAsia="Times New Roman" w:hAnsi="Times New Roman"/>
      <w:sz w:val="24"/>
      <w:szCs w:val="24"/>
      <w:lang w:eastAsia="fr-FR"/>
    </w:rPr>
  </w:style>
  <w:style w:type="character" w:customStyle="1" w:styleId="gras1">
    <w:name w:val="gras1"/>
    <w:basedOn w:val="DefaultParagraphFont"/>
    <w:uiPriority w:val="99"/>
    <w:rsid w:val="002828E6"/>
    <w:rPr>
      <w:rFonts w:cs="Times New Roman"/>
      <w:b/>
      <w:bCs/>
    </w:rPr>
  </w:style>
  <w:style w:type="character" w:customStyle="1" w:styleId="petit1">
    <w:name w:val="petit1"/>
    <w:basedOn w:val="DefaultParagraphFont"/>
    <w:uiPriority w:val="99"/>
    <w:rsid w:val="002828E6"/>
    <w:rPr>
      <w:rFonts w:cs="Times New Roman"/>
      <w:sz w:val="15"/>
      <w:szCs w:val="15"/>
    </w:rPr>
  </w:style>
  <w:style w:type="character" w:styleId="Emphasis">
    <w:name w:val="Emphasis"/>
    <w:basedOn w:val="DefaultParagraphFont"/>
    <w:uiPriority w:val="99"/>
    <w:qFormat/>
    <w:rsid w:val="002828E6"/>
    <w:rPr>
      <w:rFonts w:cs="Times New Roman"/>
      <w:i/>
      <w:iCs/>
    </w:rPr>
  </w:style>
  <w:style w:type="paragraph" w:styleId="Header">
    <w:name w:val="header"/>
    <w:basedOn w:val="Normal"/>
    <w:link w:val="HeaderChar"/>
    <w:uiPriority w:val="99"/>
    <w:rsid w:val="00A20E12"/>
    <w:pPr>
      <w:tabs>
        <w:tab w:val="center" w:pos="4536"/>
        <w:tab w:val="right" w:pos="9072"/>
      </w:tabs>
      <w:spacing w:before="0" w:after="0"/>
    </w:pPr>
  </w:style>
  <w:style w:type="character" w:customStyle="1" w:styleId="HeaderChar">
    <w:name w:val="Header Char"/>
    <w:basedOn w:val="DefaultParagraphFont"/>
    <w:link w:val="Header"/>
    <w:uiPriority w:val="99"/>
    <w:locked/>
    <w:rsid w:val="00A20E12"/>
    <w:rPr>
      <w:rFonts w:cs="Times New Roman"/>
    </w:rPr>
  </w:style>
  <w:style w:type="paragraph" w:styleId="Footer">
    <w:name w:val="footer"/>
    <w:basedOn w:val="Normal"/>
    <w:link w:val="FooterChar"/>
    <w:rsid w:val="00A20E12"/>
    <w:pPr>
      <w:tabs>
        <w:tab w:val="center" w:pos="4536"/>
        <w:tab w:val="right" w:pos="9072"/>
      </w:tabs>
      <w:spacing w:before="0" w:after="0"/>
    </w:pPr>
  </w:style>
  <w:style w:type="character" w:customStyle="1" w:styleId="FooterChar">
    <w:name w:val="Footer Char"/>
    <w:basedOn w:val="DefaultParagraphFont"/>
    <w:link w:val="Footer"/>
    <w:locked/>
    <w:rsid w:val="00A20E12"/>
    <w:rPr>
      <w:rFonts w:cs="Times New Roman"/>
    </w:rPr>
  </w:style>
  <w:style w:type="character" w:styleId="PageNumber">
    <w:name w:val="page number"/>
    <w:basedOn w:val="DefaultParagraphFont"/>
    <w:uiPriority w:val="99"/>
    <w:rsid w:val="00AF7A33"/>
    <w:rPr>
      <w:rFonts w:cs="Times New Roman"/>
    </w:rPr>
  </w:style>
  <w:style w:type="character" w:customStyle="1" w:styleId="tableaugras1">
    <w:name w:val="tableaugras1"/>
    <w:basedOn w:val="DefaultParagraphFont"/>
    <w:uiPriority w:val="99"/>
    <w:rsid w:val="00FA03A4"/>
    <w:rPr>
      <w:rFonts w:cs="Times New Roman"/>
      <w:b/>
      <w:bCs/>
      <w:color w:val="003B79"/>
      <w:sz w:val="21"/>
      <w:szCs w:val="21"/>
    </w:rPr>
  </w:style>
  <w:style w:type="character" w:styleId="CommentReference">
    <w:name w:val="annotation reference"/>
    <w:basedOn w:val="DefaultParagraphFont"/>
    <w:uiPriority w:val="99"/>
    <w:semiHidden/>
    <w:rsid w:val="00544D63"/>
    <w:rPr>
      <w:rFonts w:cs="Times New Roman"/>
      <w:sz w:val="16"/>
      <w:szCs w:val="16"/>
    </w:rPr>
  </w:style>
  <w:style w:type="paragraph" w:styleId="CommentText">
    <w:name w:val="annotation text"/>
    <w:basedOn w:val="Normal"/>
    <w:link w:val="CommentTextChar"/>
    <w:uiPriority w:val="99"/>
    <w:semiHidden/>
    <w:rsid w:val="00544D63"/>
    <w:rPr>
      <w:sz w:val="20"/>
      <w:szCs w:val="20"/>
    </w:rPr>
  </w:style>
  <w:style w:type="character" w:customStyle="1" w:styleId="CommentTextChar">
    <w:name w:val="Comment Text Char"/>
    <w:basedOn w:val="DefaultParagraphFont"/>
    <w:link w:val="CommentText"/>
    <w:uiPriority w:val="99"/>
    <w:semiHidden/>
    <w:locked/>
    <w:rsid w:val="00544D63"/>
    <w:rPr>
      <w:rFonts w:cs="Times New Roman"/>
      <w:sz w:val="20"/>
      <w:szCs w:val="20"/>
    </w:rPr>
  </w:style>
  <w:style w:type="paragraph" w:styleId="CommentSubject">
    <w:name w:val="annotation subject"/>
    <w:basedOn w:val="CommentText"/>
    <w:next w:val="CommentText"/>
    <w:link w:val="CommentSubjectChar"/>
    <w:uiPriority w:val="99"/>
    <w:semiHidden/>
    <w:rsid w:val="00544D63"/>
    <w:rPr>
      <w:b/>
      <w:bCs/>
    </w:rPr>
  </w:style>
  <w:style w:type="character" w:customStyle="1" w:styleId="CommentSubjectChar">
    <w:name w:val="Comment Subject Char"/>
    <w:basedOn w:val="CommentTextChar"/>
    <w:link w:val="CommentSubject"/>
    <w:uiPriority w:val="99"/>
    <w:semiHidden/>
    <w:locked/>
    <w:rsid w:val="00544D63"/>
    <w:rPr>
      <w:rFonts w:cs="Times New Roman"/>
      <w:b/>
      <w:bCs/>
      <w:sz w:val="20"/>
      <w:szCs w:val="20"/>
    </w:rPr>
  </w:style>
  <w:style w:type="paragraph" w:styleId="PlainText">
    <w:name w:val="Plain Text"/>
    <w:basedOn w:val="Normal"/>
    <w:link w:val="PlainTextChar"/>
    <w:uiPriority w:val="99"/>
    <w:semiHidden/>
    <w:rsid w:val="0084144A"/>
    <w:pPr>
      <w:spacing w:before="0" w:beforeAutospacing="0" w:after="0" w:afterAutospacing="0"/>
      <w:jc w:val="left"/>
    </w:pPr>
    <w:rPr>
      <w:rFonts w:ascii="Consolas" w:hAnsi="Consolas" w:cs="Consolas"/>
      <w:color w:val="000000"/>
      <w:sz w:val="21"/>
      <w:szCs w:val="21"/>
      <w:u w:color="000000"/>
      <w:lang w:val="en-US"/>
    </w:rPr>
  </w:style>
  <w:style w:type="character" w:customStyle="1" w:styleId="PlainTextChar">
    <w:name w:val="Plain Text Char"/>
    <w:basedOn w:val="DefaultParagraphFont"/>
    <w:link w:val="PlainText"/>
    <w:uiPriority w:val="99"/>
    <w:semiHidden/>
    <w:locked/>
    <w:rsid w:val="0084144A"/>
    <w:rPr>
      <w:rFonts w:ascii="Consolas" w:hAnsi="Consolas" w:cs="Consolas"/>
      <w:color w:val="000000"/>
      <w:sz w:val="21"/>
      <w:szCs w:val="21"/>
      <w:u w:color="000000"/>
      <w:lang w:val="en-US" w:eastAsia="en-US" w:bidi="ar-SA"/>
    </w:rPr>
  </w:style>
  <w:style w:type="paragraph" w:customStyle="1" w:styleId="Body">
    <w:name w:val="Body"/>
    <w:uiPriority w:val="99"/>
    <w:rsid w:val="0084144A"/>
    <w:pPr>
      <w:spacing w:after="200" w:line="276" w:lineRule="auto"/>
    </w:pPr>
    <w:rPr>
      <w:rFonts w:cs="Calibri"/>
      <w:color w:val="000000"/>
      <w:u w:color="000000"/>
      <w:lang w:val="en-US" w:eastAsia="en-US"/>
    </w:rPr>
  </w:style>
  <w:style w:type="character" w:customStyle="1" w:styleId="Hyperlink0">
    <w:name w:val="Hyperlink.0"/>
    <w:basedOn w:val="DefaultParagraphFont"/>
    <w:uiPriority w:val="99"/>
    <w:rsid w:val="0084144A"/>
    <w:rPr>
      <w:rFonts w:cs="Times New Roman"/>
      <w:color w:val="0000FF"/>
      <w:u w:val="single" w:color="0000FF"/>
    </w:rPr>
  </w:style>
  <w:style w:type="character" w:customStyle="1" w:styleId="Hyperlink1">
    <w:name w:val="Hyperlink.1"/>
    <w:basedOn w:val="DefaultParagraphFont"/>
    <w:rsid w:val="0084144A"/>
    <w:rPr>
      <w:rFonts w:ascii="Calibri" w:hAnsi="Calibri" w:cs="Calibri"/>
      <w:color w:val="0000FF"/>
      <w:sz w:val="22"/>
      <w:szCs w:val="22"/>
      <w:u w:val="single" w:color="0000FF"/>
    </w:rPr>
  </w:style>
  <w:style w:type="numbering" w:customStyle="1" w:styleId="List0">
    <w:name w:val="List 0"/>
    <w:rsid w:val="00402CAC"/>
    <w:pPr>
      <w:numPr>
        <w:numId w:val="1"/>
      </w:numPr>
    </w:pPr>
  </w:style>
  <w:style w:type="character" w:styleId="FollowedHyperlink">
    <w:name w:val="FollowedHyperlink"/>
    <w:basedOn w:val="DefaultParagraphFont"/>
    <w:uiPriority w:val="99"/>
    <w:semiHidden/>
    <w:unhideWhenUsed/>
    <w:rsid w:val="00C83658"/>
    <w:rPr>
      <w:color w:val="800080" w:themeColor="followedHyperlink"/>
      <w:u w:val="single"/>
    </w:rPr>
  </w:style>
  <w:style w:type="character" w:customStyle="1" w:styleId="Heading9Char">
    <w:name w:val="Heading 9 Char"/>
    <w:basedOn w:val="DefaultParagraphFont"/>
    <w:link w:val="Heading9"/>
    <w:rsid w:val="007A4D9E"/>
    <w:rPr>
      <w:rFonts w:ascii="Arial Narrow" w:eastAsia="Times New Roman" w:hAnsi="Arial Narrow"/>
      <w:b/>
      <w:sz w:val="40"/>
      <w:szCs w:val="20"/>
      <w:lang w:val="en-US" w:eastAsia="en-US"/>
    </w:rPr>
  </w:style>
  <w:style w:type="character" w:customStyle="1" w:styleId="TEXTE">
    <w:name w:val="TEXTE"/>
    <w:uiPriority w:val="99"/>
    <w:rsid w:val="00674261"/>
    <w:rPr>
      <w:rFonts w:ascii="Gill Sans MT" w:hAnsi="Gill Sans MT" w:cs="Gill Sans MT"/>
      <w:color w:val="67757D"/>
      <w:spacing w:val="0"/>
      <w:sz w:val="18"/>
      <w:szCs w:val="18"/>
    </w:rPr>
  </w:style>
  <w:style w:type="character" w:styleId="UnresolvedMention">
    <w:name w:val="Unresolved Mention"/>
    <w:basedOn w:val="DefaultParagraphFont"/>
    <w:uiPriority w:val="99"/>
    <w:semiHidden/>
    <w:unhideWhenUsed/>
    <w:rsid w:val="00F573D8"/>
    <w:rPr>
      <w:color w:val="605E5C"/>
      <w:shd w:val="clear" w:color="auto" w:fill="E1DFDD"/>
    </w:rPr>
  </w:style>
  <w:style w:type="character" w:customStyle="1" w:styleId="Heading2Char">
    <w:name w:val="Heading 2 Char"/>
    <w:basedOn w:val="DefaultParagraphFont"/>
    <w:link w:val="Heading2"/>
    <w:semiHidden/>
    <w:rsid w:val="001B0550"/>
    <w:rPr>
      <w:rFonts w:asciiTheme="majorHAnsi" w:eastAsiaTheme="majorEastAsia" w:hAnsiTheme="majorHAnsi" w:cstheme="majorBidi"/>
      <w:color w:val="365F91" w:themeColor="accent1" w:themeShade="BF"/>
      <w:sz w:val="26"/>
      <w:szCs w:val="26"/>
      <w:lang w:eastAsia="en-US"/>
    </w:rPr>
  </w:style>
  <w:style w:type="character" w:customStyle="1" w:styleId="viiyi">
    <w:name w:val="viiyi"/>
    <w:basedOn w:val="DefaultParagraphFont"/>
    <w:rsid w:val="00A96D2A"/>
  </w:style>
  <w:style w:type="character" w:customStyle="1" w:styleId="jlqj4b">
    <w:name w:val="jlqj4b"/>
    <w:basedOn w:val="DefaultParagraphFont"/>
    <w:rsid w:val="00A96D2A"/>
  </w:style>
  <w:style w:type="paragraph" w:styleId="ListParagraph">
    <w:name w:val="List Paragraph"/>
    <w:basedOn w:val="Normal"/>
    <w:uiPriority w:val="34"/>
    <w:qFormat/>
    <w:rsid w:val="004C058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4489972">
      <w:bodyDiv w:val="1"/>
      <w:marLeft w:val="0"/>
      <w:marRight w:val="0"/>
      <w:marTop w:val="0"/>
      <w:marBottom w:val="0"/>
      <w:divBdr>
        <w:top w:val="none" w:sz="0" w:space="0" w:color="auto"/>
        <w:left w:val="none" w:sz="0" w:space="0" w:color="auto"/>
        <w:bottom w:val="none" w:sz="0" w:space="0" w:color="auto"/>
        <w:right w:val="none" w:sz="0" w:space="0" w:color="auto"/>
      </w:divBdr>
    </w:div>
    <w:div w:id="215700939">
      <w:bodyDiv w:val="1"/>
      <w:marLeft w:val="0"/>
      <w:marRight w:val="0"/>
      <w:marTop w:val="0"/>
      <w:marBottom w:val="0"/>
      <w:divBdr>
        <w:top w:val="none" w:sz="0" w:space="0" w:color="auto"/>
        <w:left w:val="none" w:sz="0" w:space="0" w:color="auto"/>
        <w:bottom w:val="none" w:sz="0" w:space="0" w:color="auto"/>
        <w:right w:val="none" w:sz="0" w:space="0" w:color="auto"/>
      </w:divBdr>
    </w:div>
    <w:div w:id="281965534">
      <w:bodyDiv w:val="1"/>
      <w:marLeft w:val="0"/>
      <w:marRight w:val="0"/>
      <w:marTop w:val="0"/>
      <w:marBottom w:val="0"/>
      <w:divBdr>
        <w:top w:val="none" w:sz="0" w:space="0" w:color="auto"/>
        <w:left w:val="none" w:sz="0" w:space="0" w:color="auto"/>
        <w:bottom w:val="none" w:sz="0" w:space="0" w:color="auto"/>
        <w:right w:val="none" w:sz="0" w:space="0" w:color="auto"/>
      </w:divBdr>
      <w:divsChild>
        <w:div w:id="1454860669">
          <w:marLeft w:val="0"/>
          <w:marRight w:val="0"/>
          <w:marTop w:val="0"/>
          <w:marBottom w:val="0"/>
          <w:divBdr>
            <w:top w:val="none" w:sz="0" w:space="0" w:color="auto"/>
            <w:left w:val="none" w:sz="0" w:space="0" w:color="auto"/>
            <w:bottom w:val="none" w:sz="0" w:space="0" w:color="auto"/>
            <w:right w:val="none" w:sz="0" w:space="0" w:color="auto"/>
          </w:divBdr>
        </w:div>
        <w:div w:id="242296991">
          <w:marLeft w:val="0"/>
          <w:marRight w:val="0"/>
          <w:marTop w:val="0"/>
          <w:marBottom w:val="0"/>
          <w:divBdr>
            <w:top w:val="none" w:sz="0" w:space="0" w:color="auto"/>
            <w:left w:val="none" w:sz="0" w:space="0" w:color="auto"/>
            <w:bottom w:val="none" w:sz="0" w:space="0" w:color="auto"/>
            <w:right w:val="none" w:sz="0" w:space="0" w:color="auto"/>
          </w:divBdr>
        </w:div>
        <w:div w:id="1667243724">
          <w:marLeft w:val="0"/>
          <w:marRight w:val="0"/>
          <w:marTop w:val="0"/>
          <w:marBottom w:val="0"/>
          <w:divBdr>
            <w:top w:val="none" w:sz="0" w:space="0" w:color="auto"/>
            <w:left w:val="none" w:sz="0" w:space="0" w:color="auto"/>
            <w:bottom w:val="none" w:sz="0" w:space="0" w:color="auto"/>
            <w:right w:val="none" w:sz="0" w:space="0" w:color="auto"/>
          </w:divBdr>
        </w:div>
        <w:div w:id="261453934">
          <w:marLeft w:val="0"/>
          <w:marRight w:val="0"/>
          <w:marTop w:val="0"/>
          <w:marBottom w:val="0"/>
          <w:divBdr>
            <w:top w:val="none" w:sz="0" w:space="0" w:color="auto"/>
            <w:left w:val="none" w:sz="0" w:space="0" w:color="auto"/>
            <w:bottom w:val="none" w:sz="0" w:space="0" w:color="auto"/>
            <w:right w:val="none" w:sz="0" w:space="0" w:color="auto"/>
          </w:divBdr>
        </w:div>
        <w:div w:id="787743271">
          <w:marLeft w:val="0"/>
          <w:marRight w:val="0"/>
          <w:marTop w:val="0"/>
          <w:marBottom w:val="0"/>
          <w:divBdr>
            <w:top w:val="none" w:sz="0" w:space="0" w:color="auto"/>
            <w:left w:val="none" w:sz="0" w:space="0" w:color="auto"/>
            <w:bottom w:val="none" w:sz="0" w:space="0" w:color="auto"/>
            <w:right w:val="none" w:sz="0" w:space="0" w:color="auto"/>
          </w:divBdr>
        </w:div>
        <w:div w:id="222832870">
          <w:marLeft w:val="0"/>
          <w:marRight w:val="0"/>
          <w:marTop w:val="0"/>
          <w:marBottom w:val="0"/>
          <w:divBdr>
            <w:top w:val="none" w:sz="0" w:space="0" w:color="auto"/>
            <w:left w:val="none" w:sz="0" w:space="0" w:color="auto"/>
            <w:bottom w:val="none" w:sz="0" w:space="0" w:color="auto"/>
            <w:right w:val="none" w:sz="0" w:space="0" w:color="auto"/>
          </w:divBdr>
        </w:div>
      </w:divsChild>
    </w:div>
    <w:div w:id="556472428">
      <w:bodyDiv w:val="1"/>
      <w:marLeft w:val="0"/>
      <w:marRight w:val="0"/>
      <w:marTop w:val="0"/>
      <w:marBottom w:val="0"/>
      <w:divBdr>
        <w:top w:val="none" w:sz="0" w:space="0" w:color="auto"/>
        <w:left w:val="none" w:sz="0" w:space="0" w:color="auto"/>
        <w:bottom w:val="none" w:sz="0" w:space="0" w:color="auto"/>
        <w:right w:val="none" w:sz="0" w:space="0" w:color="auto"/>
      </w:divBdr>
    </w:div>
    <w:div w:id="560016381">
      <w:bodyDiv w:val="1"/>
      <w:marLeft w:val="0"/>
      <w:marRight w:val="0"/>
      <w:marTop w:val="0"/>
      <w:marBottom w:val="0"/>
      <w:divBdr>
        <w:top w:val="none" w:sz="0" w:space="0" w:color="auto"/>
        <w:left w:val="none" w:sz="0" w:space="0" w:color="auto"/>
        <w:bottom w:val="none" w:sz="0" w:space="0" w:color="auto"/>
        <w:right w:val="none" w:sz="0" w:space="0" w:color="auto"/>
      </w:divBdr>
    </w:div>
    <w:div w:id="638266286">
      <w:bodyDiv w:val="1"/>
      <w:marLeft w:val="0"/>
      <w:marRight w:val="0"/>
      <w:marTop w:val="0"/>
      <w:marBottom w:val="0"/>
      <w:divBdr>
        <w:top w:val="none" w:sz="0" w:space="0" w:color="auto"/>
        <w:left w:val="none" w:sz="0" w:space="0" w:color="auto"/>
        <w:bottom w:val="none" w:sz="0" w:space="0" w:color="auto"/>
        <w:right w:val="none" w:sz="0" w:space="0" w:color="auto"/>
      </w:divBdr>
    </w:div>
    <w:div w:id="748815278">
      <w:bodyDiv w:val="1"/>
      <w:marLeft w:val="0"/>
      <w:marRight w:val="0"/>
      <w:marTop w:val="0"/>
      <w:marBottom w:val="0"/>
      <w:divBdr>
        <w:top w:val="none" w:sz="0" w:space="0" w:color="auto"/>
        <w:left w:val="none" w:sz="0" w:space="0" w:color="auto"/>
        <w:bottom w:val="none" w:sz="0" w:space="0" w:color="auto"/>
        <w:right w:val="none" w:sz="0" w:space="0" w:color="auto"/>
      </w:divBdr>
      <w:divsChild>
        <w:div w:id="1741557806">
          <w:marLeft w:val="0"/>
          <w:marRight w:val="0"/>
          <w:marTop w:val="0"/>
          <w:marBottom w:val="0"/>
          <w:divBdr>
            <w:top w:val="none" w:sz="0" w:space="0" w:color="auto"/>
            <w:left w:val="none" w:sz="0" w:space="0" w:color="auto"/>
            <w:bottom w:val="none" w:sz="0" w:space="0" w:color="auto"/>
            <w:right w:val="none" w:sz="0" w:space="0" w:color="auto"/>
          </w:divBdr>
        </w:div>
        <w:div w:id="949092897">
          <w:marLeft w:val="0"/>
          <w:marRight w:val="0"/>
          <w:marTop w:val="0"/>
          <w:marBottom w:val="0"/>
          <w:divBdr>
            <w:top w:val="none" w:sz="0" w:space="0" w:color="auto"/>
            <w:left w:val="none" w:sz="0" w:space="0" w:color="auto"/>
            <w:bottom w:val="none" w:sz="0" w:space="0" w:color="auto"/>
            <w:right w:val="none" w:sz="0" w:space="0" w:color="auto"/>
          </w:divBdr>
        </w:div>
        <w:div w:id="645283377">
          <w:marLeft w:val="0"/>
          <w:marRight w:val="0"/>
          <w:marTop w:val="0"/>
          <w:marBottom w:val="0"/>
          <w:divBdr>
            <w:top w:val="none" w:sz="0" w:space="0" w:color="auto"/>
            <w:left w:val="none" w:sz="0" w:space="0" w:color="auto"/>
            <w:bottom w:val="none" w:sz="0" w:space="0" w:color="auto"/>
            <w:right w:val="none" w:sz="0" w:space="0" w:color="auto"/>
          </w:divBdr>
        </w:div>
        <w:div w:id="1909681097">
          <w:marLeft w:val="0"/>
          <w:marRight w:val="0"/>
          <w:marTop w:val="0"/>
          <w:marBottom w:val="0"/>
          <w:divBdr>
            <w:top w:val="none" w:sz="0" w:space="0" w:color="auto"/>
            <w:left w:val="none" w:sz="0" w:space="0" w:color="auto"/>
            <w:bottom w:val="none" w:sz="0" w:space="0" w:color="auto"/>
            <w:right w:val="none" w:sz="0" w:space="0" w:color="auto"/>
          </w:divBdr>
        </w:div>
      </w:divsChild>
    </w:div>
    <w:div w:id="783500329">
      <w:bodyDiv w:val="1"/>
      <w:marLeft w:val="0"/>
      <w:marRight w:val="0"/>
      <w:marTop w:val="0"/>
      <w:marBottom w:val="0"/>
      <w:divBdr>
        <w:top w:val="none" w:sz="0" w:space="0" w:color="auto"/>
        <w:left w:val="none" w:sz="0" w:space="0" w:color="auto"/>
        <w:bottom w:val="none" w:sz="0" w:space="0" w:color="auto"/>
        <w:right w:val="none" w:sz="0" w:space="0" w:color="auto"/>
      </w:divBdr>
      <w:divsChild>
        <w:div w:id="2009362672">
          <w:marLeft w:val="0"/>
          <w:marRight w:val="0"/>
          <w:marTop w:val="0"/>
          <w:marBottom w:val="0"/>
          <w:divBdr>
            <w:top w:val="none" w:sz="0" w:space="0" w:color="auto"/>
            <w:left w:val="none" w:sz="0" w:space="0" w:color="auto"/>
            <w:bottom w:val="none" w:sz="0" w:space="0" w:color="auto"/>
            <w:right w:val="none" w:sz="0" w:space="0" w:color="auto"/>
          </w:divBdr>
        </w:div>
        <w:div w:id="1239902844">
          <w:marLeft w:val="0"/>
          <w:marRight w:val="0"/>
          <w:marTop w:val="0"/>
          <w:marBottom w:val="0"/>
          <w:divBdr>
            <w:top w:val="none" w:sz="0" w:space="0" w:color="auto"/>
            <w:left w:val="none" w:sz="0" w:space="0" w:color="auto"/>
            <w:bottom w:val="none" w:sz="0" w:space="0" w:color="auto"/>
            <w:right w:val="none" w:sz="0" w:space="0" w:color="auto"/>
          </w:divBdr>
        </w:div>
        <w:div w:id="1295791683">
          <w:marLeft w:val="0"/>
          <w:marRight w:val="0"/>
          <w:marTop w:val="0"/>
          <w:marBottom w:val="0"/>
          <w:divBdr>
            <w:top w:val="none" w:sz="0" w:space="0" w:color="auto"/>
            <w:left w:val="none" w:sz="0" w:space="0" w:color="auto"/>
            <w:bottom w:val="none" w:sz="0" w:space="0" w:color="auto"/>
            <w:right w:val="none" w:sz="0" w:space="0" w:color="auto"/>
          </w:divBdr>
        </w:div>
        <w:div w:id="1201438243">
          <w:marLeft w:val="0"/>
          <w:marRight w:val="0"/>
          <w:marTop w:val="0"/>
          <w:marBottom w:val="0"/>
          <w:divBdr>
            <w:top w:val="none" w:sz="0" w:space="0" w:color="auto"/>
            <w:left w:val="none" w:sz="0" w:space="0" w:color="auto"/>
            <w:bottom w:val="none" w:sz="0" w:space="0" w:color="auto"/>
            <w:right w:val="none" w:sz="0" w:space="0" w:color="auto"/>
          </w:divBdr>
        </w:div>
        <w:div w:id="803078853">
          <w:marLeft w:val="0"/>
          <w:marRight w:val="0"/>
          <w:marTop w:val="0"/>
          <w:marBottom w:val="0"/>
          <w:divBdr>
            <w:top w:val="none" w:sz="0" w:space="0" w:color="auto"/>
            <w:left w:val="none" w:sz="0" w:space="0" w:color="auto"/>
            <w:bottom w:val="none" w:sz="0" w:space="0" w:color="auto"/>
            <w:right w:val="none" w:sz="0" w:space="0" w:color="auto"/>
          </w:divBdr>
        </w:div>
        <w:div w:id="1174565961">
          <w:marLeft w:val="0"/>
          <w:marRight w:val="0"/>
          <w:marTop w:val="0"/>
          <w:marBottom w:val="0"/>
          <w:divBdr>
            <w:top w:val="none" w:sz="0" w:space="0" w:color="auto"/>
            <w:left w:val="none" w:sz="0" w:space="0" w:color="auto"/>
            <w:bottom w:val="none" w:sz="0" w:space="0" w:color="auto"/>
            <w:right w:val="none" w:sz="0" w:space="0" w:color="auto"/>
          </w:divBdr>
        </w:div>
        <w:div w:id="937447403">
          <w:marLeft w:val="0"/>
          <w:marRight w:val="0"/>
          <w:marTop w:val="0"/>
          <w:marBottom w:val="0"/>
          <w:divBdr>
            <w:top w:val="none" w:sz="0" w:space="0" w:color="auto"/>
            <w:left w:val="none" w:sz="0" w:space="0" w:color="auto"/>
            <w:bottom w:val="none" w:sz="0" w:space="0" w:color="auto"/>
            <w:right w:val="none" w:sz="0" w:space="0" w:color="auto"/>
          </w:divBdr>
        </w:div>
        <w:div w:id="300310916">
          <w:marLeft w:val="0"/>
          <w:marRight w:val="0"/>
          <w:marTop w:val="0"/>
          <w:marBottom w:val="0"/>
          <w:divBdr>
            <w:top w:val="none" w:sz="0" w:space="0" w:color="auto"/>
            <w:left w:val="none" w:sz="0" w:space="0" w:color="auto"/>
            <w:bottom w:val="none" w:sz="0" w:space="0" w:color="auto"/>
            <w:right w:val="none" w:sz="0" w:space="0" w:color="auto"/>
          </w:divBdr>
        </w:div>
      </w:divsChild>
    </w:div>
    <w:div w:id="1336416708">
      <w:bodyDiv w:val="1"/>
      <w:marLeft w:val="0"/>
      <w:marRight w:val="0"/>
      <w:marTop w:val="0"/>
      <w:marBottom w:val="0"/>
      <w:divBdr>
        <w:top w:val="none" w:sz="0" w:space="0" w:color="auto"/>
        <w:left w:val="none" w:sz="0" w:space="0" w:color="auto"/>
        <w:bottom w:val="none" w:sz="0" w:space="0" w:color="auto"/>
        <w:right w:val="none" w:sz="0" w:space="0" w:color="auto"/>
      </w:divBdr>
      <w:divsChild>
        <w:div w:id="1811439217">
          <w:marLeft w:val="0"/>
          <w:marRight w:val="0"/>
          <w:marTop w:val="0"/>
          <w:marBottom w:val="0"/>
          <w:divBdr>
            <w:top w:val="none" w:sz="0" w:space="0" w:color="auto"/>
            <w:left w:val="none" w:sz="0" w:space="0" w:color="auto"/>
            <w:bottom w:val="none" w:sz="0" w:space="0" w:color="auto"/>
            <w:right w:val="none" w:sz="0" w:space="0" w:color="auto"/>
          </w:divBdr>
        </w:div>
        <w:div w:id="1017581823">
          <w:marLeft w:val="0"/>
          <w:marRight w:val="0"/>
          <w:marTop w:val="0"/>
          <w:marBottom w:val="0"/>
          <w:divBdr>
            <w:top w:val="none" w:sz="0" w:space="0" w:color="auto"/>
            <w:left w:val="none" w:sz="0" w:space="0" w:color="auto"/>
            <w:bottom w:val="none" w:sz="0" w:space="0" w:color="auto"/>
            <w:right w:val="none" w:sz="0" w:space="0" w:color="auto"/>
          </w:divBdr>
        </w:div>
        <w:div w:id="502623234">
          <w:marLeft w:val="0"/>
          <w:marRight w:val="0"/>
          <w:marTop w:val="0"/>
          <w:marBottom w:val="0"/>
          <w:divBdr>
            <w:top w:val="none" w:sz="0" w:space="0" w:color="auto"/>
            <w:left w:val="none" w:sz="0" w:space="0" w:color="auto"/>
            <w:bottom w:val="none" w:sz="0" w:space="0" w:color="auto"/>
            <w:right w:val="none" w:sz="0" w:space="0" w:color="auto"/>
          </w:divBdr>
        </w:div>
        <w:div w:id="874121297">
          <w:marLeft w:val="0"/>
          <w:marRight w:val="0"/>
          <w:marTop w:val="0"/>
          <w:marBottom w:val="0"/>
          <w:divBdr>
            <w:top w:val="none" w:sz="0" w:space="0" w:color="auto"/>
            <w:left w:val="none" w:sz="0" w:space="0" w:color="auto"/>
            <w:bottom w:val="none" w:sz="0" w:space="0" w:color="auto"/>
            <w:right w:val="none" w:sz="0" w:space="0" w:color="auto"/>
          </w:divBdr>
        </w:div>
        <w:div w:id="45223674">
          <w:marLeft w:val="0"/>
          <w:marRight w:val="0"/>
          <w:marTop w:val="0"/>
          <w:marBottom w:val="0"/>
          <w:divBdr>
            <w:top w:val="none" w:sz="0" w:space="0" w:color="auto"/>
            <w:left w:val="none" w:sz="0" w:space="0" w:color="auto"/>
            <w:bottom w:val="none" w:sz="0" w:space="0" w:color="auto"/>
            <w:right w:val="none" w:sz="0" w:space="0" w:color="auto"/>
          </w:divBdr>
        </w:div>
        <w:div w:id="191649842">
          <w:marLeft w:val="0"/>
          <w:marRight w:val="0"/>
          <w:marTop w:val="0"/>
          <w:marBottom w:val="0"/>
          <w:divBdr>
            <w:top w:val="none" w:sz="0" w:space="0" w:color="auto"/>
            <w:left w:val="none" w:sz="0" w:space="0" w:color="auto"/>
            <w:bottom w:val="none" w:sz="0" w:space="0" w:color="auto"/>
            <w:right w:val="none" w:sz="0" w:space="0" w:color="auto"/>
          </w:divBdr>
        </w:div>
        <w:div w:id="501700299">
          <w:marLeft w:val="0"/>
          <w:marRight w:val="0"/>
          <w:marTop w:val="0"/>
          <w:marBottom w:val="0"/>
          <w:divBdr>
            <w:top w:val="none" w:sz="0" w:space="0" w:color="auto"/>
            <w:left w:val="none" w:sz="0" w:space="0" w:color="auto"/>
            <w:bottom w:val="none" w:sz="0" w:space="0" w:color="auto"/>
            <w:right w:val="none" w:sz="0" w:space="0" w:color="auto"/>
          </w:divBdr>
        </w:div>
        <w:div w:id="1407220448">
          <w:marLeft w:val="0"/>
          <w:marRight w:val="0"/>
          <w:marTop w:val="0"/>
          <w:marBottom w:val="0"/>
          <w:divBdr>
            <w:top w:val="none" w:sz="0" w:space="0" w:color="auto"/>
            <w:left w:val="none" w:sz="0" w:space="0" w:color="auto"/>
            <w:bottom w:val="none" w:sz="0" w:space="0" w:color="auto"/>
            <w:right w:val="none" w:sz="0" w:space="0" w:color="auto"/>
          </w:divBdr>
        </w:div>
        <w:div w:id="2118451634">
          <w:marLeft w:val="0"/>
          <w:marRight w:val="0"/>
          <w:marTop w:val="0"/>
          <w:marBottom w:val="0"/>
          <w:divBdr>
            <w:top w:val="none" w:sz="0" w:space="0" w:color="auto"/>
            <w:left w:val="none" w:sz="0" w:space="0" w:color="auto"/>
            <w:bottom w:val="none" w:sz="0" w:space="0" w:color="auto"/>
            <w:right w:val="none" w:sz="0" w:space="0" w:color="auto"/>
          </w:divBdr>
        </w:div>
        <w:div w:id="353842889">
          <w:marLeft w:val="0"/>
          <w:marRight w:val="0"/>
          <w:marTop w:val="0"/>
          <w:marBottom w:val="0"/>
          <w:divBdr>
            <w:top w:val="none" w:sz="0" w:space="0" w:color="auto"/>
            <w:left w:val="none" w:sz="0" w:space="0" w:color="auto"/>
            <w:bottom w:val="none" w:sz="0" w:space="0" w:color="auto"/>
            <w:right w:val="none" w:sz="0" w:space="0" w:color="auto"/>
          </w:divBdr>
        </w:div>
        <w:div w:id="1134641665">
          <w:marLeft w:val="0"/>
          <w:marRight w:val="0"/>
          <w:marTop w:val="0"/>
          <w:marBottom w:val="0"/>
          <w:divBdr>
            <w:top w:val="none" w:sz="0" w:space="0" w:color="auto"/>
            <w:left w:val="none" w:sz="0" w:space="0" w:color="auto"/>
            <w:bottom w:val="none" w:sz="0" w:space="0" w:color="auto"/>
            <w:right w:val="none" w:sz="0" w:space="0" w:color="auto"/>
          </w:divBdr>
        </w:div>
        <w:div w:id="1148521665">
          <w:marLeft w:val="0"/>
          <w:marRight w:val="0"/>
          <w:marTop w:val="0"/>
          <w:marBottom w:val="0"/>
          <w:divBdr>
            <w:top w:val="none" w:sz="0" w:space="0" w:color="auto"/>
            <w:left w:val="none" w:sz="0" w:space="0" w:color="auto"/>
            <w:bottom w:val="none" w:sz="0" w:space="0" w:color="auto"/>
            <w:right w:val="none" w:sz="0" w:space="0" w:color="auto"/>
          </w:divBdr>
        </w:div>
        <w:div w:id="1609116757">
          <w:marLeft w:val="0"/>
          <w:marRight w:val="0"/>
          <w:marTop w:val="0"/>
          <w:marBottom w:val="0"/>
          <w:divBdr>
            <w:top w:val="none" w:sz="0" w:space="0" w:color="auto"/>
            <w:left w:val="none" w:sz="0" w:space="0" w:color="auto"/>
            <w:bottom w:val="none" w:sz="0" w:space="0" w:color="auto"/>
            <w:right w:val="none" w:sz="0" w:space="0" w:color="auto"/>
          </w:divBdr>
        </w:div>
      </w:divsChild>
    </w:div>
    <w:div w:id="1450246176">
      <w:bodyDiv w:val="1"/>
      <w:marLeft w:val="0"/>
      <w:marRight w:val="0"/>
      <w:marTop w:val="0"/>
      <w:marBottom w:val="0"/>
      <w:divBdr>
        <w:top w:val="none" w:sz="0" w:space="0" w:color="auto"/>
        <w:left w:val="none" w:sz="0" w:space="0" w:color="auto"/>
        <w:bottom w:val="none" w:sz="0" w:space="0" w:color="auto"/>
        <w:right w:val="none" w:sz="0" w:space="0" w:color="auto"/>
      </w:divBdr>
      <w:divsChild>
        <w:div w:id="1007319890">
          <w:marLeft w:val="0"/>
          <w:marRight w:val="0"/>
          <w:marTop w:val="0"/>
          <w:marBottom w:val="0"/>
          <w:divBdr>
            <w:top w:val="none" w:sz="0" w:space="0" w:color="auto"/>
            <w:left w:val="none" w:sz="0" w:space="0" w:color="auto"/>
            <w:bottom w:val="none" w:sz="0" w:space="0" w:color="auto"/>
            <w:right w:val="none" w:sz="0" w:space="0" w:color="auto"/>
          </w:divBdr>
        </w:div>
        <w:div w:id="830876542">
          <w:marLeft w:val="0"/>
          <w:marRight w:val="0"/>
          <w:marTop w:val="0"/>
          <w:marBottom w:val="0"/>
          <w:divBdr>
            <w:top w:val="none" w:sz="0" w:space="0" w:color="auto"/>
            <w:left w:val="none" w:sz="0" w:space="0" w:color="auto"/>
            <w:bottom w:val="none" w:sz="0" w:space="0" w:color="auto"/>
            <w:right w:val="none" w:sz="0" w:space="0" w:color="auto"/>
          </w:divBdr>
        </w:div>
        <w:div w:id="576786102">
          <w:marLeft w:val="0"/>
          <w:marRight w:val="0"/>
          <w:marTop w:val="0"/>
          <w:marBottom w:val="0"/>
          <w:divBdr>
            <w:top w:val="none" w:sz="0" w:space="0" w:color="auto"/>
            <w:left w:val="none" w:sz="0" w:space="0" w:color="auto"/>
            <w:bottom w:val="none" w:sz="0" w:space="0" w:color="auto"/>
            <w:right w:val="none" w:sz="0" w:space="0" w:color="auto"/>
          </w:divBdr>
        </w:div>
        <w:div w:id="1535195479">
          <w:marLeft w:val="0"/>
          <w:marRight w:val="0"/>
          <w:marTop w:val="0"/>
          <w:marBottom w:val="0"/>
          <w:divBdr>
            <w:top w:val="none" w:sz="0" w:space="0" w:color="auto"/>
            <w:left w:val="none" w:sz="0" w:space="0" w:color="auto"/>
            <w:bottom w:val="none" w:sz="0" w:space="0" w:color="auto"/>
            <w:right w:val="none" w:sz="0" w:space="0" w:color="auto"/>
          </w:divBdr>
        </w:div>
        <w:div w:id="1412779890">
          <w:marLeft w:val="0"/>
          <w:marRight w:val="0"/>
          <w:marTop w:val="0"/>
          <w:marBottom w:val="0"/>
          <w:divBdr>
            <w:top w:val="none" w:sz="0" w:space="0" w:color="auto"/>
            <w:left w:val="none" w:sz="0" w:space="0" w:color="auto"/>
            <w:bottom w:val="none" w:sz="0" w:space="0" w:color="auto"/>
            <w:right w:val="none" w:sz="0" w:space="0" w:color="auto"/>
          </w:divBdr>
        </w:div>
      </w:divsChild>
    </w:div>
    <w:div w:id="1560828070">
      <w:bodyDiv w:val="1"/>
      <w:marLeft w:val="0"/>
      <w:marRight w:val="0"/>
      <w:marTop w:val="0"/>
      <w:marBottom w:val="0"/>
      <w:divBdr>
        <w:top w:val="none" w:sz="0" w:space="0" w:color="auto"/>
        <w:left w:val="none" w:sz="0" w:space="0" w:color="auto"/>
        <w:bottom w:val="none" w:sz="0" w:space="0" w:color="auto"/>
        <w:right w:val="none" w:sz="0" w:space="0" w:color="auto"/>
      </w:divBdr>
    </w:div>
    <w:div w:id="1639727641">
      <w:bodyDiv w:val="1"/>
      <w:marLeft w:val="0"/>
      <w:marRight w:val="0"/>
      <w:marTop w:val="0"/>
      <w:marBottom w:val="0"/>
      <w:divBdr>
        <w:top w:val="none" w:sz="0" w:space="0" w:color="auto"/>
        <w:left w:val="none" w:sz="0" w:space="0" w:color="auto"/>
        <w:bottom w:val="none" w:sz="0" w:space="0" w:color="auto"/>
        <w:right w:val="none" w:sz="0" w:space="0" w:color="auto"/>
      </w:divBdr>
    </w:div>
    <w:div w:id="1806502863">
      <w:bodyDiv w:val="1"/>
      <w:marLeft w:val="0"/>
      <w:marRight w:val="0"/>
      <w:marTop w:val="0"/>
      <w:marBottom w:val="0"/>
      <w:divBdr>
        <w:top w:val="none" w:sz="0" w:space="0" w:color="auto"/>
        <w:left w:val="none" w:sz="0" w:space="0" w:color="auto"/>
        <w:bottom w:val="none" w:sz="0" w:space="0" w:color="auto"/>
        <w:right w:val="none" w:sz="0" w:space="0" w:color="auto"/>
      </w:divBdr>
    </w:div>
    <w:div w:id="1902248598">
      <w:marLeft w:val="0"/>
      <w:marRight w:val="0"/>
      <w:marTop w:val="0"/>
      <w:marBottom w:val="0"/>
      <w:divBdr>
        <w:top w:val="none" w:sz="0" w:space="0" w:color="auto"/>
        <w:left w:val="none" w:sz="0" w:space="0" w:color="auto"/>
        <w:bottom w:val="none" w:sz="0" w:space="0" w:color="auto"/>
        <w:right w:val="none" w:sz="0" w:space="0" w:color="auto"/>
      </w:divBdr>
    </w:div>
    <w:div w:id="1902248605">
      <w:marLeft w:val="0"/>
      <w:marRight w:val="0"/>
      <w:marTop w:val="0"/>
      <w:marBottom w:val="0"/>
      <w:divBdr>
        <w:top w:val="none" w:sz="0" w:space="0" w:color="auto"/>
        <w:left w:val="none" w:sz="0" w:space="0" w:color="auto"/>
        <w:bottom w:val="none" w:sz="0" w:space="0" w:color="auto"/>
        <w:right w:val="none" w:sz="0" w:space="0" w:color="auto"/>
      </w:divBdr>
      <w:divsChild>
        <w:div w:id="1902248599">
          <w:marLeft w:val="0"/>
          <w:marRight w:val="0"/>
          <w:marTop w:val="0"/>
          <w:marBottom w:val="0"/>
          <w:divBdr>
            <w:top w:val="none" w:sz="0" w:space="0" w:color="auto"/>
            <w:left w:val="none" w:sz="0" w:space="0" w:color="auto"/>
            <w:bottom w:val="none" w:sz="0" w:space="0" w:color="auto"/>
            <w:right w:val="none" w:sz="0" w:space="0" w:color="auto"/>
          </w:divBdr>
          <w:divsChild>
            <w:div w:id="1902248600">
              <w:marLeft w:val="0"/>
              <w:marRight w:val="0"/>
              <w:marTop w:val="0"/>
              <w:marBottom w:val="0"/>
              <w:divBdr>
                <w:top w:val="none" w:sz="0" w:space="0" w:color="auto"/>
                <w:left w:val="none" w:sz="0" w:space="0" w:color="auto"/>
                <w:bottom w:val="none" w:sz="0" w:space="0" w:color="auto"/>
                <w:right w:val="none" w:sz="0" w:space="0" w:color="auto"/>
              </w:divBdr>
              <w:divsChild>
                <w:div w:id="1902248610">
                  <w:marLeft w:val="0"/>
                  <w:marRight w:val="0"/>
                  <w:marTop w:val="0"/>
                  <w:marBottom w:val="0"/>
                  <w:divBdr>
                    <w:top w:val="none" w:sz="0" w:space="0" w:color="auto"/>
                    <w:left w:val="none" w:sz="0" w:space="0" w:color="auto"/>
                    <w:bottom w:val="none" w:sz="0" w:space="0" w:color="auto"/>
                    <w:right w:val="none" w:sz="0" w:space="0" w:color="auto"/>
                  </w:divBdr>
                  <w:divsChild>
                    <w:div w:id="1902248602">
                      <w:marLeft w:val="0"/>
                      <w:marRight w:val="0"/>
                      <w:marTop w:val="0"/>
                      <w:marBottom w:val="0"/>
                      <w:divBdr>
                        <w:top w:val="none" w:sz="0" w:space="0" w:color="auto"/>
                        <w:left w:val="none" w:sz="0" w:space="0" w:color="auto"/>
                        <w:bottom w:val="none" w:sz="0" w:space="0" w:color="auto"/>
                        <w:right w:val="none" w:sz="0" w:space="0" w:color="auto"/>
                      </w:divBdr>
                      <w:divsChild>
                        <w:div w:id="1902248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02248606">
      <w:marLeft w:val="0"/>
      <w:marRight w:val="0"/>
      <w:marTop w:val="0"/>
      <w:marBottom w:val="0"/>
      <w:divBdr>
        <w:top w:val="none" w:sz="0" w:space="0" w:color="auto"/>
        <w:left w:val="none" w:sz="0" w:space="0" w:color="auto"/>
        <w:bottom w:val="none" w:sz="0" w:space="0" w:color="auto"/>
        <w:right w:val="none" w:sz="0" w:space="0" w:color="auto"/>
      </w:divBdr>
      <w:divsChild>
        <w:div w:id="1902248596">
          <w:marLeft w:val="0"/>
          <w:marRight w:val="0"/>
          <w:marTop w:val="0"/>
          <w:marBottom w:val="0"/>
          <w:divBdr>
            <w:top w:val="none" w:sz="0" w:space="0" w:color="auto"/>
            <w:left w:val="none" w:sz="0" w:space="0" w:color="auto"/>
            <w:bottom w:val="none" w:sz="0" w:space="0" w:color="auto"/>
            <w:right w:val="none" w:sz="0" w:space="0" w:color="auto"/>
          </w:divBdr>
          <w:divsChild>
            <w:div w:id="1902248608">
              <w:marLeft w:val="0"/>
              <w:marRight w:val="0"/>
              <w:marTop w:val="0"/>
              <w:marBottom w:val="0"/>
              <w:divBdr>
                <w:top w:val="none" w:sz="0" w:space="0" w:color="auto"/>
                <w:left w:val="none" w:sz="0" w:space="0" w:color="auto"/>
                <w:bottom w:val="none" w:sz="0" w:space="0" w:color="auto"/>
                <w:right w:val="none" w:sz="0" w:space="0" w:color="auto"/>
              </w:divBdr>
              <w:divsChild>
                <w:div w:id="1902248612">
                  <w:marLeft w:val="0"/>
                  <w:marRight w:val="0"/>
                  <w:marTop w:val="0"/>
                  <w:marBottom w:val="0"/>
                  <w:divBdr>
                    <w:top w:val="none" w:sz="0" w:space="0" w:color="auto"/>
                    <w:left w:val="none" w:sz="0" w:space="0" w:color="auto"/>
                    <w:bottom w:val="none" w:sz="0" w:space="0" w:color="auto"/>
                    <w:right w:val="none" w:sz="0" w:space="0" w:color="auto"/>
                  </w:divBdr>
                  <w:divsChild>
                    <w:div w:id="1902248603">
                      <w:marLeft w:val="0"/>
                      <w:marRight w:val="0"/>
                      <w:marTop w:val="0"/>
                      <w:marBottom w:val="0"/>
                      <w:divBdr>
                        <w:top w:val="none" w:sz="0" w:space="0" w:color="auto"/>
                        <w:left w:val="none" w:sz="0" w:space="0" w:color="auto"/>
                        <w:bottom w:val="none" w:sz="0" w:space="0" w:color="auto"/>
                        <w:right w:val="none" w:sz="0" w:space="0" w:color="auto"/>
                      </w:divBdr>
                      <w:divsChild>
                        <w:div w:id="1902248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02248611">
      <w:marLeft w:val="0"/>
      <w:marRight w:val="0"/>
      <w:marTop w:val="0"/>
      <w:marBottom w:val="0"/>
      <w:divBdr>
        <w:top w:val="none" w:sz="0" w:space="0" w:color="auto"/>
        <w:left w:val="none" w:sz="0" w:space="0" w:color="auto"/>
        <w:bottom w:val="none" w:sz="0" w:space="0" w:color="auto"/>
        <w:right w:val="none" w:sz="0" w:space="0" w:color="auto"/>
      </w:divBdr>
      <w:divsChild>
        <w:div w:id="1902248609">
          <w:marLeft w:val="0"/>
          <w:marRight w:val="0"/>
          <w:marTop w:val="0"/>
          <w:marBottom w:val="0"/>
          <w:divBdr>
            <w:top w:val="none" w:sz="0" w:space="0" w:color="auto"/>
            <w:left w:val="none" w:sz="0" w:space="0" w:color="auto"/>
            <w:bottom w:val="none" w:sz="0" w:space="0" w:color="auto"/>
            <w:right w:val="none" w:sz="0" w:space="0" w:color="auto"/>
          </w:divBdr>
          <w:divsChild>
            <w:div w:id="1902248604">
              <w:marLeft w:val="0"/>
              <w:marRight w:val="0"/>
              <w:marTop w:val="0"/>
              <w:marBottom w:val="0"/>
              <w:divBdr>
                <w:top w:val="none" w:sz="0" w:space="0" w:color="auto"/>
                <w:left w:val="none" w:sz="0" w:space="0" w:color="auto"/>
                <w:bottom w:val="none" w:sz="0" w:space="0" w:color="auto"/>
                <w:right w:val="single" w:sz="48" w:space="0" w:color="353535"/>
              </w:divBdr>
              <w:divsChild>
                <w:div w:id="1902248607">
                  <w:marLeft w:val="30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912883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ohan.sant@voxia.ch"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actionnaire@tradition.ch" TargetMode="External"/><Relationship Id="rId4" Type="http://schemas.openxmlformats.org/officeDocument/2006/relationships/settings" Target="settings.xml"/><Relationship Id="rId9" Type="http://schemas.openxmlformats.org/officeDocument/2006/relationships/hyperlink" Target="http://www.tradition.com"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B9FFA5-FEA6-4CE0-8B49-7D2CD16FD1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1147</Words>
  <Characters>6295</Characters>
  <Application>Microsoft Office Word</Application>
  <DocSecurity>0</DocSecurity>
  <Lines>52</Lines>
  <Paragraphs>14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Bourse Direct</Company>
  <LinksUpToDate>false</LinksUpToDate>
  <CharactersWithSpaces>7428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Virginie de Vichet</dc:creator>
  <cp:lastModifiedBy>Francois Brisebois</cp:lastModifiedBy>
  <cp:revision>3</cp:revision>
  <cp:lastPrinted>2023-03-21T11:29:00Z</cp:lastPrinted>
  <dcterms:created xsi:type="dcterms:W3CDTF">2023-03-23T09:40:00Z</dcterms:created>
  <dcterms:modified xsi:type="dcterms:W3CDTF">2023-03-23T17:19:00Z</dcterms:modified>
</cp:coreProperties>
</file>