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9DA" w:rsidRPr="00713CD9" w:rsidRDefault="008949DA" w:rsidP="00336FEC">
      <w:pPr>
        <w:autoSpaceDE w:val="0"/>
        <w:autoSpaceDN w:val="0"/>
        <w:adjustRightInd w:val="0"/>
        <w:spacing w:line="228" w:lineRule="exact"/>
        <w:jc w:val="center"/>
        <w:rPr>
          <w:rFonts w:ascii="Arial" w:hAnsi="Arial" w:cs="Arial"/>
          <w:b/>
          <w:sz w:val="20"/>
          <w:szCs w:val="20"/>
          <w:lang w:eastAsia="lt-LT"/>
        </w:rPr>
      </w:pPr>
      <w:r w:rsidRPr="00713CD9">
        <w:rPr>
          <w:rFonts w:ascii="Arial" w:hAnsi="Arial" w:cs="Arial"/>
          <w:b/>
          <w:sz w:val="20"/>
          <w:szCs w:val="20"/>
          <w:lang w:eastAsia="lt-LT"/>
        </w:rPr>
        <w:t>Public limited liability company “Novaturas”</w:t>
      </w:r>
    </w:p>
    <w:p w:rsidR="008949DA" w:rsidRPr="00713CD9" w:rsidRDefault="008949DA" w:rsidP="00336FEC">
      <w:pPr>
        <w:autoSpaceDE w:val="0"/>
        <w:autoSpaceDN w:val="0"/>
        <w:adjustRightInd w:val="0"/>
        <w:spacing w:line="228" w:lineRule="exact"/>
        <w:jc w:val="center"/>
        <w:rPr>
          <w:rFonts w:ascii="Arial" w:hAnsi="Arial" w:cs="Arial"/>
          <w:sz w:val="20"/>
          <w:szCs w:val="20"/>
          <w:lang w:eastAsia="lt-LT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>Code 135567698</w:t>
      </w:r>
    </w:p>
    <w:p w:rsidR="008949DA" w:rsidRPr="00713CD9" w:rsidRDefault="008949DA" w:rsidP="0092457E">
      <w:pPr>
        <w:autoSpaceDE w:val="0"/>
        <w:autoSpaceDN w:val="0"/>
        <w:adjustRightInd w:val="0"/>
        <w:spacing w:line="228" w:lineRule="exact"/>
        <w:jc w:val="center"/>
        <w:rPr>
          <w:rFonts w:ascii="Arial" w:hAnsi="Arial" w:cs="Arial"/>
          <w:sz w:val="20"/>
          <w:szCs w:val="20"/>
          <w:lang w:eastAsia="lt-LT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>Regist</w:t>
      </w:r>
      <w:r w:rsidR="000E525C" w:rsidRPr="00713CD9">
        <w:rPr>
          <w:rFonts w:ascii="Arial" w:hAnsi="Arial" w:cs="Arial"/>
          <w:sz w:val="20"/>
          <w:szCs w:val="20"/>
          <w:lang w:eastAsia="lt-LT"/>
        </w:rPr>
        <w:t>e</w:t>
      </w:r>
      <w:r w:rsidRPr="00713CD9">
        <w:rPr>
          <w:rFonts w:ascii="Arial" w:hAnsi="Arial" w:cs="Arial"/>
          <w:sz w:val="20"/>
          <w:szCs w:val="20"/>
          <w:lang w:eastAsia="lt-LT"/>
        </w:rPr>
        <w:t>red office at A. Mickevičiaus st. 27, Kaunas, the Republic of Lithuania</w:t>
      </w:r>
    </w:p>
    <w:p w:rsidR="008949DA" w:rsidRPr="00713CD9" w:rsidRDefault="008949DA" w:rsidP="008949DA">
      <w:pPr>
        <w:autoSpaceDE w:val="0"/>
        <w:autoSpaceDN w:val="0"/>
        <w:adjustRightInd w:val="0"/>
        <w:spacing w:line="228" w:lineRule="exact"/>
        <w:rPr>
          <w:rFonts w:ascii="Arial" w:hAnsi="Arial" w:cs="Arial"/>
          <w:b/>
          <w:sz w:val="20"/>
          <w:szCs w:val="20"/>
          <w:lang w:eastAsia="lt-LT"/>
        </w:rPr>
      </w:pPr>
    </w:p>
    <w:p w:rsidR="004E6310" w:rsidRPr="00713CD9" w:rsidRDefault="000B6706" w:rsidP="00336FEC">
      <w:pPr>
        <w:autoSpaceDE w:val="0"/>
        <w:autoSpaceDN w:val="0"/>
        <w:adjustRightInd w:val="0"/>
        <w:spacing w:line="228" w:lineRule="exact"/>
        <w:jc w:val="center"/>
        <w:rPr>
          <w:rFonts w:ascii="Arial" w:hAnsi="Arial" w:cs="Arial"/>
          <w:b/>
          <w:sz w:val="20"/>
          <w:szCs w:val="20"/>
          <w:lang w:eastAsia="lt-LT"/>
        </w:rPr>
      </w:pPr>
      <w:r w:rsidRPr="00713CD9">
        <w:rPr>
          <w:rFonts w:ascii="Arial" w:hAnsi="Arial" w:cs="Arial"/>
          <w:b/>
          <w:sz w:val="20"/>
          <w:szCs w:val="20"/>
          <w:lang w:eastAsia="lt-LT"/>
        </w:rPr>
        <w:t>V</w:t>
      </w:r>
      <w:r w:rsidR="004E6310" w:rsidRPr="00713CD9">
        <w:rPr>
          <w:rFonts w:ascii="Arial" w:hAnsi="Arial" w:cs="Arial"/>
          <w:b/>
          <w:sz w:val="20"/>
          <w:szCs w:val="20"/>
          <w:lang w:eastAsia="lt-LT"/>
        </w:rPr>
        <w:t>oting ballot paper of the General</w:t>
      </w:r>
      <w:r w:rsidRPr="00713CD9">
        <w:rPr>
          <w:rFonts w:ascii="Arial" w:hAnsi="Arial" w:cs="Arial"/>
          <w:b/>
          <w:sz w:val="20"/>
          <w:szCs w:val="20"/>
          <w:lang w:eastAsia="lt-LT"/>
        </w:rPr>
        <w:t xml:space="preserve"> </w:t>
      </w:r>
      <w:r w:rsidR="004E6310" w:rsidRPr="00713CD9">
        <w:rPr>
          <w:rFonts w:ascii="Arial" w:hAnsi="Arial" w:cs="Arial"/>
          <w:b/>
          <w:sz w:val="20"/>
          <w:szCs w:val="20"/>
          <w:lang w:eastAsia="lt-LT"/>
        </w:rPr>
        <w:t>Meeting of Shareholders,</w:t>
      </w:r>
    </w:p>
    <w:p w:rsidR="000B6706" w:rsidRPr="00713CD9" w:rsidRDefault="004E6310" w:rsidP="00336FEC">
      <w:pPr>
        <w:autoSpaceDE w:val="0"/>
        <w:autoSpaceDN w:val="0"/>
        <w:adjustRightInd w:val="0"/>
        <w:spacing w:line="228" w:lineRule="exact"/>
        <w:jc w:val="center"/>
        <w:rPr>
          <w:rFonts w:ascii="Arial" w:hAnsi="Arial" w:cs="Arial"/>
          <w:b/>
          <w:sz w:val="20"/>
          <w:szCs w:val="20"/>
          <w:lang w:eastAsia="lt-LT"/>
        </w:rPr>
      </w:pPr>
      <w:r w:rsidRPr="00713CD9">
        <w:rPr>
          <w:rFonts w:ascii="Arial" w:hAnsi="Arial" w:cs="Arial"/>
          <w:b/>
          <w:sz w:val="20"/>
          <w:szCs w:val="20"/>
          <w:lang w:eastAsia="lt-LT"/>
        </w:rPr>
        <w:t>convened</w:t>
      </w:r>
      <w:r w:rsidR="002B34D4" w:rsidRPr="00713CD9">
        <w:rPr>
          <w:rFonts w:ascii="Arial" w:hAnsi="Arial" w:cs="Arial"/>
          <w:b/>
          <w:sz w:val="20"/>
          <w:szCs w:val="20"/>
          <w:lang w:eastAsia="lt-LT"/>
        </w:rPr>
        <w:t xml:space="preserve"> on </w:t>
      </w:r>
      <w:r w:rsidR="0079651A">
        <w:rPr>
          <w:rFonts w:ascii="Arial" w:hAnsi="Arial" w:cs="Arial"/>
          <w:b/>
          <w:sz w:val="20"/>
          <w:szCs w:val="20"/>
          <w:lang w:eastAsia="lt-LT"/>
        </w:rPr>
        <w:t>30</w:t>
      </w:r>
      <w:r w:rsidRPr="00713CD9">
        <w:rPr>
          <w:rFonts w:ascii="Arial" w:hAnsi="Arial" w:cs="Arial"/>
          <w:b/>
          <w:sz w:val="20"/>
          <w:szCs w:val="20"/>
          <w:lang w:eastAsia="lt-LT"/>
        </w:rPr>
        <w:t xml:space="preserve"> </w:t>
      </w:r>
      <w:proofErr w:type="gramStart"/>
      <w:r w:rsidR="0079651A">
        <w:rPr>
          <w:rFonts w:ascii="Arial" w:hAnsi="Arial" w:cs="Arial"/>
          <w:b/>
          <w:sz w:val="20"/>
          <w:szCs w:val="20"/>
          <w:lang w:eastAsia="lt-LT"/>
        </w:rPr>
        <w:t>June</w:t>
      </w:r>
      <w:r w:rsidR="005255F6">
        <w:rPr>
          <w:rFonts w:ascii="Arial" w:hAnsi="Arial" w:cs="Arial"/>
          <w:b/>
          <w:sz w:val="20"/>
          <w:szCs w:val="20"/>
          <w:lang w:eastAsia="lt-LT"/>
        </w:rPr>
        <w:t>,</w:t>
      </w:r>
      <w:proofErr w:type="gramEnd"/>
      <w:r w:rsidR="00336FEC" w:rsidRPr="00713CD9">
        <w:rPr>
          <w:rFonts w:ascii="Arial" w:hAnsi="Arial" w:cs="Arial"/>
          <w:b/>
          <w:sz w:val="20"/>
          <w:szCs w:val="20"/>
          <w:lang w:eastAsia="lt-LT"/>
        </w:rPr>
        <w:t xml:space="preserve"> 20</w:t>
      </w:r>
      <w:r w:rsidR="0079651A">
        <w:rPr>
          <w:rFonts w:ascii="Arial" w:hAnsi="Arial" w:cs="Arial"/>
          <w:b/>
          <w:sz w:val="20"/>
          <w:szCs w:val="20"/>
          <w:lang w:eastAsia="lt-LT"/>
        </w:rPr>
        <w:t>20</w:t>
      </w:r>
    </w:p>
    <w:p w:rsidR="000B6706" w:rsidRPr="00713CD9" w:rsidRDefault="000B6706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</w:p>
    <w:p w:rsidR="000B6706" w:rsidRPr="00713CD9" w:rsidRDefault="004E6310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>Name, surname (name) of t</w:t>
      </w:r>
      <w:r w:rsidR="000B6706" w:rsidRPr="00713CD9">
        <w:rPr>
          <w:rFonts w:ascii="Arial" w:hAnsi="Arial" w:cs="Arial"/>
          <w:sz w:val="20"/>
          <w:szCs w:val="20"/>
          <w:lang w:eastAsia="lt-LT"/>
        </w:rPr>
        <w:t>he shareholder</w:t>
      </w:r>
      <w:r w:rsidRPr="00713CD9">
        <w:rPr>
          <w:rFonts w:ascii="Arial" w:hAnsi="Arial" w:cs="Arial"/>
          <w:sz w:val="20"/>
          <w:szCs w:val="20"/>
          <w:lang w:eastAsia="lt-LT"/>
        </w:rPr>
        <w:t xml:space="preserve"> </w:t>
      </w:r>
    </w:p>
    <w:p w:rsidR="008949DA" w:rsidRPr="00713CD9" w:rsidRDefault="008949DA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</w:p>
    <w:p w:rsidR="008949DA" w:rsidRPr="00713CD9" w:rsidRDefault="008949DA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>…………………………………………………………………………………………………………………………..</w:t>
      </w:r>
    </w:p>
    <w:p w:rsidR="004E6310" w:rsidRPr="00713CD9" w:rsidRDefault="004E6310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</w:p>
    <w:p w:rsidR="000B6706" w:rsidRPr="00713CD9" w:rsidRDefault="002B34D4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>Personal code (code) of t</w:t>
      </w:r>
      <w:r w:rsidR="000B6706" w:rsidRPr="00713CD9">
        <w:rPr>
          <w:rFonts w:ascii="Arial" w:hAnsi="Arial" w:cs="Arial"/>
          <w:sz w:val="20"/>
          <w:szCs w:val="20"/>
          <w:lang w:eastAsia="lt-LT"/>
        </w:rPr>
        <w:t>he shareholder</w:t>
      </w:r>
      <w:r w:rsidRPr="00713CD9">
        <w:rPr>
          <w:rFonts w:ascii="Arial" w:hAnsi="Arial" w:cs="Arial"/>
          <w:sz w:val="20"/>
          <w:szCs w:val="20"/>
          <w:lang w:eastAsia="lt-LT"/>
        </w:rPr>
        <w:t xml:space="preserve"> </w:t>
      </w:r>
    </w:p>
    <w:p w:rsidR="008949DA" w:rsidRPr="00713CD9" w:rsidRDefault="008949DA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</w:p>
    <w:p w:rsidR="008949DA" w:rsidRPr="00713CD9" w:rsidRDefault="008949DA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>…………………………………………………………………………………………………………………………..</w:t>
      </w:r>
    </w:p>
    <w:p w:rsidR="004E6310" w:rsidRPr="00713CD9" w:rsidRDefault="004E6310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</w:p>
    <w:p w:rsidR="000B6706" w:rsidRPr="00713CD9" w:rsidRDefault="000B6706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 xml:space="preserve">The number of </w:t>
      </w:r>
      <w:r w:rsidR="004E6310" w:rsidRPr="00713CD9">
        <w:rPr>
          <w:rFonts w:ascii="Arial" w:hAnsi="Arial" w:cs="Arial"/>
          <w:sz w:val="20"/>
          <w:szCs w:val="20"/>
          <w:lang w:eastAsia="lt-LT"/>
        </w:rPr>
        <w:t xml:space="preserve">owned shares </w:t>
      </w:r>
    </w:p>
    <w:p w:rsidR="008949DA" w:rsidRPr="00713CD9" w:rsidRDefault="008949DA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</w:p>
    <w:p w:rsidR="008949DA" w:rsidRPr="00713CD9" w:rsidRDefault="008949DA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>…………………………………………………………………………………………………………………………..</w:t>
      </w:r>
    </w:p>
    <w:p w:rsidR="000B6706" w:rsidRPr="00713CD9" w:rsidRDefault="000B6706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</w:p>
    <w:p w:rsidR="008949DA" w:rsidRPr="00713CD9" w:rsidRDefault="008949DA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>The number of votes</w:t>
      </w:r>
    </w:p>
    <w:p w:rsidR="008949DA" w:rsidRPr="00713CD9" w:rsidRDefault="008949DA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</w:p>
    <w:p w:rsidR="008949DA" w:rsidRPr="00713CD9" w:rsidRDefault="008949DA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>…………………………………………………………………………………………………………………………..</w:t>
      </w:r>
    </w:p>
    <w:p w:rsidR="00D66AB2" w:rsidRPr="00713CD9" w:rsidRDefault="00D66AB2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</w:p>
    <w:p w:rsidR="00D66AB2" w:rsidRPr="00713CD9" w:rsidRDefault="00D66AB2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>Instructions for filling out the General Voting Ballot:</w:t>
      </w:r>
    </w:p>
    <w:p w:rsidR="00D66AB2" w:rsidRPr="00713CD9" w:rsidRDefault="00D66AB2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</w:p>
    <w:p w:rsidR="00D66AB2" w:rsidRPr="00713CD9" w:rsidRDefault="00D66AB2" w:rsidP="00D66A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lt-LT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 xml:space="preserve">1. Voting by the Shareholder shall be inscribed in the opposite of every draft resolution in the boxes designated for this. </w:t>
      </w:r>
    </w:p>
    <w:p w:rsidR="00D66AB2" w:rsidRPr="00713CD9" w:rsidRDefault="00D66AB2" w:rsidP="00D66A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lt-LT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 xml:space="preserve">2. The Shareholder votes “FOR” or “AGAINST” the draft resolutions. </w:t>
      </w:r>
    </w:p>
    <w:p w:rsidR="00D66AB2" w:rsidRPr="00713CD9" w:rsidRDefault="00D66AB2" w:rsidP="00D66A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lt-LT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 xml:space="preserve">3. If the Shareholder votes “for” the draft resolution - he should circle the word “FOR” in the respective box. </w:t>
      </w:r>
    </w:p>
    <w:p w:rsidR="00D66AB2" w:rsidRPr="00713CD9" w:rsidRDefault="00D66AB2" w:rsidP="00D66A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lt-LT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 xml:space="preserve">4. If the Shareholder votes “against” the draft resolution - he should circle the word “AGAINST” in the respective box. </w:t>
      </w:r>
    </w:p>
    <w:p w:rsidR="00D66AB2" w:rsidRPr="00713CD9" w:rsidRDefault="00D66AB2" w:rsidP="00D66A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lt-LT"/>
        </w:rPr>
      </w:pPr>
      <w:r w:rsidRPr="00713CD9">
        <w:rPr>
          <w:rFonts w:ascii="Arial" w:hAnsi="Arial" w:cs="Arial"/>
          <w:sz w:val="20"/>
          <w:szCs w:val="20"/>
          <w:lang w:eastAsia="lt-LT"/>
        </w:rPr>
        <w:t>5. If the Shareholder does not inscribe any voting on the draft resolution or the General Voting Ballot has been filled-out in a manner making it impossible to determine the will of the Shareholder on a specific agenda matter, the Shareholder shall be considered to not have voted in advance on such agenda matter.</w:t>
      </w:r>
    </w:p>
    <w:p w:rsidR="004E6310" w:rsidRPr="00713CD9" w:rsidRDefault="004E6310" w:rsidP="008A3587">
      <w:pPr>
        <w:autoSpaceDE w:val="0"/>
        <w:autoSpaceDN w:val="0"/>
        <w:adjustRightInd w:val="0"/>
        <w:spacing w:line="228" w:lineRule="exact"/>
        <w:rPr>
          <w:rFonts w:ascii="Arial" w:hAnsi="Arial" w:cs="Arial"/>
          <w:sz w:val="20"/>
          <w:szCs w:val="20"/>
          <w:lang w:eastAsia="lt-LT"/>
        </w:rPr>
      </w:pPr>
    </w:p>
    <w:tbl>
      <w:tblPr>
        <w:tblW w:w="50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850"/>
        <w:gridCol w:w="5530"/>
        <w:gridCol w:w="710"/>
        <w:gridCol w:w="1131"/>
      </w:tblGrid>
      <w:tr w:rsidR="000B6706" w:rsidRPr="008C6C40" w:rsidTr="0088219A">
        <w:trPr>
          <w:trHeight w:val="315"/>
        </w:trPr>
        <w:tc>
          <w:tcPr>
            <w:tcW w:w="270" w:type="pct"/>
            <w:vAlign w:val="center"/>
          </w:tcPr>
          <w:p w:rsidR="000B6706" w:rsidRPr="008C6C40" w:rsidRDefault="000B6706" w:rsidP="008A3587">
            <w:pPr>
              <w:spacing w:line="228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6C40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949" w:type="pct"/>
            <w:vAlign w:val="center"/>
          </w:tcPr>
          <w:p w:rsidR="000B6706" w:rsidRPr="008C6C40" w:rsidRDefault="004A4E56" w:rsidP="008A358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lt-LT"/>
              </w:rPr>
            </w:pPr>
            <w:r w:rsidRPr="008C6C40">
              <w:rPr>
                <w:rFonts w:ascii="Arial" w:hAnsi="Arial" w:cs="Arial"/>
                <w:b/>
                <w:sz w:val="18"/>
                <w:szCs w:val="18"/>
                <w:lang w:eastAsia="lt-LT"/>
              </w:rPr>
              <w:t>I</w:t>
            </w:r>
            <w:r w:rsidR="000B6706" w:rsidRPr="008C6C40">
              <w:rPr>
                <w:rFonts w:ascii="Arial" w:hAnsi="Arial" w:cs="Arial"/>
                <w:b/>
                <w:sz w:val="18"/>
                <w:szCs w:val="18"/>
                <w:lang w:eastAsia="lt-LT"/>
              </w:rPr>
              <w:t>tems of the</w:t>
            </w:r>
          </w:p>
          <w:p w:rsidR="000B6706" w:rsidRPr="008C6C40" w:rsidRDefault="000B6706" w:rsidP="008A358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6C40">
              <w:rPr>
                <w:rFonts w:ascii="Arial" w:hAnsi="Arial" w:cs="Arial"/>
                <w:b/>
                <w:sz w:val="18"/>
                <w:szCs w:val="18"/>
                <w:lang w:eastAsia="lt-LT"/>
              </w:rPr>
              <w:t>agenda</w:t>
            </w:r>
          </w:p>
        </w:tc>
        <w:tc>
          <w:tcPr>
            <w:tcW w:w="2837" w:type="pct"/>
            <w:vAlign w:val="center"/>
          </w:tcPr>
          <w:p w:rsidR="000B6706" w:rsidRPr="008C6C40" w:rsidRDefault="004A4E56" w:rsidP="008A358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6C40">
              <w:rPr>
                <w:rFonts w:ascii="Arial" w:hAnsi="Arial" w:cs="Arial"/>
                <w:b/>
                <w:sz w:val="18"/>
                <w:szCs w:val="18"/>
                <w:lang w:eastAsia="lt-LT"/>
              </w:rPr>
              <w:t>D</w:t>
            </w:r>
            <w:r w:rsidR="000B6706" w:rsidRPr="008C6C40">
              <w:rPr>
                <w:rFonts w:ascii="Arial" w:hAnsi="Arial" w:cs="Arial"/>
                <w:b/>
                <w:sz w:val="18"/>
                <w:szCs w:val="18"/>
                <w:lang w:eastAsia="lt-LT"/>
              </w:rPr>
              <w:t>rafts of the decisions</w:t>
            </w:r>
          </w:p>
        </w:tc>
        <w:tc>
          <w:tcPr>
            <w:tcW w:w="94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6706" w:rsidRPr="008C6C40" w:rsidRDefault="004A4E56" w:rsidP="008A358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lt-LT"/>
              </w:rPr>
            </w:pPr>
            <w:r w:rsidRPr="008C6C40">
              <w:rPr>
                <w:rFonts w:ascii="Arial" w:hAnsi="Arial" w:cs="Arial"/>
                <w:b/>
                <w:sz w:val="18"/>
                <w:szCs w:val="18"/>
                <w:lang w:eastAsia="lt-LT"/>
              </w:rPr>
              <w:t>Shareholder’</w:t>
            </w:r>
            <w:r w:rsidR="000B6706" w:rsidRPr="008C6C40">
              <w:rPr>
                <w:rFonts w:ascii="Arial" w:hAnsi="Arial" w:cs="Arial"/>
                <w:b/>
                <w:sz w:val="18"/>
                <w:szCs w:val="18"/>
                <w:lang w:eastAsia="lt-LT"/>
              </w:rPr>
              <w:t>s</w:t>
            </w:r>
          </w:p>
          <w:p w:rsidR="000B6706" w:rsidRPr="008C6C40" w:rsidRDefault="000B6706" w:rsidP="008A358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6C40">
              <w:rPr>
                <w:rFonts w:ascii="Arial" w:hAnsi="Arial" w:cs="Arial"/>
                <w:b/>
                <w:sz w:val="18"/>
                <w:szCs w:val="18"/>
                <w:lang w:eastAsia="lt-LT"/>
              </w:rPr>
              <w:t>voting</w:t>
            </w:r>
          </w:p>
        </w:tc>
      </w:tr>
      <w:tr w:rsidR="009D50C8" w:rsidRPr="008C6C40" w:rsidTr="0088219A">
        <w:trPr>
          <w:trHeight w:val="941"/>
        </w:trPr>
        <w:tc>
          <w:tcPr>
            <w:tcW w:w="270" w:type="pct"/>
          </w:tcPr>
          <w:p w:rsidR="009D50C8" w:rsidRPr="008C6C40" w:rsidRDefault="00E41E6D" w:rsidP="009D50C8">
            <w:pPr>
              <w:spacing w:line="22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C40">
              <w:rPr>
                <w:rFonts w:ascii="Arial" w:hAnsi="Arial" w:cs="Arial"/>
                <w:sz w:val="18"/>
                <w:szCs w:val="18"/>
              </w:rPr>
              <w:t>1</w:t>
            </w:r>
            <w:r w:rsidR="009D50C8" w:rsidRPr="008C6C4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49" w:type="pct"/>
          </w:tcPr>
          <w:p w:rsidR="009D50C8" w:rsidRPr="008C6C40" w:rsidRDefault="005255F6" w:rsidP="009D50C8">
            <w:pPr>
              <w:spacing w:line="228" w:lineRule="exact"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  <w:shd w:val="clear" w:color="auto" w:fill="FFFFFF"/>
                <w:lang w:val="en-US"/>
              </w:rPr>
            </w:pPr>
            <w:r w:rsidRPr="008C6C40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Approval of the audited annual financial statements</w:t>
            </w:r>
            <w:r w:rsidR="001152A7" w:rsidRPr="008C6C40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 xml:space="preserve"> of 201</w:t>
            </w:r>
            <w:r w:rsidR="0079651A" w:rsidRPr="008C6C40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9</w:t>
            </w:r>
            <w:r w:rsidR="00791E04" w:rsidRPr="008C6C40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.</w:t>
            </w:r>
          </w:p>
        </w:tc>
        <w:tc>
          <w:tcPr>
            <w:tcW w:w="2837" w:type="pct"/>
          </w:tcPr>
          <w:p w:rsidR="009D50C8" w:rsidRPr="008C6C40" w:rsidRDefault="005255F6" w:rsidP="005255F6">
            <w:pPr>
              <w:tabs>
                <w:tab w:val="left" w:pos="302"/>
              </w:tabs>
              <w:spacing w:line="240" w:lineRule="exact"/>
              <w:jc w:val="both"/>
              <w:rPr>
                <w:rFonts w:ascii="Arial" w:eastAsia="Calibri" w:hAnsi="Arial" w:cs="Arial"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8C6C40">
              <w:rPr>
                <w:rFonts w:ascii="Arial" w:eastAsia="Calibri" w:hAnsi="Arial" w:cs="Arial"/>
                <w:bCs/>
                <w:i/>
                <w:sz w:val="18"/>
                <w:szCs w:val="18"/>
                <w:shd w:val="clear" w:color="auto" w:fill="FFFFFF"/>
                <w:lang w:val="en-US"/>
              </w:rPr>
              <w:t>To approve the audited annual financial statements</w:t>
            </w:r>
            <w:r w:rsidR="00CE7219" w:rsidRPr="008C6C40">
              <w:rPr>
                <w:rFonts w:ascii="Arial" w:eastAsia="Calibri" w:hAnsi="Arial" w:cs="Arial"/>
                <w:bCs/>
                <w:i/>
                <w:sz w:val="18"/>
                <w:szCs w:val="18"/>
                <w:shd w:val="clear" w:color="auto" w:fill="FFFFFF"/>
                <w:lang w:val="en-US"/>
              </w:rPr>
              <w:t xml:space="preserve"> of 201</w:t>
            </w:r>
            <w:r w:rsidR="0079651A" w:rsidRPr="008C6C40">
              <w:rPr>
                <w:rFonts w:ascii="Arial" w:eastAsia="Calibri" w:hAnsi="Arial" w:cs="Arial"/>
                <w:bCs/>
                <w:i/>
                <w:sz w:val="18"/>
                <w:szCs w:val="18"/>
                <w:shd w:val="clear" w:color="auto" w:fill="FFFFFF"/>
                <w:lang w:val="en-US"/>
              </w:rPr>
              <w:t>9</w:t>
            </w:r>
            <w:r w:rsidR="00791E04" w:rsidRPr="008C6C40">
              <w:rPr>
                <w:rFonts w:ascii="Arial" w:eastAsia="Calibri" w:hAnsi="Arial" w:cs="Arial"/>
                <w:bCs/>
                <w:i/>
                <w:sz w:val="18"/>
                <w:szCs w:val="18"/>
                <w:shd w:val="clear" w:color="auto" w:fill="FFFFFF"/>
                <w:lang w:val="en-US"/>
              </w:rPr>
              <w:t>.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8" w:rsidRPr="008C6C40" w:rsidRDefault="009D50C8" w:rsidP="009D50C8">
            <w:pPr>
              <w:spacing w:line="22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C40">
              <w:rPr>
                <w:rFonts w:ascii="Arial" w:hAnsi="Arial" w:cs="Arial"/>
                <w:sz w:val="18"/>
                <w:szCs w:val="18"/>
              </w:rPr>
              <w:t>“For”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8" w:rsidRPr="008C6C40" w:rsidRDefault="009D50C8" w:rsidP="009D50C8">
            <w:pPr>
              <w:spacing w:line="22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C40">
              <w:rPr>
                <w:rFonts w:ascii="Arial" w:hAnsi="Arial" w:cs="Arial"/>
                <w:sz w:val="18"/>
                <w:szCs w:val="18"/>
              </w:rPr>
              <w:t>“Against”</w:t>
            </w:r>
          </w:p>
        </w:tc>
      </w:tr>
      <w:tr w:rsidR="001152A7" w:rsidRPr="008C6C40" w:rsidTr="0088219A">
        <w:trPr>
          <w:trHeight w:val="828"/>
        </w:trPr>
        <w:tc>
          <w:tcPr>
            <w:tcW w:w="270" w:type="pct"/>
          </w:tcPr>
          <w:p w:rsidR="001152A7" w:rsidRPr="008C6C40" w:rsidRDefault="001152A7" w:rsidP="009D50C8">
            <w:pPr>
              <w:spacing w:line="228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C40">
              <w:rPr>
                <w:rFonts w:ascii="Arial" w:hAnsi="Arial" w:cs="Arial"/>
                <w:sz w:val="18"/>
                <w:szCs w:val="18"/>
                <w:lang w:val="en-US"/>
              </w:rPr>
              <w:t>2.</w:t>
            </w:r>
          </w:p>
        </w:tc>
        <w:tc>
          <w:tcPr>
            <w:tcW w:w="949" w:type="pct"/>
          </w:tcPr>
          <w:p w:rsidR="001152A7" w:rsidRPr="008C6C40" w:rsidRDefault="001152A7" w:rsidP="008C6C40">
            <w:pPr>
              <w:tabs>
                <w:tab w:val="left" w:pos="315"/>
              </w:tabs>
              <w:spacing w:line="240" w:lineRule="exact"/>
              <w:jc w:val="both"/>
              <w:rPr>
                <w:rFonts w:ascii="Arial" w:eastAsia="Calibri" w:hAnsi="Arial" w:cs="Arial"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8C6C40">
              <w:rPr>
                <w:rFonts w:ascii="Arial" w:eastAsia="Calibri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Approval of the Annual Report of 201</w:t>
            </w:r>
            <w:r w:rsidR="0079651A" w:rsidRPr="008C6C40">
              <w:rPr>
                <w:rFonts w:ascii="Arial" w:eastAsia="Calibri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9</w:t>
            </w:r>
            <w:r w:rsidR="008C6C40" w:rsidRPr="008C6C40">
              <w:rPr>
                <w:rFonts w:ascii="Arial" w:eastAsia="Calibri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.</w:t>
            </w:r>
          </w:p>
        </w:tc>
        <w:tc>
          <w:tcPr>
            <w:tcW w:w="2837" w:type="pct"/>
          </w:tcPr>
          <w:p w:rsidR="001152A7" w:rsidRPr="008C6C40" w:rsidRDefault="001152A7" w:rsidP="008C6C40">
            <w:pPr>
              <w:tabs>
                <w:tab w:val="left" w:pos="302"/>
              </w:tabs>
              <w:spacing w:line="240" w:lineRule="exact"/>
              <w:jc w:val="both"/>
              <w:rPr>
                <w:rFonts w:ascii="Arial" w:eastAsia="Calibri" w:hAnsi="Arial" w:cs="Arial"/>
                <w:bCs/>
                <w:i/>
                <w:sz w:val="18"/>
                <w:szCs w:val="18"/>
                <w:shd w:val="clear" w:color="auto" w:fill="FFFFFF"/>
                <w:lang w:val="en-US"/>
              </w:rPr>
            </w:pPr>
            <w:r w:rsidRPr="008C6C40">
              <w:rPr>
                <w:rFonts w:ascii="Arial" w:eastAsia="Calibri" w:hAnsi="Arial" w:cs="Arial"/>
                <w:bCs/>
                <w:i/>
                <w:sz w:val="18"/>
                <w:szCs w:val="18"/>
                <w:shd w:val="clear" w:color="auto" w:fill="FFFFFF"/>
                <w:lang w:val="en-US"/>
              </w:rPr>
              <w:t>To approve the Annual Report of 201</w:t>
            </w:r>
            <w:r w:rsidR="0079651A" w:rsidRPr="008C6C40">
              <w:rPr>
                <w:rFonts w:ascii="Arial" w:eastAsia="Calibri" w:hAnsi="Arial" w:cs="Arial"/>
                <w:bCs/>
                <w:i/>
                <w:sz w:val="18"/>
                <w:szCs w:val="18"/>
                <w:shd w:val="clear" w:color="auto" w:fill="FFFFFF"/>
                <w:lang w:val="en-US"/>
              </w:rPr>
              <w:t>9</w:t>
            </w:r>
            <w:r w:rsidRPr="008C6C40">
              <w:rPr>
                <w:rFonts w:ascii="Arial" w:eastAsia="Calibri" w:hAnsi="Arial" w:cs="Arial"/>
                <w:bCs/>
                <w:i/>
                <w:sz w:val="18"/>
                <w:szCs w:val="18"/>
                <w:shd w:val="clear" w:color="auto" w:fill="FFFFFF"/>
                <w:lang w:val="en-US"/>
              </w:rPr>
              <w:t>.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A7" w:rsidRPr="008C6C40" w:rsidRDefault="001152A7" w:rsidP="009D50C8">
            <w:pPr>
              <w:spacing w:line="22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C40">
              <w:rPr>
                <w:rFonts w:ascii="Arial" w:hAnsi="Arial" w:cs="Arial"/>
                <w:sz w:val="18"/>
                <w:szCs w:val="18"/>
              </w:rPr>
              <w:t>“For”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A7" w:rsidRPr="008C6C40" w:rsidRDefault="001152A7" w:rsidP="009D50C8">
            <w:pPr>
              <w:spacing w:line="22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C40">
              <w:rPr>
                <w:rFonts w:ascii="Arial" w:hAnsi="Arial" w:cs="Arial"/>
                <w:sz w:val="18"/>
                <w:szCs w:val="18"/>
              </w:rPr>
              <w:t>“Against”</w:t>
            </w:r>
          </w:p>
        </w:tc>
      </w:tr>
      <w:tr w:rsidR="005255F6" w:rsidRPr="008C6C40" w:rsidTr="0088219A">
        <w:trPr>
          <w:trHeight w:val="5371"/>
        </w:trPr>
        <w:tc>
          <w:tcPr>
            <w:tcW w:w="270" w:type="pct"/>
          </w:tcPr>
          <w:p w:rsidR="005255F6" w:rsidRPr="008C6C40" w:rsidRDefault="001152A7" w:rsidP="009D50C8">
            <w:pPr>
              <w:spacing w:line="22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C40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r w:rsidR="005255F6" w:rsidRPr="008C6C4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49" w:type="pct"/>
          </w:tcPr>
          <w:p w:rsidR="005255F6" w:rsidRPr="008C6C40" w:rsidRDefault="005255F6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C6C40">
              <w:rPr>
                <w:rFonts w:ascii="Arial" w:hAnsi="Arial" w:cs="Arial"/>
                <w:bCs/>
                <w:sz w:val="18"/>
                <w:szCs w:val="18"/>
                <w:lang w:val="en-US"/>
              </w:rPr>
              <w:t>Decision on profit (loss) distribution.</w:t>
            </w: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E41E6D" w:rsidRPr="008C6C40" w:rsidRDefault="00E41E6D" w:rsidP="005255F6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5255F6" w:rsidRPr="008C6C40" w:rsidRDefault="005255F6" w:rsidP="00EE6084">
            <w:pPr>
              <w:spacing w:line="228" w:lineRule="exact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7" w:type="pct"/>
          </w:tcPr>
          <w:p w:rsidR="005255F6" w:rsidRPr="008C6C40" w:rsidRDefault="005255F6" w:rsidP="005255F6">
            <w:pPr>
              <w:tabs>
                <w:tab w:val="left" w:pos="302"/>
              </w:tabs>
              <w:spacing w:line="240" w:lineRule="exact"/>
              <w:jc w:val="both"/>
              <w:rPr>
                <w:rFonts w:ascii="Arial" w:eastAsia="Calibri" w:hAnsi="Arial" w:cs="Arial"/>
                <w:bCs/>
                <w:i/>
                <w:sz w:val="18"/>
                <w:szCs w:val="18"/>
                <w:shd w:val="clear" w:color="auto" w:fill="FFFFFF"/>
                <w:lang w:val="en-US"/>
              </w:rPr>
            </w:pPr>
            <w:r w:rsidRPr="008C6C40">
              <w:rPr>
                <w:rFonts w:ascii="Arial" w:eastAsia="Calibri" w:hAnsi="Arial" w:cs="Arial"/>
                <w:bCs/>
                <w:i/>
                <w:sz w:val="18"/>
                <w:szCs w:val="18"/>
                <w:shd w:val="clear" w:color="auto" w:fill="FFFFFF"/>
                <w:lang w:val="en-US"/>
              </w:rPr>
              <w:t>To distribute the Company's profit as follows:</w:t>
            </w:r>
          </w:p>
          <w:tbl>
            <w:tblPr>
              <w:tblW w:w="5161" w:type="dxa"/>
              <w:tblInd w:w="1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3950"/>
              <w:gridCol w:w="842"/>
            </w:tblGrid>
            <w:tr w:rsidR="0079651A" w:rsidRPr="00F87BEF" w:rsidTr="000E2D29">
              <w:trPr>
                <w:trHeight w:val="616"/>
              </w:trPr>
              <w:tc>
                <w:tcPr>
                  <w:tcW w:w="369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1.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Undistributed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result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–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profit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(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loss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)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of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the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previous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financial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year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at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the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end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of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the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accounting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financial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year</w:t>
                  </w:r>
                  <w:proofErr w:type="spellEnd"/>
                </w:p>
              </w:tc>
              <w:tc>
                <w:tcPr>
                  <w:tcW w:w="842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sz w:val="18"/>
                      <w:szCs w:val="18"/>
                    </w:rPr>
                    <w:t>9,611</w:t>
                  </w:r>
                </w:p>
              </w:tc>
            </w:tr>
            <w:tr w:rsidR="0079651A" w:rsidRPr="00F87BEF" w:rsidTr="000E2D29">
              <w:trPr>
                <w:trHeight w:val="298"/>
              </w:trPr>
              <w:tc>
                <w:tcPr>
                  <w:tcW w:w="369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2.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Net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profit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(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loss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)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of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the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accounting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financial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year</w:t>
                  </w:r>
                  <w:proofErr w:type="spellEnd"/>
                </w:p>
              </w:tc>
              <w:tc>
                <w:tcPr>
                  <w:tcW w:w="842" w:type="dxa"/>
                  <w:shd w:val="clear" w:color="auto" w:fill="auto"/>
                </w:tcPr>
                <w:p w:rsidR="0079651A" w:rsidRPr="00F87BEF" w:rsidRDefault="000E2D29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="0079651A" w:rsidRPr="00F87BEF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846</w:t>
                  </w:r>
                </w:p>
              </w:tc>
            </w:tr>
            <w:tr w:rsidR="0079651A" w:rsidRPr="00F87BEF" w:rsidTr="000E2D29">
              <w:trPr>
                <w:trHeight w:val="306"/>
              </w:trPr>
              <w:tc>
                <w:tcPr>
                  <w:tcW w:w="369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3.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Dividends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paid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during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year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2019</w:t>
                  </w:r>
                </w:p>
              </w:tc>
              <w:tc>
                <w:tcPr>
                  <w:tcW w:w="842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  <w:tr w:rsidR="0079651A" w:rsidRPr="00F87BEF" w:rsidTr="000E2D29">
              <w:trPr>
                <w:trHeight w:val="312"/>
              </w:trPr>
              <w:tc>
                <w:tcPr>
                  <w:tcW w:w="369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4.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Total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profit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(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loss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) to be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appropriated</w:t>
                  </w:r>
                  <w:proofErr w:type="spellEnd"/>
                </w:p>
              </w:tc>
              <w:tc>
                <w:tcPr>
                  <w:tcW w:w="842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0E2D29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F87BEF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="000E2D29">
                    <w:rPr>
                      <w:rFonts w:ascii="Arial" w:hAnsi="Arial" w:cs="Arial"/>
                      <w:sz w:val="18"/>
                      <w:szCs w:val="18"/>
                    </w:rPr>
                    <w:t>457</w:t>
                  </w:r>
                </w:p>
              </w:tc>
            </w:tr>
            <w:tr w:rsidR="0079651A" w:rsidRPr="00F87BEF" w:rsidTr="000E2D29">
              <w:trPr>
                <w:trHeight w:val="266"/>
              </w:trPr>
              <w:tc>
                <w:tcPr>
                  <w:tcW w:w="369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5.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Share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of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profit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allocated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:</w:t>
                  </w:r>
                </w:p>
              </w:tc>
              <w:tc>
                <w:tcPr>
                  <w:tcW w:w="842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</w:p>
              </w:tc>
            </w:tr>
            <w:tr w:rsidR="0079651A" w:rsidRPr="00F87BEF" w:rsidTr="000E2D29">
              <w:trPr>
                <w:trHeight w:val="339"/>
              </w:trPr>
              <w:tc>
                <w:tcPr>
                  <w:tcW w:w="369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</w:p>
              </w:tc>
              <w:tc>
                <w:tcPr>
                  <w:tcW w:w="3950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to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mandatory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reserves</w:t>
                  </w:r>
                  <w:proofErr w:type="spellEnd"/>
                </w:p>
              </w:tc>
              <w:tc>
                <w:tcPr>
                  <w:tcW w:w="842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79651A" w:rsidRPr="00F87BEF" w:rsidTr="000E2D29">
              <w:trPr>
                <w:trHeight w:val="266"/>
              </w:trPr>
              <w:tc>
                <w:tcPr>
                  <w:tcW w:w="369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</w:p>
              </w:tc>
              <w:tc>
                <w:tcPr>
                  <w:tcW w:w="3950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to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reserves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of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own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shares</w:t>
                  </w:r>
                  <w:proofErr w:type="spellEnd"/>
                </w:p>
              </w:tc>
              <w:tc>
                <w:tcPr>
                  <w:tcW w:w="842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  <w:tr w:rsidR="0079651A" w:rsidRPr="00F87BEF" w:rsidTr="000E2D29">
              <w:trPr>
                <w:trHeight w:val="266"/>
              </w:trPr>
              <w:tc>
                <w:tcPr>
                  <w:tcW w:w="369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</w:p>
              </w:tc>
              <w:tc>
                <w:tcPr>
                  <w:tcW w:w="3950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to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other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reserves</w:t>
                  </w:r>
                  <w:proofErr w:type="spellEnd"/>
                </w:p>
              </w:tc>
              <w:tc>
                <w:tcPr>
                  <w:tcW w:w="842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  <w:tr w:rsidR="0079651A" w:rsidRPr="00F87BEF" w:rsidTr="000E2D29">
              <w:trPr>
                <w:trHeight w:val="266"/>
              </w:trPr>
              <w:tc>
                <w:tcPr>
                  <w:tcW w:w="369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</w:p>
              </w:tc>
              <w:tc>
                <w:tcPr>
                  <w:tcW w:w="3950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for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payment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of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dividends</w:t>
                  </w:r>
                  <w:proofErr w:type="spellEnd"/>
                </w:p>
              </w:tc>
              <w:tc>
                <w:tcPr>
                  <w:tcW w:w="842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  <w:tr w:rsidR="0079651A" w:rsidRPr="00F87BEF" w:rsidTr="000E2D29">
              <w:trPr>
                <w:trHeight w:val="326"/>
              </w:trPr>
              <w:tc>
                <w:tcPr>
                  <w:tcW w:w="369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</w:p>
              </w:tc>
              <w:tc>
                <w:tcPr>
                  <w:tcW w:w="3950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for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other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purposes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(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annual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bonuses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to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Board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members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, etc.)</w:t>
                  </w:r>
                </w:p>
              </w:tc>
              <w:tc>
                <w:tcPr>
                  <w:tcW w:w="842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  <w:tr w:rsidR="0079651A" w:rsidRPr="00F87BEF" w:rsidTr="000E2D29">
              <w:trPr>
                <w:trHeight w:val="631"/>
              </w:trPr>
              <w:tc>
                <w:tcPr>
                  <w:tcW w:w="369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6.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Undistributed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profit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(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loss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)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as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of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the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end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of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accounting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financial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year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,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carried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forward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into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the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following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financial</w:t>
                  </w:r>
                  <w:proofErr w:type="spellEnd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 xml:space="preserve"> </w:t>
                  </w:r>
                  <w:proofErr w:type="spellStart"/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  <w:t>year</w:t>
                  </w:r>
                  <w:proofErr w:type="spellEnd"/>
                </w:p>
              </w:tc>
              <w:tc>
                <w:tcPr>
                  <w:tcW w:w="842" w:type="dxa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0E2D29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F87BEF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="000E2D29">
                    <w:rPr>
                      <w:rFonts w:ascii="Arial" w:hAnsi="Arial" w:cs="Arial"/>
                      <w:sz w:val="18"/>
                      <w:szCs w:val="18"/>
                    </w:rPr>
                    <w:t>457</w:t>
                  </w:r>
                  <w:bookmarkStart w:id="0" w:name="_GoBack"/>
                  <w:bookmarkEnd w:id="0"/>
                </w:p>
              </w:tc>
            </w:tr>
            <w:tr w:rsidR="0079651A" w:rsidRPr="00F87BEF" w:rsidTr="00F87BEF">
              <w:trPr>
                <w:trHeight w:val="142"/>
              </w:trPr>
              <w:tc>
                <w:tcPr>
                  <w:tcW w:w="5161" w:type="dxa"/>
                  <w:gridSpan w:val="3"/>
                  <w:shd w:val="clear" w:color="auto" w:fill="auto"/>
                </w:tcPr>
                <w:p w:rsidR="0079651A" w:rsidRPr="00F87BEF" w:rsidRDefault="0079651A" w:rsidP="00F87BEF">
                  <w:pPr>
                    <w:tabs>
                      <w:tab w:val="left" w:pos="302"/>
                    </w:tabs>
                    <w:spacing w:line="240" w:lineRule="exact"/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  <w:lang w:val="lt-LT"/>
                    </w:rPr>
                  </w:pPr>
                  <w:r w:rsidRPr="00F87BE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shd w:val="clear" w:color="auto" w:fill="FFFFFF"/>
                    </w:rPr>
                    <w:t>All amounts are in thousand EUR</w:t>
                  </w:r>
                </w:p>
              </w:tc>
            </w:tr>
          </w:tbl>
          <w:p w:rsidR="00791E04" w:rsidRPr="008C6C40" w:rsidRDefault="0079651A" w:rsidP="008C6C40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8C6C40">
              <w:rPr>
                <w:rFonts w:ascii="Arial" w:eastAsia="Calibri" w:hAnsi="Arial" w:cs="Arial"/>
                <w:bCs/>
                <w:i/>
                <w:iCs/>
                <w:color w:val="000000"/>
                <w:sz w:val="18"/>
                <w:szCs w:val="18"/>
                <w:lang w:val="en"/>
              </w:rPr>
              <w:t xml:space="preserve">Taking into the consideration </w:t>
            </w:r>
            <w:r w:rsidRPr="008C6C40">
              <w:rPr>
                <w:rFonts w:ascii="Arial" w:eastAsia="Calibri" w:hAnsi="Arial"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the current situation regarding the global coronavirus (COVID-19) pandemic and the state-level extreme situation and quarantine status,</w:t>
            </w:r>
            <w:r w:rsidRPr="008C6C40">
              <w:rPr>
                <w:rFonts w:ascii="Arial" w:eastAsia="Calibri" w:hAnsi="Arial" w:cs="Arial"/>
                <w:bCs/>
                <w:i/>
                <w:iCs/>
                <w:color w:val="000000"/>
                <w:sz w:val="18"/>
                <w:szCs w:val="18"/>
                <w:lang w:val="en"/>
              </w:rPr>
              <w:t xml:space="preserve"> also in reference to the opinion of the Board and Supervisory Council, </w:t>
            </w:r>
            <w:r w:rsidRPr="008C6C40">
              <w:rPr>
                <w:rFonts w:ascii="Arial" w:eastAsia="Calibri" w:hAnsi="Arial"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to postpone the dividend allocation until the economic situation and Company’s operation stabilizes.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F6" w:rsidRPr="008C6C40" w:rsidRDefault="005255F6" w:rsidP="009D50C8">
            <w:pPr>
              <w:spacing w:line="22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C40">
              <w:rPr>
                <w:rFonts w:ascii="Arial" w:hAnsi="Arial" w:cs="Arial"/>
                <w:sz w:val="18"/>
                <w:szCs w:val="18"/>
              </w:rPr>
              <w:t>“For”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F6" w:rsidRPr="008C6C40" w:rsidRDefault="005255F6" w:rsidP="009D50C8">
            <w:pPr>
              <w:spacing w:line="22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C40">
              <w:rPr>
                <w:rFonts w:ascii="Arial" w:hAnsi="Arial" w:cs="Arial"/>
                <w:sz w:val="18"/>
                <w:szCs w:val="18"/>
              </w:rPr>
              <w:t>“Against”</w:t>
            </w:r>
          </w:p>
        </w:tc>
      </w:tr>
      <w:tr w:rsidR="0079651A" w:rsidRPr="008C6C40" w:rsidTr="0088219A">
        <w:trPr>
          <w:trHeight w:val="943"/>
        </w:trPr>
        <w:tc>
          <w:tcPr>
            <w:tcW w:w="270" w:type="pct"/>
          </w:tcPr>
          <w:p w:rsidR="0079651A" w:rsidRPr="008C6C40" w:rsidRDefault="0079651A" w:rsidP="0079651A">
            <w:pPr>
              <w:spacing w:line="22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C4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49" w:type="pct"/>
          </w:tcPr>
          <w:p w:rsidR="0079651A" w:rsidRPr="008C6C40" w:rsidRDefault="0079651A" w:rsidP="0079651A">
            <w:pPr>
              <w:spacing w:line="228" w:lineRule="exact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C6C40">
              <w:rPr>
                <w:rFonts w:ascii="Arial" w:hAnsi="Arial" w:cs="Arial"/>
                <w:bCs/>
                <w:sz w:val="18"/>
                <w:szCs w:val="18"/>
              </w:rPr>
              <w:t>Approval of the new Articles of Association</w:t>
            </w:r>
          </w:p>
        </w:tc>
        <w:tc>
          <w:tcPr>
            <w:tcW w:w="2837" w:type="pct"/>
          </w:tcPr>
          <w:p w:rsidR="0079651A" w:rsidRPr="008C6C40" w:rsidRDefault="0079651A" w:rsidP="0079651A">
            <w:pPr>
              <w:tabs>
                <w:tab w:val="left" w:pos="302"/>
              </w:tabs>
              <w:spacing w:line="240" w:lineRule="exact"/>
              <w:jc w:val="both"/>
              <w:rPr>
                <w:rFonts w:ascii="Arial" w:eastAsia="Calibri" w:hAnsi="Arial" w:cs="Arial"/>
                <w:bCs/>
                <w:i/>
                <w:sz w:val="18"/>
                <w:szCs w:val="18"/>
                <w:shd w:val="clear" w:color="auto" w:fill="FFFFFF"/>
                <w:lang w:val="en-US"/>
              </w:rPr>
            </w:pPr>
            <w:r w:rsidRPr="008C6C40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To amend the Articles of Association of the Company and approve the amended Articles of Association of the Company (attached).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A" w:rsidRPr="008C6C40" w:rsidRDefault="0079651A" w:rsidP="0079651A">
            <w:pPr>
              <w:spacing w:line="22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C40">
              <w:rPr>
                <w:rFonts w:ascii="Arial" w:hAnsi="Arial" w:cs="Arial"/>
                <w:sz w:val="18"/>
                <w:szCs w:val="18"/>
              </w:rPr>
              <w:t>“For”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1A" w:rsidRPr="008C6C40" w:rsidRDefault="0079651A" w:rsidP="0079651A">
            <w:pPr>
              <w:spacing w:line="22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C40">
              <w:rPr>
                <w:rFonts w:ascii="Arial" w:hAnsi="Arial" w:cs="Arial"/>
                <w:sz w:val="18"/>
                <w:szCs w:val="18"/>
              </w:rPr>
              <w:t>“Against”</w:t>
            </w:r>
          </w:p>
        </w:tc>
      </w:tr>
      <w:tr w:rsidR="0079651A" w:rsidRPr="008C6C40" w:rsidTr="00E41E6D">
        <w:trPr>
          <w:trHeight w:val="339"/>
        </w:trPr>
        <w:tc>
          <w:tcPr>
            <w:tcW w:w="4056" w:type="pct"/>
            <w:gridSpan w:val="3"/>
          </w:tcPr>
          <w:p w:rsidR="0079651A" w:rsidRPr="008C6C40" w:rsidRDefault="0079651A" w:rsidP="00796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C40">
              <w:rPr>
                <w:rFonts w:ascii="Arial" w:hAnsi="Arial" w:cs="Arial"/>
                <w:sz w:val="18"/>
                <w:szCs w:val="18"/>
              </w:rPr>
              <w:t>Regarding any other new draft resolutions, not indicated above, to vote with all the votes held:</w:t>
            </w:r>
          </w:p>
        </w:tc>
        <w:tc>
          <w:tcPr>
            <w:tcW w:w="364" w:type="pct"/>
            <w:tcBorders>
              <w:top w:val="single" w:sz="4" w:space="0" w:color="auto"/>
              <w:right w:val="single" w:sz="4" w:space="0" w:color="auto"/>
            </w:tcBorders>
          </w:tcPr>
          <w:p w:rsidR="0079651A" w:rsidRPr="008C6C40" w:rsidRDefault="0079651A" w:rsidP="0079651A">
            <w:pPr>
              <w:spacing w:line="22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C40">
              <w:rPr>
                <w:rFonts w:ascii="Arial" w:hAnsi="Arial" w:cs="Arial"/>
                <w:sz w:val="18"/>
                <w:szCs w:val="18"/>
              </w:rPr>
              <w:t>“For”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51A" w:rsidRPr="008C6C40" w:rsidRDefault="0079651A" w:rsidP="0079651A">
            <w:pPr>
              <w:spacing w:line="22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C40">
              <w:rPr>
                <w:rFonts w:ascii="Arial" w:hAnsi="Arial" w:cs="Arial"/>
                <w:sz w:val="18"/>
                <w:szCs w:val="18"/>
              </w:rPr>
              <w:t>“Against”</w:t>
            </w:r>
          </w:p>
        </w:tc>
      </w:tr>
    </w:tbl>
    <w:p w:rsidR="00AD248C" w:rsidRPr="00713CD9" w:rsidRDefault="00AD248C" w:rsidP="008949DA">
      <w:pPr>
        <w:pBdr>
          <w:bottom w:val="single" w:sz="6" w:space="9" w:color="auto"/>
        </w:pBdr>
        <w:spacing w:line="228" w:lineRule="exact"/>
        <w:rPr>
          <w:rFonts w:ascii="Arial" w:hAnsi="Arial" w:cs="Arial"/>
          <w:sz w:val="20"/>
          <w:szCs w:val="20"/>
        </w:rPr>
      </w:pPr>
    </w:p>
    <w:p w:rsidR="008949DA" w:rsidRPr="00713CD9" w:rsidRDefault="00AD248C" w:rsidP="008949DA">
      <w:pPr>
        <w:pBdr>
          <w:bottom w:val="single" w:sz="6" w:space="9" w:color="auto"/>
        </w:pBdr>
        <w:spacing w:line="228" w:lineRule="exact"/>
        <w:rPr>
          <w:rFonts w:ascii="Arial" w:hAnsi="Arial" w:cs="Arial"/>
          <w:sz w:val="20"/>
          <w:szCs w:val="20"/>
        </w:rPr>
      </w:pPr>
      <w:r w:rsidRPr="00713CD9">
        <w:rPr>
          <w:rFonts w:ascii="Arial" w:hAnsi="Arial" w:cs="Arial"/>
          <w:sz w:val="20"/>
          <w:szCs w:val="20"/>
        </w:rPr>
        <w:t>Name, surname, s</w:t>
      </w:r>
      <w:r w:rsidR="00976343" w:rsidRPr="00713CD9">
        <w:rPr>
          <w:rFonts w:ascii="Arial" w:hAnsi="Arial" w:cs="Arial"/>
          <w:sz w:val="20"/>
          <w:szCs w:val="20"/>
        </w:rPr>
        <w:t>ignature of the shareholder</w:t>
      </w:r>
      <w:r w:rsidR="00CC62EF" w:rsidRPr="00713CD9">
        <w:rPr>
          <w:rFonts w:ascii="Arial" w:hAnsi="Arial" w:cs="Arial"/>
          <w:sz w:val="20"/>
          <w:szCs w:val="20"/>
        </w:rPr>
        <w:t xml:space="preserve"> (representative)</w:t>
      </w:r>
      <w:r w:rsidR="008949DA" w:rsidRPr="00713CD9">
        <w:rPr>
          <w:rFonts w:ascii="Arial" w:hAnsi="Arial" w:cs="Arial"/>
          <w:sz w:val="20"/>
          <w:szCs w:val="20"/>
        </w:rPr>
        <w:t>:</w:t>
      </w:r>
    </w:p>
    <w:p w:rsidR="008949DA" w:rsidRPr="00713CD9" w:rsidRDefault="008949DA" w:rsidP="008949DA">
      <w:pPr>
        <w:pBdr>
          <w:bottom w:val="single" w:sz="6" w:space="9" w:color="auto"/>
        </w:pBdr>
        <w:spacing w:line="228" w:lineRule="exact"/>
        <w:rPr>
          <w:rFonts w:ascii="Arial" w:hAnsi="Arial" w:cs="Arial"/>
          <w:sz w:val="20"/>
          <w:szCs w:val="20"/>
        </w:rPr>
      </w:pPr>
    </w:p>
    <w:p w:rsidR="00E95A40" w:rsidRPr="00713CD9" w:rsidRDefault="00E95A40" w:rsidP="008949DA">
      <w:pPr>
        <w:pBdr>
          <w:bottom w:val="single" w:sz="6" w:space="9" w:color="auto"/>
        </w:pBdr>
        <w:spacing w:line="228" w:lineRule="exact"/>
        <w:rPr>
          <w:rFonts w:ascii="Arial" w:hAnsi="Arial" w:cs="Arial"/>
          <w:sz w:val="20"/>
          <w:szCs w:val="20"/>
        </w:rPr>
      </w:pPr>
      <w:r w:rsidRPr="00713CD9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949DA" w:rsidRPr="00713CD9" w:rsidRDefault="008949DA" w:rsidP="008949DA">
      <w:pPr>
        <w:pBdr>
          <w:bottom w:val="single" w:sz="6" w:space="9" w:color="auto"/>
        </w:pBdr>
        <w:spacing w:line="228" w:lineRule="exact"/>
        <w:rPr>
          <w:rFonts w:ascii="Arial" w:hAnsi="Arial" w:cs="Arial"/>
          <w:sz w:val="20"/>
          <w:szCs w:val="20"/>
        </w:rPr>
      </w:pPr>
    </w:p>
    <w:p w:rsidR="008949DA" w:rsidRPr="00713CD9" w:rsidRDefault="008949DA" w:rsidP="008949DA">
      <w:pPr>
        <w:pBdr>
          <w:bottom w:val="single" w:sz="6" w:space="9" w:color="auto"/>
        </w:pBdr>
        <w:spacing w:line="228" w:lineRule="exact"/>
        <w:rPr>
          <w:rFonts w:ascii="Arial" w:hAnsi="Arial" w:cs="Arial"/>
          <w:sz w:val="20"/>
          <w:szCs w:val="20"/>
        </w:rPr>
      </w:pPr>
      <w:r w:rsidRPr="00713CD9">
        <w:rPr>
          <w:rFonts w:ascii="Arial" w:hAnsi="Arial" w:cs="Arial"/>
          <w:sz w:val="20"/>
          <w:szCs w:val="20"/>
        </w:rPr>
        <w:t>Date of filling of the ballot</w:t>
      </w:r>
      <w:r w:rsidR="0092457E" w:rsidRPr="00713CD9">
        <w:rPr>
          <w:rFonts w:ascii="Arial" w:hAnsi="Arial" w:cs="Arial"/>
          <w:sz w:val="20"/>
          <w:szCs w:val="20"/>
        </w:rPr>
        <w:t>:</w:t>
      </w:r>
    </w:p>
    <w:p w:rsidR="008949DA" w:rsidRPr="00713CD9" w:rsidRDefault="008949DA" w:rsidP="008949DA">
      <w:pPr>
        <w:pBdr>
          <w:bottom w:val="single" w:sz="6" w:space="9" w:color="auto"/>
        </w:pBdr>
        <w:spacing w:line="228" w:lineRule="exact"/>
        <w:rPr>
          <w:rFonts w:ascii="Arial" w:hAnsi="Arial" w:cs="Arial"/>
          <w:sz w:val="20"/>
          <w:szCs w:val="20"/>
        </w:rPr>
      </w:pPr>
    </w:p>
    <w:p w:rsidR="008949DA" w:rsidRPr="00713CD9" w:rsidRDefault="00E95A40" w:rsidP="008949DA">
      <w:pPr>
        <w:pBdr>
          <w:bottom w:val="single" w:sz="6" w:space="9" w:color="auto"/>
        </w:pBdr>
        <w:spacing w:line="228" w:lineRule="exact"/>
        <w:rPr>
          <w:rFonts w:ascii="Arial" w:hAnsi="Arial" w:cs="Arial"/>
          <w:sz w:val="20"/>
          <w:szCs w:val="20"/>
        </w:rPr>
      </w:pPr>
      <w:r w:rsidRPr="00713CD9">
        <w:rPr>
          <w:rFonts w:ascii="Arial" w:hAnsi="Arial" w:cs="Arial"/>
          <w:sz w:val="20"/>
          <w:szCs w:val="20"/>
        </w:rPr>
        <w:t>_____________________</w:t>
      </w:r>
    </w:p>
    <w:p w:rsidR="008949DA" w:rsidRPr="00713CD9" w:rsidRDefault="008949DA" w:rsidP="008949DA">
      <w:pPr>
        <w:pBdr>
          <w:bottom w:val="single" w:sz="6" w:space="9" w:color="auto"/>
        </w:pBdr>
        <w:spacing w:line="228" w:lineRule="exact"/>
        <w:rPr>
          <w:rFonts w:ascii="Arial" w:hAnsi="Arial" w:cs="Arial"/>
          <w:sz w:val="20"/>
          <w:szCs w:val="20"/>
        </w:rPr>
      </w:pPr>
    </w:p>
    <w:p w:rsidR="00E95A40" w:rsidRPr="00713CD9" w:rsidRDefault="00E95A40" w:rsidP="008949DA">
      <w:pPr>
        <w:pBdr>
          <w:bottom w:val="single" w:sz="6" w:space="9" w:color="auto"/>
        </w:pBdr>
        <w:spacing w:line="228" w:lineRule="exact"/>
        <w:rPr>
          <w:rFonts w:ascii="Arial" w:hAnsi="Arial" w:cs="Arial"/>
          <w:sz w:val="20"/>
          <w:szCs w:val="20"/>
        </w:rPr>
      </w:pPr>
    </w:p>
    <w:p w:rsidR="008949DA" w:rsidRPr="00713CD9" w:rsidRDefault="000E525C" w:rsidP="008949DA">
      <w:pPr>
        <w:pBdr>
          <w:bottom w:val="single" w:sz="6" w:space="9" w:color="auto"/>
        </w:pBdr>
        <w:spacing w:line="228" w:lineRule="exact"/>
        <w:rPr>
          <w:rFonts w:ascii="Arial" w:hAnsi="Arial" w:cs="Arial"/>
          <w:sz w:val="20"/>
          <w:szCs w:val="20"/>
        </w:rPr>
      </w:pPr>
      <w:r w:rsidRPr="00713CD9">
        <w:rPr>
          <w:rFonts w:ascii="Arial" w:hAnsi="Arial" w:cs="Arial"/>
          <w:sz w:val="20"/>
          <w:szCs w:val="20"/>
        </w:rPr>
        <w:t xml:space="preserve">A document </w:t>
      </w:r>
      <w:proofErr w:type="gramStart"/>
      <w:r w:rsidRPr="00713CD9">
        <w:rPr>
          <w:rFonts w:ascii="Arial" w:hAnsi="Arial" w:cs="Arial"/>
          <w:sz w:val="20"/>
          <w:szCs w:val="20"/>
        </w:rPr>
        <w:t>on the basis of</w:t>
      </w:r>
      <w:proofErr w:type="gramEnd"/>
      <w:r w:rsidRPr="00713CD9">
        <w:rPr>
          <w:rFonts w:ascii="Arial" w:hAnsi="Arial" w:cs="Arial"/>
          <w:sz w:val="20"/>
          <w:szCs w:val="20"/>
        </w:rPr>
        <w:t xml:space="preserve"> which the shareholder's representative signs:</w:t>
      </w:r>
    </w:p>
    <w:p w:rsidR="008949DA" w:rsidRPr="00713CD9" w:rsidRDefault="008949DA" w:rsidP="008949DA">
      <w:pPr>
        <w:pBdr>
          <w:bottom w:val="single" w:sz="6" w:space="9" w:color="auto"/>
        </w:pBdr>
        <w:spacing w:line="228" w:lineRule="exact"/>
        <w:rPr>
          <w:rFonts w:ascii="Arial" w:hAnsi="Arial" w:cs="Arial"/>
          <w:sz w:val="20"/>
          <w:szCs w:val="20"/>
        </w:rPr>
      </w:pPr>
    </w:p>
    <w:p w:rsidR="000E525C" w:rsidRPr="00713CD9" w:rsidRDefault="000E525C" w:rsidP="008949DA">
      <w:pPr>
        <w:pBdr>
          <w:bottom w:val="single" w:sz="6" w:space="9" w:color="auto"/>
        </w:pBdr>
        <w:spacing w:line="228" w:lineRule="exact"/>
        <w:rPr>
          <w:rFonts w:ascii="Arial" w:hAnsi="Arial" w:cs="Arial"/>
          <w:sz w:val="20"/>
          <w:szCs w:val="20"/>
        </w:rPr>
      </w:pPr>
    </w:p>
    <w:sectPr w:rsidR="000E525C" w:rsidRPr="00713CD9" w:rsidSect="008C6C40">
      <w:headerReference w:type="first" r:id="rId8"/>
      <w:footerReference w:type="first" r:id="rId9"/>
      <w:pgSz w:w="11906" w:h="16838" w:code="9"/>
      <w:pgMar w:top="426" w:right="1134" w:bottom="284" w:left="1418" w:header="1134" w:footer="62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DBC" w:rsidRDefault="00AE3DBC">
      <w:r>
        <w:separator/>
      </w:r>
    </w:p>
  </w:endnote>
  <w:endnote w:type="continuationSeparator" w:id="0">
    <w:p w:rsidR="00AE3DBC" w:rsidRDefault="00AE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E32" w:rsidRDefault="00B64E32">
    <w:pPr>
      <w:pStyle w:val="Header"/>
      <w:tabs>
        <w:tab w:val="clear" w:pos="4819"/>
        <w:tab w:val="clear" w:pos="9638"/>
        <w:tab w:val="left" w:pos="567"/>
      </w:tabs>
      <w:rPr>
        <w:b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DBC" w:rsidRDefault="00AE3DBC">
      <w:r>
        <w:separator/>
      </w:r>
    </w:p>
  </w:footnote>
  <w:footnote w:type="continuationSeparator" w:id="0">
    <w:p w:rsidR="00AE3DBC" w:rsidRDefault="00AE3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E32" w:rsidRDefault="00B64E32">
    <w:pPr>
      <w:pStyle w:val="Header"/>
      <w:jc w:val="center"/>
      <w:rPr>
        <w:b/>
        <w:sz w:val="20"/>
        <w:szCs w:val="22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2A37"/>
    <w:multiLevelType w:val="multilevel"/>
    <w:tmpl w:val="721AD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C05CA"/>
    <w:multiLevelType w:val="multilevel"/>
    <w:tmpl w:val="9CCE20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E54B25"/>
    <w:multiLevelType w:val="hybridMultilevel"/>
    <w:tmpl w:val="7614681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E308B"/>
    <w:multiLevelType w:val="multilevel"/>
    <w:tmpl w:val="E2544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2B75E4"/>
    <w:multiLevelType w:val="multilevel"/>
    <w:tmpl w:val="955EB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234C2F"/>
    <w:multiLevelType w:val="hybridMultilevel"/>
    <w:tmpl w:val="63E0FB5E"/>
    <w:lvl w:ilvl="0" w:tplc="2FD2FDEE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06EAB"/>
    <w:multiLevelType w:val="hybridMultilevel"/>
    <w:tmpl w:val="63E0FB5E"/>
    <w:lvl w:ilvl="0" w:tplc="2FD2FDEE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A5EDB"/>
    <w:multiLevelType w:val="hybridMultilevel"/>
    <w:tmpl w:val="63E0FB5E"/>
    <w:lvl w:ilvl="0" w:tplc="2FD2FDEE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706"/>
    <w:rsid w:val="0005748C"/>
    <w:rsid w:val="0006611C"/>
    <w:rsid w:val="00076CB3"/>
    <w:rsid w:val="000B6706"/>
    <w:rsid w:val="000E2D29"/>
    <w:rsid w:val="000E525C"/>
    <w:rsid w:val="001152A7"/>
    <w:rsid w:val="001613FA"/>
    <w:rsid w:val="00170C60"/>
    <w:rsid w:val="001A6FEA"/>
    <w:rsid w:val="001B5C67"/>
    <w:rsid w:val="001C04E3"/>
    <w:rsid w:val="001C4492"/>
    <w:rsid w:val="001E1159"/>
    <w:rsid w:val="00224DDB"/>
    <w:rsid w:val="00237942"/>
    <w:rsid w:val="002B34D4"/>
    <w:rsid w:val="002C2CCE"/>
    <w:rsid w:val="002D3C9B"/>
    <w:rsid w:val="002F6ADB"/>
    <w:rsid w:val="003061E9"/>
    <w:rsid w:val="00321993"/>
    <w:rsid w:val="00336FEC"/>
    <w:rsid w:val="003564CB"/>
    <w:rsid w:val="003A02F7"/>
    <w:rsid w:val="003A3493"/>
    <w:rsid w:val="003F2CBF"/>
    <w:rsid w:val="00457366"/>
    <w:rsid w:val="00464F19"/>
    <w:rsid w:val="004731C5"/>
    <w:rsid w:val="004A4C06"/>
    <w:rsid w:val="004A4E56"/>
    <w:rsid w:val="004D5CEF"/>
    <w:rsid w:val="004E6160"/>
    <w:rsid w:val="004E6310"/>
    <w:rsid w:val="004E76CF"/>
    <w:rsid w:val="004F636A"/>
    <w:rsid w:val="005167E6"/>
    <w:rsid w:val="005255F6"/>
    <w:rsid w:val="00536819"/>
    <w:rsid w:val="0054438C"/>
    <w:rsid w:val="0055216E"/>
    <w:rsid w:val="00561F2A"/>
    <w:rsid w:val="00580BBC"/>
    <w:rsid w:val="00593AE6"/>
    <w:rsid w:val="005C7BAE"/>
    <w:rsid w:val="005E1F72"/>
    <w:rsid w:val="006346F5"/>
    <w:rsid w:val="00643AC6"/>
    <w:rsid w:val="006605F5"/>
    <w:rsid w:val="00666665"/>
    <w:rsid w:val="00691296"/>
    <w:rsid w:val="006F68F6"/>
    <w:rsid w:val="00713CD9"/>
    <w:rsid w:val="00724B78"/>
    <w:rsid w:val="007404C2"/>
    <w:rsid w:val="00777A42"/>
    <w:rsid w:val="0078029C"/>
    <w:rsid w:val="00791E04"/>
    <w:rsid w:val="0079651A"/>
    <w:rsid w:val="007E03B5"/>
    <w:rsid w:val="007F53C3"/>
    <w:rsid w:val="007F7F86"/>
    <w:rsid w:val="00822749"/>
    <w:rsid w:val="00843EC8"/>
    <w:rsid w:val="0088219A"/>
    <w:rsid w:val="00884BA8"/>
    <w:rsid w:val="008949DA"/>
    <w:rsid w:val="008A3587"/>
    <w:rsid w:val="008C6C40"/>
    <w:rsid w:val="008E67FC"/>
    <w:rsid w:val="008F4182"/>
    <w:rsid w:val="008F4809"/>
    <w:rsid w:val="0092457E"/>
    <w:rsid w:val="00926B0E"/>
    <w:rsid w:val="00956808"/>
    <w:rsid w:val="009575A1"/>
    <w:rsid w:val="00976343"/>
    <w:rsid w:val="0099588B"/>
    <w:rsid w:val="009D50C8"/>
    <w:rsid w:val="00A02661"/>
    <w:rsid w:val="00A2013B"/>
    <w:rsid w:val="00A22064"/>
    <w:rsid w:val="00A3430E"/>
    <w:rsid w:val="00A358A8"/>
    <w:rsid w:val="00A522CF"/>
    <w:rsid w:val="00A6007F"/>
    <w:rsid w:val="00A847E4"/>
    <w:rsid w:val="00A962E0"/>
    <w:rsid w:val="00AD248C"/>
    <w:rsid w:val="00AE3DBC"/>
    <w:rsid w:val="00AE6B51"/>
    <w:rsid w:val="00AE7002"/>
    <w:rsid w:val="00B05218"/>
    <w:rsid w:val="00B161DC"/>
    <w:rsid w:val="00B64E32"/>
    <w:rsid w:val="00B67F0F"/>
    <w:rsid w:val="00B7592A"/>
    <w:rsid w:val="00B777F4"/>
    <w:rsid w:val="00C26230"/>
    <w:rsid w:val="00C313A6"/>
    <w:rsid w:val="00C35D4E"/>
    <w:rsid w:val="00C6450C"/>
    <w:rsid w:val="00CB1AEB"/>
    <w:rsid w:val="00CC6280"/>
    <w:rsid w:val="00CC62D6"/>
    <w:rsid w:val="00CC62EF"/>
    <w:rsid w:val="00CD2C30"/>
    <w:rsid w:val="00CD5D3E"/>
    <w:rsid w:val="00CE7219"/>
    <w:rsid w:val="00CE79CF"/>
    <w:rsid w:val="00D119CE"/>
    <w:rsid w:val="00D1704F"/>
    <w:rsid w:val="00D66AB2"/>
    <w:rsid w:val="00D95CCD"/>
    <w:rsid w:val="00DA6AED"/>
    <w:rsid w:val="00DE24E5"/>
    <w:rsid w:val="00DF03F7"/>
    <w:rsid w:val="00E25AE2"/>
    <w:rsid w:val="00E3117E"/>
    <w:rsid w:val="00E31194"/>
    <w:rsid w:val="00E41E6D"/>
    <w:rsid w:val="00E425A5"/>
    <w:rsid w:val="00E656C4"/>
    <w:rsid w:val="00E93E0B"/>
    <w:rsid w:val="00E95A40"/>
    <w:rsid w:val="00EA4146"/>
    <w:rsid w:val="00EB5244"/>
    <w:rsid w:val="00EE6084"/>
    <w:rsid w:val="00F25CC5"/>
    <w:rsid w:val="00F74B59"/>
    <w:rsid w:val="00F87BEF"/>
    <w:rsid w:val="00FA7F95"/>
    <w:rsid w:val="00FC0074"/>
    <w:rsid w:val="00F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959965"/>
  <w15:chartTrackingRefBased/>
  <w15:docId w15:val="{1EDDD9BA-1DC3-4DDA-A6E2-4AF43020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6706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4BA8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884BA8"/>
    <w:pPr>
      <w:tabs>
        <w:tab w:val="center" w:pos="4819"/>
        <w:tab w:val="right" w:pos="9638"/>
      </w:tabs>
    </w:pPr>
  </w:style>
  <w:style w:type="character" w:styleId="Hyperlink">
    <w:name w:val="Hyperlink"/>
    <w:rsid w:val="00884B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5D4E"/>
    <w:rPr>
      <w:rFonts w:ascii="Tahoma" w:hAnsi="Tahoma" w:cs="Tahoma"/>
      <w:sz w:val="16"/>
      <w:szCs w:val="16"/>
      <w:lang w:val="en-GB" w:eastAsia="en-US"/>
    </w:rPr>
  </w:style>
  <w:style w:type="paragraph" w:styleId="BodyTextIndent">
    <w:name w:val="Body Text Indent"/>
    <w:basedOn w:val="Normal"/>
    <w:link w:val="BodyTextIndentChar"/>
    <w:rsid w:val="000B670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B6706"/>
    <w:rPr>
      <w:sz w:val="24"/>
      <w:szCs w:val="24"/>
      <w:lang w:val="en-GB" w:eastAsia="en-US"/>
    </w:rPr>
  </w:style>
  <w:style w:type="paragraph" w:styleId="HTMLPreformatted">
    <w:name w:val="HTML Preformatted"/>
    <w:basedOn w:val="Normal"/>
    <w:link w:val="HTMLPreformattedChar"/>
    <w:rsid w:val="000B6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link w:val="HTMLPreformatted"/>
    <w:rsid w:val="000B6706"/>
    <w:rPr>
      <w:rFonts w:ascii="Arial Unicode MS" w:eastAsia="Arial Unicode MS" w:hAnsi="Arial Unicode MS" w:cs="Arial Unicode MS"/>
      <w:lang w:val="en-GB" w:eastAsia="en-US"/>
    </w:rPr>
  </w:style>
  <w:style w:type="table" w:styleId="TableGrid">
    <w:name w:val="Table Grid"/>
    <w:basedOn w:val="TableNormal"/>
    <w:uiPriority w:val="39"/>
    <w:rsid w:val="00D11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49D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949DA"/>
    <w:rPr>
      <w:lang w:val="en-GB"/>
    </w:rPr>
  </w:style>
  <w:style w:type="character" w:styleId="FootnoteReference">
    <w:name w:val="footnote reference"/>
    <w:uiPriority w:val="99"/>
    <w:semiHidden/>
    <w:unhideWhenUsed/>
    <w:rsid w:val="008949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6450C"/>
    <w:pPr>
      <w:spacing w:line="240" w:lineRule="exact"/>
      <w:ind w:left="720"/>
      <w:contextualSpacing/>
    </w:pPr>
    <w:rPr>
      <w:rFonts w:ascii="Arial" w:eastAsia="Calibri" w:hAnsi="Arial"/>
      <w:color w:val="000000"/>
      <w:sz w:val="20"/>
      <w:szCs w:val="22"/>
      <w:lang w:val="lt-LT"/>
    </w:rPr>
  </w:style>
  <w:style w:type="character" w:styleId="Strong">
    <w:name w:val="Strong"/>
    <w:uiPriority w:val="22"/>
    <w:qFormat/>
    <w:rsid w:val="00D66AB2"/>
    <w:rPr>
      <w:b/>
      <w:bCs/>
    </w:rPr>
  </w:style>
  <w:style w:type="character" w:styleId="Emphasis">
    <w:name w:val="Emphasis"/>
    <w:uiPriority w:val="20"/>
    <w:qFormat/>
    <w:rsid w:val="00D66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GA_uzsienis_spalvo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13233-5C23-48CA-BA6B-40E85E9E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IGA_uzsienis_spalvotas</Template>
  <TotalTime>0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Kaip atrodo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Kaip atrodo</dc:title>
  <dc:subject/>
  <dc:creator>Alita</dc:creator>
  <cp:keywords/>
  <cp:lastModifiedBy>Tomas Staskunas, Novaturas</cp:lastModifiedBy>
  <cp:revision>2</cp:revision>
  <cp:lastPrinted>2012-09-10T08:48:00Z</cp:lastPrinted>
  <dcterms:created xsi:type="dcterms:W3CDTF">2020-06-05T11:12:00Z</dcterms:created>
  <dcterms:modified xsi:type="dcterms:W3CDTF">2020-06-05T11:12:00Z</dcterms:modified>
</cp:coreProperties>
</file>