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2B0E" w14:textId="13050C61" w:rsidR="00A74AD0" w:rsidRDefault="00A74AD0" w:rsidP="00B9037D">
      <w:pPr>
        <w:jc w:val="both"/>
        <w:rPr>
          <w:lang w:val="en-US"/>
        </w:rPr>
      </w:pPr>
    </w:p>
    <w:tbl>
      <w:tblPr>
        <w:tblW w:w="9773" w:type="dxa"/>
        <w:tblCellMar>
          <w:left w:w="0" w:type="dxa"/>
          <w:right w:w="0" w:type="dxa"/>
        </w:tblCellMar>
        <w:tblLook w:val="04A0" w:firstRow="1" w:lastRow="0" w:firstColumn="1" w:lastColumn="0" w:noHBand="0" w:noVBand="1"/>
      </w:tblPr>
      <w:tblGrid>
        <w:gridCol w:w="2224"/>
        <w:gridCol w:w="149"/>
        <w:gridCol w:w="7456"/>
        <w:gridCol w:w="251"/>
      </w:tblGrid>
      <w:tr w:rsidR="001547D4" w:rsidRPr="001547D4" w14:paraId="42FF8E13" w14:textId="77777777" w:rsidTr="00EB551E">
        <w:trPr>
          <w:trHeight w:val="390"/>
        </w:trPr>
        <w:tc>
          <w:tcPr>
            <w:tcW w:w="2149" w:type="dxa"/>
            <w:tcBorders>
              <w:top w:val="single" w:sz="6" w:space="0" w:color="606060"/>
              <w:left w:val="single" w:sz="6" w:space="0" w:color="606060"/>
              <w:bottom w:val="single" w:sz="6" w:space="0" w:color="606060"/>
              <w:right w:val="single" w:sz="6" w:space="0" w:color="606060"/>
            </w:tcBorders>
            <w:shd w:val="clear" w:color="auto" w:fill="FFFFFF"/>
            <w:tcMar>
              <w:top w:w="0" w:type="dxa"/>
              <w:left w:w="225" w:type="dxa"/>
              <w:bottom w:w="0" w:type="dxa"/>
              <w:right w:w="225" w:type="dxa"/>
            </w:tcMar>
            <w:vAlign w:val="center"/>
            <w:hideMark/>
          </w:tcPr>
          <w:p w14:paraId="3A1C265D" w14:textId="3675F738" w:rsidR="001547D4" w:rsidRPr="001547D4" w:rsidRDefault="001547D4" w:rsidP="00B9037D">
            <w:pPr>
              <w:jc w:val="both"/>
            </w:pPr>
          </w:p>
        </w:tc>
        <w:tc>
          <w:tcPr>
            <w:tcW w:w="154" w:type="dxa"/>
            <w:tcBorders>
              <w:top w:val="nil"/>
              <w:left w:val="nil"/>
              <w:bottom w:val="single" w:sz="6" w:space="0" w:color="888888"/>
              <w:right w:val="nil"/>
            </w:tcBorders>
            <w:vAlign w:val="center"/>
            <w:hideMark/>
          </w:tcPr>
          <w:p w14:paraId="64F89646" w14:textId="77777777" w:rsidR="001547D4" w:rsidRPr="001547D4" w:rsidRDefault="001547D4" w:rsidP="00B9037D">
            <w:pPr>
              <w:jc w:val="both"/>
            </w:pPr>
          </w:p>
        </w:tc>
        <w:tc>
          <w:tcPr>
            <w:tcW w:w="7190" w:type="dxa"/>
            <w:tcBorders>
              <w:top w:val="single" w:sz="6" w:space="0" w:color="FFA500"/>
              <w:left w:val="single" w:sz="6" w:space="0" w:color="AAAAAA"/>
              <w:bottom w:val="single" w:sz="6" w:space="0" w:color="FFFFFF"/>
              <w:right w:val="single" w:sz="6" w:space="0" w:color="AAAAAA"/>
            </w:tcBorders>
            <w:shd w:val="clear" w:color="auto" w:fill="FFFFFF"/>
            <w:tcMar>
              <w:top w:w="0" w:type="dxa"/>
              <w:left w:w="225" w:type="dxa"/>
              <w:bottom w:w="0" w:type="dxa"/>
              <w:right w:w="225" w:type="dxa"/>
            </w:tcMar>
            <w:vAlign w:val="center"/>
            <w:hideMark/>
          </w:tcPr>
          <w:p w14:paraId="2FA9E920" w14:textId="77777777" w:rsidR="001547D4" w:rsidRPr="001547D4" w:rsidRDefault="001547D4" w:rsidP="00B9037D">
            <w:pPr>
              <w:jc w:val="both"/>
            </w:pPr>
            <w:r w:rsidRPr="001547D4">
              <w:t>Lithuanian</w:t>
            </w:r>
          </w:p>
        </w:tc>
        <w:tc>
          <w:tcPr>
            <w:tcW w:w="280" w:type="dxa"/>
            <w:tcBorders>
              <w:top w:val="nil"/>
              <w:left w:val="nil"/>
              <w:bottom w:val="single" w:sz="6" w:space="0" w:color="888888"/>
              <w:right w:val="nil"/>
            </w:tcBorders>
            <w:vAlign w:val="center"/>
            <w:hideMark/>
          </w:tcPr>
          <w:p w14:paraId="24614778" w14:textId="77777777" w:rsidR="001547D4" w:rsidRPr="001547D4" w:rsidRDefault="001547D4" w:rsidP="00B9037D">
            <w:pPr>
              <w:jc w:val="both"/>
            </w:pPr>
          </w:p>
        </w:tc>
      </w:tr>
      <w:tr w:rsidR="001547D4" w:rsidRPr="001547D4" w14:paraId="71B7DDE7" w14:textId="77777777" w:rsidTr="00EB551E">
        <w:tblPrEx>
          <w:tblCellSpacing w:w="0" w:type="dxa"/>
          <w:tblBorders>
            <w:top w:val="single" w:sz="6" w:space="0" w:color="000000"/>
            <w:left w:val="single" w:sz="6" w:space="0" w:color="000000"/>
            <w:bottom w:val="single" w:sz="6" w:space="0" w:color="000000"/>
            <w:right w:val="single" w:sz="6" w:space="0" w:color="000000"/>
          </w:tblBorders>
        </w:tblPrEx>
        <w:trPr>
          <w:tblCellSpacing w:w="0" w:type="dxa"/>
        </w:trPr>
        <w:tc>
          <w:tcPr>
            <w:tcW w:w="9773" w:type="dxa"/>
            <w:gridSpan w:val="4"/>
            <w:tcMar>
              <w:top w:w="150" w:type="dxa"/>
              <w:left w:w="150" w:type="dxa"/>
              <w:bottom w:w="150" w:type="dxa"/>
              <w:right w:w="150" w:type="dxa"/>
            </w:tcMar>
            <w:hideMark/>
          </w:tcPr>
          <w:tbl>
            <w:tblPr>
              <w:tblW w:w="9750" w:type="dxa"/>
              <w:tblCellSpacing w:w="0" w:type="dxa"/>
              <w:tblCellMar>
                <w:top w:w="100" w:type="dxa"/>
                <w:left w:w="100" w:type="dxa"/>
                <w:bottom w:w="100" w:type="dxa"/>
                <w:right w:w="100" w:type="dxa"/>
              </w:tblCellMar>
              <w:tblLook w:val="04A0" w:firstRow="1" w:lastRow="0" w:firstColumn="1" w:lastColumn="0" w:noHBand="0" w:noVBand="1"/>
            </w:tblPr>
            <w:tblGrid>
              <w:gridCol w:w="9750"/>
            </w:tblGrid>
            <w:tr w:rsidR="001547D4" w:rsidRPr="001547D4" w14:paraId="7E691FCF" w14:textId="77777777">
              <w:trPr>
                <w:tblCellSpacing w:w="0" w:type="dxa"/>
              </w:trPr>
              <w:tc>
                <w:tcPr>
                  <w:tcW w:w="0" w:type="auto"/>
                  <w:vAlign w:val="center"/>
                  <w:hideMark/>
                </w:tcPr>
                <w:p w14:paraId="60FA53AE" w14:textId="77777777" w:rsidR="001547D4" w:rsidRPr="001547D4" w:rsidRDefault="001547D4" w:rsidP="00B9037D">
                  <w:pPr>
                    <w:jc w:val="both"/>
                  </w:pPr>
                </w:p>
              </w:tc>
            </w:tr>
            <w:tr w:rsidR="001547D4" w:rsidRPr="001547D4" w14:paraId="0204D4FE" w14:textId="77777777">
              <w:trPr>
                <w:tblCellSpacing w:w="0" w:type="dxa"/>
              </w:trPr>
              <w:tc>
                <w:tcPr>
                  <w:tcW w:w="0" w:type="auto"/>
                  <w:vAlign w:val="center"/>
                  <w:hideMark/>
                </w:tcPr>
                <w:p w14:paraId="21F65418" w14:textId="07F25993" w:rsidR="001547D4" w:rsidRPr="001547D4" w:rsidRDefault="001547D4" w:rsidP="00B9037D">
                  <w:pPr>
                    <w:jc w:val="both"/>
                    <w:rPr>
                      <w:b/>
                      <w:bCs/>
                    </w:rPr>
                  </w:pPr>
                  <w:r w:rsidRPr="001547D4">
                    <w:rPr>
                      <w:b/>
                      <w:bCs/>
                    </w:rPr>
                    <w:t xml:space="preserve">Paskelbta: </w:t>
                  </w:r>
                  <w:r w:rsidR="00816FF5">
                    <w:rPr>
                      <w:b/>
                      <w:bCs/>
                    </w:rPr>
                    <w:t>___________</w:t>
                  </w:r>
                </w:p>
              </w:tc>
            </w:tr>
            <w:tr w:rsidR="001547D4" w:rsidRPr="001547D4" w14:paraId="1A15C857" w14:textId="77777777">
              <w:trPr>
                <w:tblCellSpacing w:w="0" w:type="dxa"/>
              </w:trPr>
              <w:tc>
                <w:tcPr>
                  <w:tcW w:w="0" w:type="auto"/>
                  <w:vAlign w:val="center"/>
                  <w:hideMark/>
                </w:tcPr>
                <w:tbl>
                  <w:tblPr>
                    <w:tblW w:w="9450" w:type="dxa"/>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9450"/>
                  </w:tblGrid>
                  <w:tr w:rsidR="001547D4" w:rsidRPr="001547D4" w14:paraId="5A396723" w14:textId="77777777">
                    <w:trPr>
                      <w:tblCellSpacing w:w="15" w:type="dxa"/>
                    </w:trPr>
                    <w:tc>
                      <w:tcPr>
                        <w:tcW w:w="0" w:type="auto"/>
                        <w:shd w:val="clear" w:color="auto" w:fill="FFFFFF"/>
                        <w:hideMark/>
                      </w:tcPr>
                      <w:p w14:paraId="0E6BD790" w14:textId="1B641A5E" w:rsidR="001547D4" w:rsidRPr="001547D4" w:rsidRDefault="00816FF5" w:rsidP="00B9037D">
                        <w:pPr>
                          <w:jc w:val="both"/>
                        </w:pPr>
                        <w:r w:rsidRPr="00816FF5">
                          <w:rPr>
                            <w:noProof/>
                          </w:rPr>
                          <w:drawing>
                            <wp:inline distT="0" distB="0" distL="0" distR="0" wp14:anchorId="43FE7107" wp14:editId="3F899EB9">
                              <wp:extent cx="2355850" cy="1113877"/>
                              <wp:effectExtent l="0" t="0" r="6350" b="0"/>
                              <wp:docPr id="1133902924"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8301" cy="1115036"/>
                                      </a:xfrm>
                                      <a:prstGeom prst="rect">
                                        <a:avLst/>
                                      </a:prstGeom>
                                      <a:noFill/>
                                      <a:ln>
                                        <a:noFill/>
                                      </a:ln>
                                    </pic:spPr>
                                  </pic:pic>
                                </a:graphicData>
                              </a:graphic>
                            </wp:inline>
                          </w:drawing>
                        </w:r>
                      </w:p>
                    </w:tc>
                  </w:tr>
                  <w:tr w:rsidR="001547D4" w:rsidRPr="001547D4" w14:paraId="30EEB56F" w14:textId="77777777">
                    <w:trPr>
                      <w:tblCellSpacing w:w="15" w:type="dxa"/>
                    </w:trPr>
                    <w:tc>
                      <w:tcPr>
                        <w:tcW w:w="0" w:type="auto"/>
                        <w:shd w:val="clear" w:color="auto" w:fill="FFFFFF"/>
                        <w:vAlign w:val="center"/>
                        <w:hideMark/>
                      </w:tcPr>
                      <w:p w14:paraId="6736808E" w14:textId="406748A1" w:rsidR="001547D4" w:rsidRPr="001547D4" w:rsidRDefault="00816FF5" w:rsidP="00B9037D">
                        <w:pPr>
                          <w:rPr>
                            <w:b/>
                            <w:bCs/>
                          </w:rPr>
                        </w:pPr>
                        <w:r>
                          <w:rPr>
                            <w:b/>
                            <w:bCs/>
                          </w:rPr>
                          <w:t>AB „Amber Grid“</w:t>
                        </w:r>
                        <w:r w:rsidR="001547D4" w:rsidRPr="001547D4">
                          <w:rPr>
                            <w:b/>
                            <w:bCs/>
                          </w:rPr>
                          <w:br/>
                        </w:r>
                        <w:r w:rsidR="004E4908">
                          <w:rPr>
                            <w:b/>
                            <w:bCs/>
                          </w:rPr>
                          <w:t>Neeilinis v</w:t>
                        </w:r>
                        <w:r w:rsidR="001547D4" w:rsidRPr="001547D4">
                          <w:rPr>
                            <w:b/>
                            <w:bCs/>
                          </w:rPr>
                          <w:t>isuotinis akcininkų susirinkimas</w:t>
                        </w:r>
                      </w:p>
                    </w:tc>
                  </w:tr>
                  <w:tr w:rsidR="001547D4" w:rsidRPr="001547D4" w14:paraId="0DA694F6" w14:textId="77777777">
                    <w:trPr>
                      <w:tblCellSpacing w:w="15" w:type="dxa"/>
                    </w:trPr>
                    <w:tc>
                      <w:tcPr>
                        <w:tcW w:w="0" w:type="auto"/>
                        <w:shd w:val="clear" w:color="auto" w:fill="FFFFFF"/>
                        <w:vAlign w:val="center"/>
                        <w:hideMark/>
                      </w:tcPr>
                      <w:p w14:paraId="50B321BD" w14:textId="47DD7970" w:rsidR="001547D4" w:rsidRPr="001547D4" w:rsidRDefault="001547D4" w:rsidP="00B9037D">
                        <w:pPr>
                          <w:jc w:val="both"/>
                          <w:rPr>
                            <w:b/>
                            <w:bCs/>
                          </w:rPr>
                        </w:pPr>
                        <w:r w:rsidRPr="001547D4">
                          <w:rPr>
                            <w:b/>
                            <w:bCs/>
                          </w:rPr>
                          <w:t xml:space="preserve">Pranešimas apie </w:t>
                        </w:r>
                        <w:r w:rsidR="00093C30" w:rsidRPr="00093C30">
                          <w:rPr>
                            <w:b/>
                            <w:bCs/>
                          </w:rPr>
                          <w:t>AB „Amber Grid“</w:t>
                        </w:r>
                        <w:r w:rsidRPr="001547D4">
                          <w:rPr>
                            <w:b/>
                            <w:bCs/>
                          </w:rPr>
                          <w:t xml:space="preserve"> </w:t>
                        </w:r>
                        <w:r w:rsidR="00E968E9">
                          <w:rPr>
                            <w:b/>
                            <w:bCs/>
                          </w:rPr>
                          <w:t>ne</w:t>
                        </w:r>
                        <w:r w:rsidRPr="001547D4">
                          <w:rPr>
                            <w:b/>
                            <w:bCs/>
                          </w:rPr>
                          <w:t>eilinio visuotinio akcininkų susirinkimo sušaukimą</w:t>
                        </w:r>
                      </w:p>
                      <w:p w14:paraId="03223544" w14:textId="11B328DE" w:rsidR="001547D4" w:rsidRPr="001547D4" w:rsidRDefault="00093C30" w:rsidP="00B9037D">
                        <w:pPr>
                          <w:jc w:val="both"/>
                        </w:pPr>
                        <w:r w:rsidRPr="00093C30">
                          <w:t>AB „Amber Grid“</w:t>
                        </w:r>
                        <w:r w:rsidR="001547D4" w:rsidRPr="001547D4">
                          <w:t xml:space="preserve"> (įmonės kodas </w:t>
                        </w:r>
                        <w:r w:rsidRPr="00093C30">
                          <w:t>303090867</w:t>
                        </w:r>
                        <w:r w:rsidR="001547D4" w:rsidRPr="001547D4">
                          <w:t xml:space="preserve">, registruotos buveinės adresas </w:t>
                        </w:r>
                        <w:r w:rsidR="0073577F" w:rsidRPr="0073577F">
                          <w:t>Laisvės pr. 10, LT-04215 Vilnius, Lietuva</w:t>
                        </w:r>
                        <w:r w:rsidR="001547D4" w:rsidRPr="001547D4">
                          <w:t xml:space="preserve">) (toliau – </w:t>
                        </w:r>
                        <w:r w:rsidR="00700B3E">
                          <w:t>„</w:t>
                        </w:r>
                        <w:r w:rsidR="0073577F">
                          <w:t>Amber Grid</w:t>
                        </w:r>
                        <w:r w:rsidR="00700B3E">
                          <w:t>“</w:t>
                        </w:r>
                        <w:r w:rsidR="001547D4" w:rsidRPr="001547D4">
                          <w:t>, Bendrovė) valdybos iniciatyva ir sprendimu 202</w:t>
                        </w:r>
                        <w:r w:rsidR="00630F5F">
                          <w:t>6</w:t>
                        </w:r>
                        <w:r w:rsidR="001547D4" w:rsidRPr="001547D4">
                          <w:t xml:space="preserve"> m. </w:t>
                        </w:r>
                        <w:r w:rsidR="00630F5F">
                          <w:t>sausio 9</w:t>
                        </w:r>
                        <w:r w:rsidR="001547D4" w:rsidRPr="001547D4">
                          <w:t xml:space="preserve"> d. 10.00 val. Bendrovės buveinėje (adresas </w:t>
                        </w:r>
                        <w:r w:rsidR="002A7752" w:rsidRPr="0073577F">
                          <w:t>Laisvės pr. 10, LT-04215 Vilnius, Lietuva</w:t>
                        </w:r>
                        <w:r w:rsidR="001547D4" w:rsidRPr="001547D4">
                          <w:t xml:space="preserve">) šaukiamas </w:t>
                        </w:r>
                        <w:r w:rsidR="00700B3E">
                          <w:t>„</w:t>
                        </w:r>
                        <w:r w:rsidR="002A7752">
                          <w:t>Amber Grid</w:t>
                        </w:r>
                        <w:r w:rsidR="00700B3E">
                          <w:t>“</w:t>
                        </w:r>
                        <w:r w:rsidR="001547D4" w:rsidRPr="001547D4">
                          <w:t xml:space="preserve"> </w:t>
                        </w:r>
                        <w:r w:rsidR="008717E9">
                          <w:t>ne</w:t>
                        </w:r>
                        <w:r w:rsidR="001547D4" w:rsidRPr="001547D4">
                          <w:t>eilinis visuotinis akcininkų susirinkimas.</w:t>
                        </w:r>
                      </w:p>
                      <w:p w14:paraId="526230DE" w14:textId="254C0706" w:rsidR="001547D4" w:rsidRPr="001547D4" w:rsidRDefault="00700B3E" w:rsidP="00B9037D">
                        <w:pPr>
                          <w:jc w:val="both"/>
                        </w:pPr>
                        <w:r>
                          <w:t>„</w:t>
                        </w:r>
                        <w:r w:rsidR="002A7752">
                          <w:t>Amber Grid</w:t>
                        </w:r>
                        <w:r>
                          <w:t>“</w:t>
                        </w:r>
                        <w:r w:rsidR="002A7752" w:rsidRPr="001547D4">
                          <w:t xml:space="preserve"> </w:t>
                        </w:r>
                        <w:r w:rsidR="00E968E9">
                          <w:t>ne</w:t>
                        </w:r>
                        <w:r w:rsidR="001547D4" w:rsidRPr="001547D4">
                          <w:t>eilinio visuotinio akcininkų susirinkimo darbotvarkė:</w:t>
                        </w:r>
                      </w:p>
                      <w:p w14:paraId="4C65FBC9" w14:textId="77777777" w:rsidR="00B72D10" w:rsidRPr="00B72D10" w:rsidRDefault="001547D4" w:rsidP="00B72D10">
                        <w:pPr>
                          <w:jc w:val="both"/>
                          <w:rPr>
                            <w:b/>
                            <w:bCs/>
                          </w:rPr>
                        </w:pPr>
                        <w:r w:rsidRPr="008E728D">
                          <w:rPr>
                            <w:b/>
                            <w:bCs/>
                          </w:rPr>
                          <w:t xml:space="preserve">1) </w:t>
                        </w:r>
                        <w:r w:rsidR="00B72D10" w:rsidRPr="00B72D10">
                          <w:rPr>
                            <w:b/>
                            <w:bCs/>
                          </w:rPr>
                          <w:t xml:space="preserve">Dėl AB „Amber Grid“ audito įmonės išrinkimo ir audito paslaugų apmokėjimo sąlygų </w:t>
                        </w:r>
                      </w:p>
                      <w:p w14:paraId="4BBFB946" w14:textId="7F79242F" w:rsidR="008F18DD" w:rsidRDefault="00B72D10" w:rsidP="00B72D10">
                        <w:pPr>
                          <w:jc w:val="both"/>
                          <w:rPr>
                            <w:b/>
                            <w:bCs/>
                          </w:rPr>
                        </w:pPr>
                        <w:r w:rsidRPr="00B72D10">
                          <w:rPr>
                            <w:b/>
                            <w:bCs/>
                          </w:rPr>
                          <w:t>nustatymo 2026-2028 metams</w:t>
                        </w:r>
                        <w:r w:rsidR="008F18DD" w:rsidRPr="008F18DD">
                          <w:rPr>
                            <w:b/>
                            <w:bCs/>
                          </w:rPr>
                          <w:t xml:space="preserve"> </w:t>
                        </w:r>
                      </w:p>
                      <w:p w14:paraId="509151F0" w14:textId="7BFE34D3" w:rsidR="001547D4" w:rsidRPr="001547D4" w:rsidRDefault="001547D4" w:rsidP="00B9037D">
                        <w:pPr>
                          <w:jc w:val="both"/>
                        </w:pPr>
                        <w:r w:rsidRPr="001547D4">
                          <w:t>Akcininkų registracijos pradžia: 202</w:t>
                        </w:r>
                        <w:r w:rsidR="009E4B9C">
                          <w:t>6</w:t>
                        </w:r>
                        <w:r w:rsidRPr="001547D4">
                          <w:t xml:space="preserve"> m. </w:t>
                        </w:r>
                        <w:r w:rsidR="009E4B9C">
                          <w:t>sausio</w:t>
                        </w:r>
                        <w:r w:rsidR="00E22319">
                          <w:t xml:space="preserve"> </w:t>
                        </w:r>
                        <w:r w:rsidR="009E4B9C">
                          <w:t>9</w:t>
                        </w:r>
                        <w:r w:rsidRPr="001547D4">
                          <w:t xml:space="preserve"> d. 9.30 val.</w:t>
                        </w:r>
                        <w:r w:rsidRPr="001547D4">
                          <w:br/>
                          <w:t>Akcininkų registracijos pabaiga: 202</w:t>
                        </w:r>
                        <w:r w:rsidR="00EA5CE6">
                          <w:t>6</w:t>
                        </w:r>
                        <w:r w:rsidRPr="001547D4">
                          <w:t xml:space="preserve"> m. </w:t>
                        </w:r>
                        <w:r w:rsidR="00EA5CE6">
                          <w:t>sausio</w:t>
                        </w:r>
                        <w:r w:rsidR="00E22319">
                          <w:t xml:space="preserve"> </w:t>
                        </w:r>
                        <w:r w:rsidR="00E571CC">
                          <w:t>9</w:t>
                        </w:r>
                        <w:r w:rsidRPr="001547D4">
                          <w:t xml:space="preserve"> d. 9.</w:t>
                        </w:r>
                        <w:r w:rsidR="00821A95">
                          <w:t>4</w:t>
                        </w:r>
                        <w:r w:rsidRPr="001547D4">
                          <w:t>5 val.</w:t>
                        </w:r>
                      </w:p>
                      <w:p w14:paraId="72013D6D" w14:textId="13CD6B47" w:rsidR="001547D4" w:rsidRPr="001547D4" w:rsidRDefault="001547D4" w:rsidP="00B9037D">
                        <w:pPr>
                          <w:jc w:val="both"/>
                        </w:pPr>
                        <w:r w:rsidRPr="001547D4">
                          <w:t>Neeilinio visuotinio akcininkų susirinkimo apskaitos diena: 202</w:t>
                        </w:r>
                        <w:r w:rsidR="00D64AD8">
                          <w:t>6</w:t>
                        </w:r>
                        <w:r w:rsidRPr="001547D4">
                          <w:t xml:space="preserve"> m. </w:t>
                        </w:r>
                        <w:r w:rsidR="008E1A8B">
                          <w:t>sausio 2</w:t>
                        </w:r>
                        <w:r w:rsidRPr="001547D4">
                          <w:t xml:space="preserve"> d. Dalyvauti ir balsuoti neeiliniame visuotiniame akcininkų susirinkime turi teisę tik tie asmenys, kurie yra </w:t>
                        </w:r>
                        <w:r w:rsidR="00ED2AFA">
                          <w:t>„</w:t>
                        </w:r>
                        <w:r w:rsidR="003B3760">
                          <w:t>Amber Grid</w:t>
                        </w:r>
                        <w:r w:rsidR="00ED2AFA">
                          <w:t>“</w:t>
                        </w:r>
                        <w:r w:rsidR="003B3760" w:rsidRPr="001547D4">
                          <w:t xml:space="preserve"> </w:t>
                        </w:r>
                        <w:r w:rsidRPr="001547D4">
                          <w:t>akcininkai neeilinio visuotinio akcininkų susirinkimo apskaitos dienos pabaigoje.</w:t>
                        </w:r>
                      </w:p>
                      <w:p w14:paraId="349E6540" w14:textId="615F2C58" w:rsidR="001547D4" w:rsidRPr="001547D4" w:rsidRDefault="001547D4" w:rsidP="00B9037D">
                        <w:pPr>
                          <w:jc w:val="both"/>
                        </w:pPr>
                        <w:r w:rsidRPr="001547D4">
                          <w:t xml:space="preserve">Asmuo, dalyvaujantis </w:t>
                        </w:r>
                        <w:r w:rsidR="0019040C">
                          <w:t xml:space="preserve">neeiliniame </w:t>
                        </w:r>
                        <w:r w:rsidRPr="001547D4">
                          <w:t xml:space="preserve">visuotiniame akcininkų susirinkime ir turintis teisę balsuoti, turi pateikti asmens tapatybę patvirtinantį dokumentą. Asmuo, kuris nėra akcininkas, be minėto dokumento, turi pateikti dokumentą, patvirtinantį teisę balsuoti </w:t>
                        </w:r>
                        <w:r w:rsidR="0019040C">
                          <w:t xml:space="preserve">neeiliniame </w:t>
                        </w:r>
                        <w:r w:rsidRPr="001547D4">
                          <w:t>visuotiniame akcininkų susirinkime.</w:t>
                        </w:r>
                      </w:p>
                      <w:p w14:paraId="3B9F1C65" w14:textId="3C1A31BA" w:rsidR="001547D4" w:rsidRPr="001547D4" w:rsidRDefault="001547D4" w:rsidP="00B9037D">
                        <w:pPr>
                          <w:jc w:val="both"/>
                        </w:pPr>
                        <w:r w:rsidRPr="001547D4">
                          <w:lastRenderedPageBreak/>
                          <w:t xml:space="preserve">Galimybė dalyvauti ir balsuoti </w:t>
                        </w:r>
                        <w:r w:rsidR="000E3CF3">
                          <w:t xml:space="preserve">neeiliniame </w:t>
                        </w:r>
                        <w:r w:rsidRPr="001547D4">
                          <w:t>visuotiniame akcininkų susirinkime elektroninių ryšių priemonėmis nesudaroma.</w:t>
                        </w:r>
                      </w:p>
                      <w:p w14:paraId="621127DB" w14:textId="2D49F138" w:rsidR="001547D4" w:rsidRDefault="00777A53" w:rsidP="00B9037D">
                        <w:pPr>
                          <w:jc w:val="both"/>
                        </w:pPr>
                        <w:r>
                          <w:t>„</w:t>
                        </w:r>
                        <w:r w:rsidR="00F512A9">
                          <w:t>Amber Grid</w:t>
                        </w:r>
                        <w:r>
                          <w:t>“</w:t>
                        </w:r>
                        <w:r w:rsidR="00F512A9" w:rsidRPr="001547D4">
                          <w:t xml:space="preserve"> </w:t>
                        </w:r>
                        <w:r w:rsidR="001547D4" w:rsidRPr="001547D4">
                          <w:t>valdyba 202</w:t>
                        </w:r>
                        <w:r w:rsidR="00F512A9">
                          <w:t>5</w:t>
                        </w:r>
                        <w:r w:rsidR="001547D4" w:rsidRPr="001547D4">
                          <w:t xml:space="preserve"> m. </w:t>
                        </w:r>
                        <w:r w:rsidR="006E0DC3">
                          <w:t>gruodžio 1</w:t>
                        </w:r>
                        <w:r w:rsidR="00630F5F">
                          <w:t>8</w:t>
                        </w:r>
                        <w:r w:rsidR="00EB551E">
                          <w:t xml:space="preserve"> </w:t>
                        </w:r>
                        <w:r w:rsidR="001547D4" w:rsidRPr="001547D4">
                          <w:t>d. pritarė neeilinio visuotinio akcininkų susirinkimo darbotvarkei bei susirinkimo sprendim</w:t>
                        </w:r>
                        <w:r w:rsidR="005B21E0">
                          <w:t>ų</w:t>
                        </w:r>
                        <w:r w:rsidR="001547D4" w:rsidRPr="001547D4">
                          <w:t xml:space="preserve"> projektui:</w:t>
                        </w:r>
                      </w:p>
                      <w:p w14:paraId="4C81E6A1" w14:textId="6EF09139" w:rsidR="00C30FE8" w:rsidRPr="00C30FE8" w:rsidRDefault="00935991" w:rsidP="00C30FE8">
                        <w:pPr>
                          <w:jc w:val="both"/>
                          <w:rPr>
                            <w:b/>
                            <w:bCs/>
                          </w:rPr>
                        </w:pPr>
                        <w:r w:rsidRPr="008E728D">
                          <w:rPr>
                            <w:b/>
                            <w:bCs/>
                          </w:rPr>
                          <w:t xml:space="preserve">1) </w:t>
                        </w:r>
                        <w:r w:rsidR="00C30FE8" w:rsidRPr="00C30FE8">
                          <w:rPr>
                            <w:b/>
                            <w:bCs/>
                          </w:rPr>
                          <w:t xml:space="preserve">Dėl AB „Amber Grid“ audito įmonės išrinkimo ir audito paslaugų apmokėjimo sąlygų </w:t>
                        </w:r>
                      </w:p>
                      <w:p w14:paraId="6AF8E648" w14:textId="2E799CB6" w:rsidR="00935991" w:rsidRDefault="00C30FE8" w:rsidP="00C30FE8">
                        <w:pPr>
                          <w:jc w:val="both"/>
                          <w:rPr>
                            <w:b/>
                            <w:bCs/>
                          </w:rPr>
                        </w:pPr>
                        <w:r w:rsidRPr="00C30FE8">
                          <w:rPr>
                            <w:b/>
                            <w:bCs/>
                          </w:rPr>
                          <w:t>nustatymo 2026-2028 metams</w:t>
                        </w:r>
                      </w:p>
                      <w:p w14:paraId="1543E213" w14:textId="5D0B18C0" w:rsidR="00504582" w:rsidRDefault="00504582" w:rsidP="00B9037D">
                        <w:pPr>
                          <w:jc w:val="both"/>
                          <w:rPr>
                            <w:i/>
                            <w:iCs/>
                          </w:rPr>
                        </w:pPr>
                        <w:r>
                          <w:rPr>
                            <w:i/>
                            <w:iCs/>
                          </w:rPr>
                          <w:t>Sprendimo projektas:</w:t>
                        </w:r>
                      </w:p>
                      <w:p w14:paraId="06DCF791" w14:textId="517F86CF" w:rsidR="00E23974" w:rsidRPr="00E23974" w:rsidRDefault="00504582" w:rsidP="00E23974">
                        <w:pPr>
                          <w:tabs>
                            <w:tab w:val="left" w:pos="415"/>
                          </w:tabs>
                          <w:jc w:val="both"/>
                          <w:rPr>
                            <w:rFonts w:cs="Tahoma"/>
                            <w:i/>
                            <w:iCs/>
                          </w:rPr>
                        </w:pPr>
                        <w:r w:rsidRPr="00504582">
                          <w:rPr>
                            <w:i/>
                            <w:iCs/>
                          </w:rPr>
                          <w:t>„</w:t>
                        </w:r>
                        <w:r w:rsidR="00E23974" w:rsidRPr="00E23974">
                          <w:rPr>
                            <w:rFonts w:cs="Tahoma"/>
                            <w:i/>
                            <w:iCs/>
                          </w:rPr>
                          <w:t xml:space="preserve">1. Audito įmone, kuri atliks 2026 </w:t>
                        </w:r>
                        <w:r w:rsidR="00F22A38">
                          <w:rPr>
                            <w:rFonts w:cs="Tahoma"/>
                            <w:i/>
                            <w:iCs/>
                          </w:rPr>
                          <w:t xml:space="preserve">– </w:t>
                        </w:r>
                        <w:r w:rsidR="00E23974" w:rsidRPr="00E23974">
                          <w:rPr>
                            <w:rFonts w:cs="Tahoma"/>
                            <w:i/>
                            <w:iCs/>
                          </w:rPr>
                          <w:t xml:space="preserve">2028 m. AB „Amber Grid“ finansinių ataskaitų, parengtų pagal tarptautinius finansinės atskaitomybės standartus, priimtus taikyti Europos Sąjungoje, rinkinio bei vadovybės ataskaitos auditą, išrinkti KPMG </w:t>
                        </w:r>
                        <w:proofErr w:type="spellStart"/>
                        <w:r w:rsidR="00E23974" w:rsidRPr="00E23974">
                          <w:rPr>
                            <w:rFonts w:cs="Tahoma"/>
                            <w:i/>
                            <w:iCs/>
                          </w:rPr>
                          <w:t>Baltics</w:t>
                        </w:r>
                        <w:proofErr w:type="spellEnd"/>
                        <w:r w:rsidR="00E23974" w:rsidRPr="00E23974">
                          <w:rPr>
                            <w:rFonts w:cs="Tahoma"/>
                            <w:i/>
                            <w:iCs/>
                          </w:rPr>
                          <w:t>, UAB, kodas 111494971</w:t>
                        </w:r>
                        <w:r w:rsidR="00FD2D76">
                          <w:rPr>
                            <w:rFonts w:cs="Tahoma"/>
                            <w:i/>
                            <w:iCs/>
                          </w:rPr>
                          <w:t>.</w:t>
                        </w:r>
                      </w:p>
                      <w:p w14:paraId="2C8E5252" w14:textId="1C2C7998" w:rsidR="00935991" w:rsidRPr="005226F7" w:rsidRDefault="00E23974" w:rsidP="00E23974">
                        <w:pPr>
                          <w:tabs>
                            <w:tab w:val="left" w:pos="415"/>
                          </w:tabs>
                          <w:jc w:val="both"/>
                          <w:rPr>
                            <w:i/>
                            <w:iCs/>
                          </w:rPr>
                        </w:pPr>
                        <w:r w:rsidRPr="00E23974">
                          <w:rPr>
                            <w:rFonts w:cs="Tahoma"/>
                            <w:i/>
                            <w:iCs/>
                          </w:rPr>
                          <w:t>2. Nustatyti ne didesnį kaip 385</w:t>
                        </w:r>
                        <w:r w:rsidR="00FD2D76">
                          <w:rPr>
                            <w:rFonts w:cs="Tahoma"/>
                            <w:i/>
                            <w:iCs/>
                          </w:rPr>
                          <w:t> </w:t>
                        </w:r>
                        <w:r w:rsidRPr="00E23974">
                          <w:rPr>
                            <w:rFonts w:cs="Tahoma"/>
                            <w:i/>
                            <w:iCs/>
                          </w:rPr>
                          <w:t>875</w:t>
                        </w:r>
                        <w:r w:rsidR="00FD2D76">
                          <w:rPr>
                            <w:rFonts w:cs="Tahoma"/>
                            <w:i/>
                            <w:iCs/>
                          </w:rPr>
                          <w:t xml:space="preserve"> </w:t>
                        </w:r>
                        <w:r w:rsidRPr="00E23974">
                          <w:rPr>
                            <w:rFonts w:cs="Tahoma"/>
                            <w:i/>
                            <w:iCs/>
                          </w:rPr>
                          <w:t>Eur (neįskaitant PVM) atlyginimą už šio sprendimo 1.1 punkte nurodytų audito paslaugų už 2026 - 2028 m. laikotarpį atlikimą</w:t>
                        </w:r>
                        <w:r w:rsidR="00EA0AA2">
                          <w:rPr>
                            <w:rFonts w:cs="Tahoma"/>
                            <w:i/>
                            <w:iCs/>
                          </w:rPr>
                          <w:t>.</w:t>
                        </w:r>
                        <w:r w:rsidR="005226F7" w:rsidRPr="005226F7">
                          <w:rPr>
                            <w:i/>
                            <w:iCs/>
                          </w:rPr>
                          <w:t>”</w:t>
                        </w:r>
                      </w:p>
                      <w:p w14:paraId="2CFD1171" w14:textId="4A4C6BC4" w:rsidR="001547D4" w:rsidRPr="001547D4" w:rsidRDefault="001547D4" w:rsidP="00B9037D">
                        <w:pPr>
                          <w:jc w:val="both"/>
                        </w:pPr>
                        <w:r w:rsidRPr="001547D4">
                          <w:t>Su visuotinio akcininkų susirinkimo sprendimų projektais bei kita papildoma medžiaga, susijusia su visuotiniu akcininkų susirinkimu ir akcininkų teisių įgyvendinimu, Bendrovės akcininkai gali susipažinti Centrinės reglamentuojamos informacijos bazėje</w:t>
                        </w:r>
                        <w:r w:rsidR="005226F7">
                          <w:t xml:space="preserve"> </w:t>
                        </w:r>
                        <w:hyperlink r:id="rId9" w:tgtFrame="_blank" w:history="1">
                          <w:r w:rsidRPr="001547D4">
                            <w:rPr>
                              <w:rStyle w:val="Hyperlink"/>
                            </w:rPr>
                            <w:t>www.crib.lt</w:t>
                          </w:r>
                        </w:hyperlink>
                        <w:r w:rsidR="005226F7">
                          <w:t xml:space="preserve"> </w:t>
                        </w:r>
                        <w:r w:rsidRPr="001547D4">
                          <w:t>bei Bendrovės tinklalapyje</w:t>
                        </w:r>
                        <w:r w:rsidR="005226F7">
                          <w:t xml:space="preserve"> </w:t>
                        </w:r>
                        <w:hyperlink r:id="rId10" w:history="1">
                          <w:r w:rsidR="005226F7" w:rsidRPr="00507260">
                            <w:rPr>
                              <w:rStyle w:val="Hyperlink"/>
                            </w:rPr>
                            <w:t>www.ambergrid.lt</w:t>
                          </w:r>
                        </w:hyperlink>
                        <w:r w:rsidRPr="001547D4">
                          <w:t>.</w:t>
                        </w:r>
                      </w:p>
                      <w:p w14:paraId="0392D440" w14:textId="74AA4962" w:rsidR="001547D4" w:rsidRPr="001547D4" w:rsidRDefault="00435651" w:rsidP="00B9037D">
                        <w:pPr>
                          <w:jc w:val="both"/>
                        </w:pPr>
                        <w:r>
                          <w:t>„</w:t>
                        </w:r>
                        <w:r w:rsidR="00B9037D">
                          <w:t>Amber Grid</w:t>
                        </w:r>
                        <w:r>
                          <w:t>“</w:t>
                        </w:r>
                        <w:r w:rsidR="001547D4" w:rsidRPr="001547D4">
                          <w:t xml:space="preserve"> akcininkai, kuriems priklausančios akcijos suteikia ne mažiau kaip 1/20 visų balsų, turi teisę papildyti visuotinio akcininkų susirinkimo darbotvarkę. Siūlymas papildyti darbotvarkę pateikiamas raštu, jį siunčiant registruotu paštu arba pristatomas į Bendrovės būstinę, adresu </w:t>
                        </w:r>
                        <w:r w:rsidR="005226F7" w:rsidRPr="0073577F">
                          <w:t>Laisvės pr. 10, LT-04215 Vilnius, Lietuva</w:t>
                        </w:r>
                        <w:r w:rsidR="005226F7" w:rsidRPr="001547D4">
                          <w:t xml:space="preserve"> </w:t>
                        </w:r>
                        <w:r w:rsidR="001547D4" w:rsidRPr="001547D4">
                          <w:t>(toliau – Būstinė). Kartu su siūlymu turi būti pateikti sprendimų projektai siūlomais klausimais arba, kai sprendimų priimti nereikia, paaiškinimai dėl kiekvieno siūlomo visuotinio akcininkų susirinkimo darbotvarkės klausimo. Darbotvarkė papildoma, jeigu siūlymas gaunamas ne vėliau kaip iki 202</w:t>
                        </w:r>
                        <w:r w:rsidR="00453BC7">
                          <w:t>5</w:t>
                        </w:r>
                        <w:r w:rsidR="001547D4" w:rsidRPr="001547D4">
                          <w:t xml:space="preserve"> m. </w:t>
                        </w:r>
                        <w:r w:rsidR="00A96391">
                          <w:t>gruodžio 26</w:t>
                        </w:r>
                        <w:r w:rsidR="001547D4" w:rsidRPr="001547D4">
                          <w:t xml:space="preserve"> d.</w:t>
                        </w:r>
                      </w:p>
                      <w:p w14:paraId="32E55792" w14:textId="77777777" w:rsidR="001547D4" w:rsidRPr="001547D4" w:rsidRDefault="001547D4" w:rsidP="00B9037D">
                        <w:pPr>
                          <w:jc w:val="both"/>
                        </w:pPr>
                        <w:r w:rsidRPr="001547D4">
                          <w:t>Akcininkai, kuriems priklausančios akcijos suteikia ne mažiau kaip 1/20 visų balsų, turi teisę bet kuriuo metu iki visuotinio akcininkų susirinkimo ar susirinkimo metu raštu siūlyti naujus sprendimų projektus į susirinkimo darbotvarkę įtrauktais klausimais. Toks siūlymas turi būti įformintas raštu ir pateiktas Bendrovei registruotu paštu arba pristatytas į Būstinę. Susirinkimo metu pateiktas siūlymas turi būti įformintas raštu ir perduotas visuotinio akcininkų susirinkimo sekretoriui.</w:t>
                        </w:r>
                      </w:p>
                      <w:p w14:paraId="235D37FC" w14:textId="7CD94AB3" w:rsidR="001547D4" w:rsidRPr="001547D4" w:rsidRDefault="001547D4" w:rsidP="00B9037D">
                        <w:pPr>
                          <w:jc w:val="both"/>
                        </w:pPr>
                        <w:r w:rsidRPr="001547D4">
                          <w:t>Akcininkai turi teisę iš anksto pateikti Bendrovei klausimų, susijusių su 202</w:t>
                        </w:r>
                        <w:r w:rsidR="00123F19">
                          <w:t>6</w:t>
                        </w:r>
                        <w:r w:rsidRPr="001547D4">
                          <w:t xml:space="preserve"> m. </w:t>
                        </w:r>
                        <w:r w:rsidR="00123F19">
                          <w:t>sausio</w:t>
                        </w:r>
                        <w:r w:rsidR="001C73A2">
                          <w:t xml:space="preserve"> </w:t>
                        </w:r>
                        <w:r w:rsidR="00123F19">
                          <w:t>9</w:t>
                        </w:r>
                        <w:r w:rsidRPr="001547D4">
                          <w:t xml:space="preserve"> d. neeilinio visuotinio akcininkų susirinkimo darbotvarke ne vėliau kaip iki </w:t>
                        </w:r>
                        <w:r w:rsidR="007A1C5E" w:rsidRPr="001547D4">
                          <w:t>202</w:t>
                        </w:r>
                        <w:r w:rsidR="007A1C5E">
                          <w:t>6</w:t>
                        </w:r>
                        <w:r w:rsidR="007A1C5E" w:rsidRPr="001547D4">
                          <w:t xml:space="preserve"> m. </w:t>
                        </w:r>
                        <w:r w:rsidR="007A1C5E">
                          <w:t xml:space="preserve">sausio </w:t>
                        </w:r>
                        <w:r w:rsidR="007F2D44">
                          <w:t>6</w:t>
                        </w:r>
                        <w:r w:rsidR="007A1C5E" w:rsidRPr="001547D4">
                          <w:t xml:space="preserve"> d.</w:t>
                        </w:r>
                        <w:r w:rsidRPr="001547D4">
                          <w:t xml:space="preserve"> Klausimai turi būti įforminami raštu ir pateikiami Bendrovei registruotu paštu arba </w:t>
                        </w:r>
                        <w:r w:rsidRPr="001547D4">
                          <w:lastRenderedPageBreak/>
                          <w:t>pristatomi į Būstinę. Bendrovė atsakymo į akcininko pateiktą klausimą jam asmeniškai neteiks, jei atitinkama informacija bus pateikta Bendrovės interneto puslapyje</w:t>
                        </w:r>
                        <w:r w:rsidR="00D30DBC">
                          <w:t xml:space="preserve"> </w:t>
                        </w:r>
                        <w:hyperlink r:id="rId11" w:history="1">
                          <w:r w:rsidR="00D30DBC" w:rsidRPr="00507260">
                            <w:rPr>
                              <w:rStyle w:val="Hyperlink"/>
                            </w:rPr>
                            <w:t>www.ambergrid.lt</w:t>
                          </w:r>
                        </w:hyperlink>
                        <w:r w:rsidRPr="001547D4">
                          <w:t>.</w:t>
                        </w:r>
                      </w:p>
                      <w:p w14:paraId="4A397E03" w14:textId="1E745293" w:rsidR="001547D4" w:rsidRPr="001547D4" w:rsidRDefault="001547D4" w:rsidP="00B9037D">
                        <w:pPr>
                          <w:jc w:val="both"/>
                        </w:pPr>
                        <w:r w:rsidRPr="001547D4">
                          <w:t>Kiekvienas akcininkas turi teisę įgalioti fizinį ar juridinį asmenį dalyvauti ir balsuoti jo vardu visuotiniame akcininkų susirinkime. Įgaliotas asmuo turi turėti asmens tapatybę patvirtinantį dokumentą ir įstatymų nustatyta tvarka patvirtintą įgaliojimą, kurį turi pristatyti į Būstinę ne vėliau kaip iki neeilinio visuotinio akcininkų susirinkimo registracijos pabaigos. Įgaliotas asmuo neeiliniame visuotiniame akcininkų susirinkime turi tokias pačias teises, kokias turėtų jo atstovaujamas akcininkas. Įgaliojimo atstovauti visuotiniame akcininkų susirinkime forma pateikiama Bendrovės tinklalapyje adresu</w:t>
                        </w:r>
                        <w:r w:rsidR="00D30DBC">
                          <w:t xml:space="preserve"> </w:t>
                        </w:r>
                        <w:hyperlink r:id="rId12" w:history="1">
                          <w:r w:rsidR="00D30DBC" w:rsidRPr="00507260">
                            <w:rPr>
                              <w:rStyle w:val="Hyperlink"/>
                            </w:rPr>
                            <w:t>www.ambergrid.lt</w:t>
                          </w:r>
                        </w:hyperlink>
                        <w:r w:rsidRPr="001547D4">
                          <w:t>.</w:t>
                        </w:r>
                      </w:p>
                      <w:p w14:paraId="1AA40D29" w14:textId="24544088" w:rsidR="001547D4" w:rsidRPr="001547D4" w:rsidRDefault="001547D4" w:rsidP="00B9037D">
                        <w:pPr>
                          <w:jc w:val="both"/>
                        </w:pPr>
                        <w:r w:rsidRPr="001547D4">
                          <w:t>Akcininkai visuotinio akcininkų susirinkimo darbotvarkės klausimais gali balsuoti raštu, užpildydami bendrąjį balsavimo biuletenį. Jeigu akcininkas reikalauja, Bendrovė ne vėliau kaip likus 10 dienų iki visuotinio akcininkų susirinkimo neatlygintinai išsiunčia bendrąjį balsavimo biuletenį registruotu laišku arba įteikia jį asmeniškai pasirašytinai. Užpildytas bendrasis balsavimo biuletenis turi būti pasirašytas akcininko arba jo įgalioto asmens. Jei užpildytą bendrąjį balsavimo biuletenį pasirašo asmuo, kuris nėra akcininkas, prie užpildyto balsavimo biuletenio turi būti pridėtas teisę balsuoti patvirtinantis dokumentas. Tinkamai užpildytas bendrasis balsavimo biuletenis turi būti pateiktas Bendrovei registruotu paštu, arba įteiktas pasirašytinai Būstinėje ne vėliau kaip iki neeilinio visuotinio akcininkų susirinkimo akcininkų registracijos pabaigos. Bendrojo balsavimo biuletenio forma pateikiama Bendrovės tinklalapyje adresu</w:t>
                        </w:r>
                        <w:r w:rsidR="00D30DBC">
                          <w:t xml:space="preserve"> </w:t>
                        </w:r>
                        <w:hyperlink r:id="rId13" w:history="1">
                          <w:r w:rsidR="00D30DBC" w:rsidRPr="00507260">
                            <w:rPr>
                              <w:rStyle w:val="Hyperlink"/>
                            </w:rPr>
                            <w:t>www.ambergrid.lt</w:t>
                          </w:r>
                        </w:hyperlink>
                        <w:r w:rsidRPr="001547D4">
                          <w:t>.</w:t>
                        </w:r>
                      </w:p>
                      <w:p w14:paraId="2299B018" w14:textId="1E496362" w:rsidR="001547D4" w:rsidRPr="001547D4" w:rsidRDefault="001547D4" w:rsidP="00B9037D">
                        <w:pPr>
                          <w:jc w:val="both"/>
                        </w:pPr>
                        <w:r w:rsidRPr="001547D4">
                          <w:t xml:space="preserve">Neeilinio visuotinio akcininkų susirinkimo sušaukimo dieną bendras akcijų skaičius buvo </w:t>
                        </w:r>
                        <w:r w:rsidR="00916F03" w:rsidRPr="00700B3E">
                          <w:t>178 382 514</w:t>
                        </w:r>
                        <w:r w:rsidRPr="001547D4">
                          <w:t>. Visos šios akcijos suteikia balsavimo teisę.</w:t>
                        </w:r>
                      </w:p>
                      <w:p w14:paraId="7D054628" w14:textId="3E317295" w:rsidR="001547D4" w:rsidRPr="001547D4" w:rsidRDefault="001547D4" w:rsidP="00B9037D">
                        <w:pPr>
                          <w:jc w:val="both"/>
                        </w:pPr>
                        <w:r w:rsidRPr="001547D4">
                          <w:t>Informacija, numatyta Lietuvos Respublikos akcinių bendrovių įstatymo 26</w:t>
                        </w:r>
                        <w:r w:rsidRPr="001547D4">
                          <w:rPr>
                            <w:vertAlign w:val="superscript"/>
                          </w:rPr>
                          <w:t>2</w:t>
                        </w:r>
                        <w:r w:rsidRPr="001547D4">
                          <w:t> str. bus pateikiama Bendrovės tinklapyje adresu</w:t>
                        </w:r>
                        <w:r w:rsidR="00916F03">
                          <w:t xml:space="preserve"> </w:t>
                        </w:r>
                        <w:hyperlink r:id="rId14" w:history="1">
                          <w:r w:rsidR="00916F03" w:rsidRPr="00507260">
                            <w:rPr>
                              <w:rStyle w:val="Hyperlink"/>
                            </w:rPr>
                            <w:t>www.ambergrid.lt</w:t>
                          </w:r>
                        </w:hyperlink>
                      </w:p>
                      <w:p w14:paraId="4E616AA3" w14:textId="77777777" w:rsidR="001547D4" w:rsidRPr="001547D4" w:rsidRDefault="001547D4" w:rsidP="00B9037D">
                        <w:pPr>
                          <w:jc w:val="both"/>
                        </w:pPr>
                        <w:r w:rsidRPr="001547D4">
                          <w:t>Informacija apie darbotvarkės papildymą bei susirinkimo priimtus sprendimus taip pat bus pateikiama Centrinės reglamentuojamos informacijos bazėje </w:t>
                        </w:r>
                        <w:hyperlink r:id="rId15" w:tgtFrame="_blank" w:history="1">
                          <w:r w:rsidRPr="001547D4">
                            <w:rPr>
                              <w:rStyle w:val="Hyperlink"/>
                            </w:rPr>
                            <w:t>www.crib.lt</w:t>
                          </w:r>
                        </w:hyperlink>
                        <w:r w:rsidRPr="001547D4">
                          <w:t>.</w:t>
                        </w:r>
                      </w:p>
                      <w:p w14:paraId="0A44BDAB" w14:textId="77777777" w:rsidR="001547D4" w:rsidRPr="001547D4" w:rsidRDefault="001547D4" w:rsidP="00B9037D">
                        <w:pPr>
                          <w:jc w:val="both"/>
                        </w:pPr>
                        <w:r w:rsidRPr="001547D4">
                          <w:t>Pridedama:</w:t>
                        </w:r>
                      </w:p>
                      <w:p w14:paraId="0A2D036B" w14:textId="0509ED26" w:rsidR="001547D4" w:rsidRPr="001547D4" w:rsidRDefault="001547D4" w:rsidP="00B9037D">
                        <w:pPr>
                          <w:numPr>
                            <w:ilvl w:val="0"/>
                            <w:numId w:val="7"/>
                          </w:numPr>
                          <w:jc w:val="both"/>
                        </w:pPr>
                        <w:r w:rsidRPr="001547D4">
                          <w:t>Bendrasis balsavimo biuletenis.</w:t>
                        </w:r>
                      </w:p>
                      <w:p w14:paraId="7BE8DF7B" w14:textId="77777777" w:rsidR="001547D4" w:rsidRPr="001547D4" w:rsidRDefault="001547D4" w:rsidP="00B9037D">
                        <w:pPr>
                          <w:numPr>
                            <w:ilvl w:val="0"/>
                            <w:numId w:val="7"/>
                          </w:numPr>
                          <w:jc w:val="both"/>
                        </w:pPr>
                        <w:r w:rsidRPr="001547D4">
                          <w:t>Įgaliojimo forma.</w:t>
                        </w:r>
                      </w:p>
                      <w:p w14:paraId="00F46173" w14:textId="6FE0CA2D" w:rsidR="00691985" w:rsidRPr="001C73A2" w:rsidRDefault="001547D4" w:rsidP="00B9037D">
                        <w:r w:rsidRPr="001C73A2">
                          <w:t>Daugiau informacijos:</w:t>
                        </w:r>
                        <w:r w:rsidRPr="001C73A2">
                          <w:br/>
                        </w:r>
                        <w:r w:rsidR="003664BA" w:rsidRPr="003664BA">
                          <w:t>Eglė Krasauskienė</w:t>
                        </w:r>
                      </w:p>
                      <w:p w14:paraId="1F92DF24" w14:textId="3A4392D0" w:rsidR="00691985" w:rsidRPr="001C73A2" w:rsidRDefault="00691985" w:rsidP="00B9037D">
                        <w:r w:rsidRPr="001C73A2">
                          <w:t>AB „Amber Grid</w:t>
                        </w:r>
                        <w:r w:rsidR="00510367">
                          <w:t>“ komunikacijos</w:t>
                        </w:r>
                        <w:r w:rsidRPr="001C73A2">
                          <w:t xml:space="preserve"> vadovė </w:t>
                        </w:r>
                      </w:p>
                      <w:p w14:paraId="1F51513F" w14:textId="4FEF3515" w:rsidR="001547D4" w:rsidRPr="001547D4" w:rsidRDefault="00691985" w:rsidP="00B9037D">
                        <w:r w:rsidRPr="001C73A2">
                          <w:lastRenderedPageBreak/>
                          <w:t xml:space="preserve">+370 </w:t>
                        </w:r>
                        <w:r w:rsidR="003664BA">
                          <w:t>____________</w:t>
                        </w:r>
                        <w:r w:rsidRPr="001C73A2">
                          <w:t xml:space="preserve">, </w:t>
                        </w:r>
                        <w:r w:rsidR="003664BA">
                          <w:t>___________</w:t>
                        </w:r>
                        <w:r w:rsidRPr="001C73A2">
                          <w:t>@</w:t>
                        </w:r>
                        <w:proofErr w:type="spellStart"/>
                        <w:r w:rsidRPr="001C73A2">
                          <w:t>ambergrid.l</w:t>
                        </w:r>
                        <w:r w:rsidR="00FA3493" w:rsidRPr="001C73A2">
                          <w:t>t</w:t>
                        </w:r>
                        <w:proofErr w:type="spellEnd"/>
                      </w:p>
                    </w:tc>
                  </w:tr>
                </w:tbl>
                <w:p w14:paraId="05F4C427" w14:textId="77777777" w:rsidR="001547D4" w:rsidRPr="001547D4" w:rsidRDefault="001547D4" w:rsidP="00B9037D">
                  <w:pPr>
                    <w:jc w:val="both"/>
                  </w:pPr>
                </w:p>
              </w:tc>
            </w:tr>
          </w:tbl>
          <w:p w14:paraId="6C32BE35" w14:textId="77777777" w:rsidR="001547D4" w:rsidRPr="001547D4" w:rsidRDefault="001547D4" w:rsidP="00B9037D">
            <w:pPr>
              <w:jc w:val="both"/>
            </w:pPr>
          </w:p>
        </w:tc>
      </w:tr>
    </w:tbl>
    <w:p w14:paraId="1D5FA3CA" w14:textId="77777777" w:rsidR="001547D4" w:rsidRPr="001547D4" w:rsidRDefault="001547D4" w:rsidP="00B9037D">
      <w:pPr>
        <w:jc w:val="both"/>
        <w:rPr>
          <w:lang w:val="en-US"/>
        </w:rPr>
      </w:pPr>
    </w:p>
    <w:sectPr w:rsidR="001547D4" w:rsidRPr="001547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D1F"/>
    <w:multiLevelType w:val="multilevel"/>
    <w:tmpl w:val="EC72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676F5"/>
    <w:multiLevelType w:val="hybridMultilevel"/>
    <w:tmpl w:val="EF6C9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75C76"/>
    <w:multiLevelType w:val="multilevel"/>
    <w:tmpl w:val="ECD6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6602F"/>
    <w:multiLevelType w:val="multilevel"/>
    <w:tmpl w:val="90A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20F7D"/>
    <w:multiLevelType w:val="multilevel"/>
    <w:tmpl w:val="5AE454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91F64"/>
    <w:multiLevelType w:val="multilevel"/>
    <w:tmpl w:val="EDB0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16A8B"/>
    <w:multiLevelType w:val="multilevel"/>
    <w:tmpl w:val="5B0E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873C6"/>
    <w:multiLevelType w:val="multilevel"/>
    <w:tmpl w:val="616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E122D"/>
    <w:multiLevelType w:val="hybridMultilevel"/>
    <w:tmpl w:val="6AE2F860"/>
    <w:lvl w:ilvl="0" w:tplc="1A827260">
      <w:start w:val="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8C6775"/>
    <w:multiLevelType w:val="multilevel"/>
    <w:tmpl w:val="65A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002811"/>
    <w:multiLevelType w:val="multilevel"/>
    <w:tmpl w:val="A6D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388534">
    <w:abstractNumId w:val="2"/>
  </w:num>
  <w:num w:numId="2" w16cid:durableId="1148743452">
    <w:abstractNumId w:val="10"/>
  </w:num>
  <w:num w:numId="3" w16cid:durableId="1193228936">
    <w:abstractNumId w:val="5"/>
    <w:lvlOverride w:ilvl="0">
      <w:startOverride w:val="1"/>
    </w:lvlOverride>
  </w:num>
  <w:num w:numId="4" w16cid:durableId="1527980144">
    <w:abstractNumId w:val="6"/>
  </w:num>
  <w:num w:numId="5" w16cid:durableId="1467895820">
    <w:abstractNumId w:val="9"/>
  </w:num>
  <w:num w:numId="6" w16cid:durableId="1092244718">
    <w:abstractNumId w:val="3"/>
  </w:num>
  <w:num w:numId="7" w16cid:durableId="1352148245">
    <w:abstractNumId w:val="0"/>
    <w:lvlOverride w:ilvl="0">
      <w:startOverride w:val="1"/>
    </w:lvlOverride>
  </w:num>
  <w:num w:numId="8" w16cid:durableId="317615756">
    <w:abstractNumId w:val="7"/>
  </w:num>
  <w:num w:numId="9" w16cid:durableId="830414122">
    <w:abstractNumId w:val="8"/>
  </w:num>
  <w:num w:numId="10" w16cid:durableId="626131261">
    <w:abstractNumId w:val="4"/>
  </w:num>
  <w:num w:numId="11" w16cid:durableId="12520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D0"/>
    <w:rsid w:val="000774F4"/>
    <w:rsid w:val="000910A7"/>
    <w:rsid w:val="00093C30"/>
    <w:rsid w:val="000E3CF3"/>
    <w:rsid w:val="000F4D18"/>
    <w:rsid w:val="00123F19"/>
    <w:rsid w:val="0015060A"/>
    <w:rsid w:val="001547D4"/>
    <w:rsid w:val="0019040C"/>
    <w:rsid w:val="001C73A2"/>
    <w:rsid w:val="001E05B8"/>
    <w:rsid w:val="00210882"/>
    <w:rsid w:val="002A7752"/>
    <w:rsid w:val="003048CB"/>
    <w:rsid w:val="00312CFC"/>
    <w:rsid w:val="003664BA"/>
    <w:rsid w:val="003A42C0"/>
    <w:rsid w:val="003B3760"/>
    <w:rsid w:val="003D4C85"/>
    <w:rsid w:val="004254A2"/>
    <w:rsid w:val="00435651"/>
    <w:rsid w:val="00453BC7"/>
    <w:rsid w:val="004A25DC"/>
    <w:rsid w:val="004E4908"/>
    <w:rsid w:val="00504582"/>
    <w:rsid w:val="00510367"/>
    <w:rsid w:val="005226F7"/>
    <w:rsid w:val="005B21E0"/>
    <w:rsid w:val="005D1DB0"/>
    <w:rsid w:val="00630F5F"/>
    <w:rsid w:val="00674ADD"/>
    <w:rsid w:val="00691985"/>
    <w:rsid w:val="006B1138"/>
    <w:rsid w:val="006E0DC3"/>
    <w:rsid w:val="00700B3E"/>
    <w:rsid w:val="00734DEE"/>
    <w:rsid w:val="0073577F"/>
    <w:rsid w:val="00777A53"/>
    <w:rsid w:val="00784DF5"/>
    <w:rsid w:val="007A1C5E"/>
    <w:rsid w:val="007F2D44"/>
    <w:rsid w:val="00816FF5"/>
    <w:rsid w:val="00821A95"/>
    <w:rsid w:val="008440C3"/>
    <w:rsid w:val="008717E9"/>
    <w:rsid w:val="008E1A8B"/>
    <w:rsid w:val="008E728D"/>
    <w:rsid w:val="008F18DD"/>
    <w:rsid w:val="00916F03"/>
    <w:rsid w:val="00926ADB"/>
    <w:rsid w:val="00935991"/>
    <w:rsid w:val="009B019F"/>
    <w:rsid w:val="009E4B9C"/>
    <w:rsid w:val="00A74AD0"/>
    <w:rsid w:val="00A82227"/>
    <w:rsid w:val="00A96391"/>
    <w:rsid w:val="00B039A5"/>
    <w:rsid w:val="00B66A2A"/>
    <w:rsid w:val="00B72D10"/>
    <w:rsid w:val="00B9037D"/>
    <w:rsid w:val="00C30FE8"/>
    <w:rsid w:val="00C40006"/>
    <w:rsid w:val="00C6073D"/>
    <w:rsid w:val="00C613B3"/>
    <w:rsid w:val="00C72649"/>
    <w:rsid w:val="00C94771"/>
    <w:rsid w:val="00D21DC7"/>
    <w:rsid w:val="00D30DBC"/>
    <w:rsid w:val="00D60FCB"/>
    <w:rsid w:val="00D64AD8"/>
    <w:rsid w:val="00DA7FCB"/>
    <w:rsid w:val="00E22319"/>
    <w:rsid w:val="00E23974"/>
    <w:rsid w:val="00E571CC"/>
    <w:rsid w:val="00E968E9"/>
    <w:rsid w:val="00EA0AA2"/>
    <w:rsid w:val="00EA5CE6"/>
    <w:rsid w:val="00EB551E"/>
    <w:rsid w:val="00ED0F33"/>
    <w:rsid w:val="00ED2AFA"/>
    <w:rsid w:val="00EF66C7"/>
    <w:rsid w:val="00F22A38"/>
    <w:rsid w:val="00F26873"/>
    <w:rsid w:val="00F512A9"/>
    <w:rsid w:val="00FA3493"/>
    <w:rsid w:val="00FA5579"/>
    <w:rsid w:val="00FD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3035"/>
  <w15:chartTrackingRefBased/>
  <w15:docId w15:val="{9E600CBF-1988-48EC-9980-18E83054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D0"/>
    <w:rPr>
      <w:rFonts w:eastAsiaTheme="majorEastAsia" w:cstheme="majorBidi"/>
      <w:color w:val="272727" w:themeColor="text1" w:themeTint="D8"/>
    </w:rPr>
  </w:style>
  <w:style w:type="paragraph" w:styleId="Title">
    <w:name w:val="Title"/>
    <w:basedOn w:val="Normal"/>
    <w:next w:val="Normal"/>
    <w:link w:val="TitleChar"/>
    <w:uiPriority w:val="10"/>
    <w:qFormat/>
    <w:rsid w:val="00A74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D0"/>
    <w:pPr>
      <w:spacing w:before="160"/>
      <w:jc w:val="center"/>
    </w:pPr>
    <w:rPr>
      <w:i/>
      <w:iCs/>
      <w:color w:val="404040" w:themeColor="text1" w:themeTint="BF"/>
    </w:rPr>
  </w:style>
  <w:style w:type="character" w:customStyle="1" w:styleId="QuoteChar">
    <w:name w:val="Quote Char"/>
    <w:basedOn w:val="DefaultParagraphFont"/>
    <w:link w:val="Quote"/>
    <w:uiPriority w:val="29"/>
    <w:rsid w:val="00A74AD0"/>
    <w:rPr>
      <w:i/>
      <w:iCs/>
      <w:color w:val="404040" w:themeColor="text1" w:themeTint="BF"/>
    </w:rPr>
  </w:style>
  <w:style w:type="paragraph" w:styleId="ListParagraph">
    <w:name w:val="List Paragraph"/>
    <w:aliases w:val="List not in Table,Sąrašo pastraipa1,Numbering,ERP-List Paragraph,List Paragraph11,Bullet EY,List Paragraph2,Paragraph,List Paragraph Red"/>
    <w:basedOn w:val="Normal"/>
    <w:link w:val="ListParagraphChar"/>
    <w:uiPriority w:val="34"/>
    <w:qFormat/>
    <w:rsid w:val="00A74AD0"/>
    <w:pPr>
      <w:ind w:left="720"/>
      <w:contextualSpacing/>
    </w:pPr>
  </w:style>
  <w:style w:type="character" w:styleId="IntenseEmphasis">
    <w:name w:val="Intense Emphasis"/>
    <w:basedOn w:val="DefaultParagraphFont"/>
    <w:uiPriority w:val="21"/>
    <w:qFormat/>
    <w:rsid w:val="00A74AD0"/>
    <w:rPr>
      <w:i/>
      <w:iCs/>
      <w:color w:val="0F4761" w:themeColor="accent1" w:themeShade="BF"/>
    </w:rPr>
  </w:style>
  <w:style w:type="paragraph" w:styleId="IntenseQuote">
    <w:name w:val="Intense Quote"/>
    <w:basedOn w:val="Normal"/>
    <w:next w:val="Normal"/>
    <w:link w:val="IntenseQuoteChar"/>
    <w:uiPriority w:val="30"/>
    <w:qFormat/>
    <w:rsid w:val="00A74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AD0"/>
    <w:rPr>
      <w:i/>
      <w:iCs/>
      <w:color w:val="0F4761" w:themeColor="accent1" w:themeShade="BF"/>
    </w:rPr>
  </w:style>
  <w:style w:type="character" w:styleId="IntenseReference">
    <w:name w:val="Intense Reference"/>
    <w:basedOn w:val="DefaultParagraphFont"/>
    <w:uiPriority w:val="32"/>
    <w:qFormat/>
    <w:rsid w:val="00A74AD0"/>
    <w:rPr>
      <w:b/>
      <w:bCs/>
      <w:smallCaps/>
      <w:color w:val="0F4761" w:themeColor="accent1" w:themeShade="BF"/>
      <w:spacing w:val="5"/>
    </w:rPr>
  </w:style>
  <w:style w:type="character" w:styleId="Hyperlink">
    <w:name w:val="Hyperlink"/>
    <w:basedOn w:val="DefaultParagraphFont"/>
    <w:uiPriority w:val="99"/>
    <w:unhideWhenUsed/>
    <w:rsid w:val="00A74AD0"/>
    <w:rPr>
      <w:color w:val="467886" w:themeColor="hyperlink"/>
      <w:u w:val="single"/>
    </w:rPr>
  </w:style>
  <w:style w:type="character" w:styleId="UnresolvedMention">
    <w:name w:val="Unresolved Mention"/>
    <w:basedOn w:val="DefaultParagraphFont"/>
    <w:uiPriority w:val="99"/>
    <w:semiHidden/>
    <w:unhideWhenUsed/>
    <w:rsid w:val="00A74AD0"/>
    <w:rPr>
      <w:color w:val="605E5C"/>
      <w:shd w:val="clear" w:color="auto" w:fill="E1DFDD"/>
    </w:rPr>
  </w:style>
  <w:style w:type="character" w:customStyle="1" w:styleId="ListParagraphChar">
    <w:name w:val="List Paragraph Char"/>
    <w:aliases w:val="List not in Table Char,Sąrašo pastraipa1 Char,Numbering Char,ERP-List Paragraph Char,List Paragraph11 Char,Bullet EY Char,List Paragraph2 Char,Paragraph Char,List Paragraph Red Char"/>
    <w:link w:val="ListParagraph"/>
    <w:uiPriority w:val="34"/>
    <w:locked/>
    <w:rsid w:val="0015060A"/>
  </w:style>
  <w:style w:type="paragraph" w:styleId="Revision">
    <w:name w:val="Revision"/>
    <w:hidden/>
    <w:uiPriority w:val="99"/>
    <w:semiHidden/>
    <w:rsid w:val="00700B3E"/>
    <w:pPr>
      <w:spacing w:after="0" w:line="240" w:lineRule="auto"/>
    </w:pPr>
  </w:style>
  <w:style w:type="character" w:styleId="CommentReference">
    <w:name w:val="annotation reference"/>
    <w:basedOn w:val="DefaultParagraphFont"/>
    <w:uiPriority w:val="99"/>
    <w:semiHidden/>
    <w:unhideWhenUsed/>
    <w:rsid w:val="0019040C"/>
    <w:rPr>
      <w:sz w:val="16"/>
      <w:szCs w:val="16"/>
    </w:rPr>
  </w:style>
  <w:style w:type="paragraph" w:styleId="CommentText">
    <w:name w:val="annotation text"/>
    <w:basedOn w:val="Normal"/>
    <w:link w:val="CommentTextChar"/>
    <w:uiPriority w:val="99"/>
    <w:unhideWhenUsed/>
    <w:rsid w:val="0019040C"/>
    <w:pPr>
      <w:spacing w:line="240" w:lineRule="auto"/>
    </w:pPr>
    <w:rPr>
      <w:sz w:val="20"/>
      <w:szCs w:val="20"/>
    </w:rPr>
  </w:style>
  <w:style w:type="character" w:customStyle="1" w:styleId="CommentTextChar">
    <w:name w:val="Comment Text Char"/>
    <w:basedOn w:val="DefaultParagraphFont"/>
    <w:link w:val="CommentText"/>
    <w:uiPriority w:val="99"/>
    <w:rsid w:val="0019040C"/>
    <w:rPr>
      <w:sz w:val="20"/>
      <w:szCs w:val="20"/>
    </w:rPr>
  </w:style>
  <w:style w:type="paragraph" w:styleId="CommentSubject">
    <w:name w:val="annotation subject"/>
    <w:basedOn w:val="CommentText"/>
    <w:next w:val="CommentText"/>
    <w:link w:val="CommentSubjectChar"/>
    <w:uiPriority w:val="99"/>
    <w:semiHidden/>
    <w:unhideWhenUsed/>
    <w:rsid w:val="0019040C"/>
    <w:rPr>
      <w:b/>
      <w:bCs/>
    </w:rPr>
  </w:style>
  <w:style w:type="character" w:customStyle="1" w:styleId="CommentSubjectChar">
    <w:name w:val="Comment Subject Char"/>
    <w:basedOn w:val="CommentTextChar"/>
    <w:link w:val="CommentSubject"/>
    <w:uiPriority w:val="99"/>
    <w:semiHidden/>
    <w:rsid w:val="00190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4497">
      <w:bodyDiv w:val="1"/>
      <w:marLeft w:val="0"/>
      <w:marRight w:val="0"/>
      <w:marTop w:val="0"/>
      <w:marBottom w:val="0"/>
      <w:divBdr>
        <w:top w:val="none" w:sz="0" w:space="0" w:color="auto"/>
        <w:left w:val="none" w:sz="0" w:space="0" w:color="auto"/>
        <w:bottom w:val="none" w:sz="0" w:space="0" w:color="auto"/>
        <w:right w:val="none" w:sz="0" w:space="0" w:color="auto"/>
      </w:divBdr>
      <w:divsChild>
        <w:div w:id="326175175">
          <w:marLeft w:val="0"/>
          <w:marRight w:val="0"/>
          <w:marTop w:val="0"/>
          <w:marBottom w:val="0"/>
          <w:divBdr>
            <w:top w:val="none" w:sz="0" w:space="0" w:color="auto"/>
            <w:left w:val="none" w:sz="0" w:space="0" w:color="auto"/>
            <w:bottom w:val="none" w:sz="0" w:space="0" w:color="auto"/>
            <w:right w:val="none" w:sz="0" w:space="0" w:color="auto"/>
          </w:divBdr>
        </w:div>
        <w:div w:id="498933525">
          <w:marLeft w:val="0"/>
          <w:marRight w:val="0"/>
          <w:marTop w:val="0"/>
          <w:marBottom w:val="0"/>
          <w:divBdr>
            <w:top w:val="none" w:sz="0" w:space="0" w:color="auto"/>
            <w:left w:val="none" w:sz="0" w:space="0" w:color="auto"/>
            <w:bottom w:val="none" w:sz="0" w:space="0" w:color="auto"/>
            <w:right w:val="none" w:sz="0" w:space="0" w:color="auto"/>
          </w:divBdr>
        </w:div>
      </w:divsChild>
    </w:div>
    <w:div w:id="277373885">
      <w:bodyDiv w:val="1"/>
      <w:marLeft w:val="0"/>
      <w:marRight w:val="0"/>
      <w:marTop w:val="0"/>
      <w:marBottom w:val="0"/>
      <w:divBdr>
        <w:top w:val="none" w:sz="0" w:space="0" w:color="auto"/>
        <w:left w:val="none" w:sz="0" w:space="0" w:color="auto"/>
        <w:bottom w:val="none" w:sz="0" w:space="0" w:color="auto"/>
        <w:right w:val="none" w:sz="0" w:space="0" w:color="auto"/>
      </w:divBdr>
      <w:divsChild>
        <w:div w:id="2025789465">
          <w:marLeft w:val="0"/>
          <w:marRight w:val="0"/>
          <w:marTop w:val="0"/>
          <w:marBottom w:val="0"/>
          <w:divBdr>
            <w:top w:val="none" w:sz="0" w:space="0" w:color="auto"/>
            <w:left w:val="none" w:sz="0" w:space="0" w:color="auto"/>
            <w:bottom w:val="none" w:sz="0" w:space="0" w:color="auto"/>
            <w:right w:val="none" w:sz="0" w:space="0" w:color="auto"/>
          </w:divBdr>
        </w:div>
        <w:div w:id="2057049477">
          <w:marLeft w:val="0"/>
          <w:marRight w:val="0"/>
          <w:marTop w:val="0"/>
          <w:marBottom w:val="0"/>
          <w:divBdr>
            <w:top w:val="none" w:sz="0" w:space="0" w:color="auto"/>
            <w:left w:val="none" w:sz="0" w:space="0" w:color="auto"/>
            <w:bottom w:val="none" w:sz="0" w:space="0" w:color="auto"/>
            <w:right w:val="none" w:sz="0" w:space="0" w:color="auto"/>
          </w:divBdr>
        </w:div>
      </w:divsChild>
    </w:div>
    <w:div w:id="346562637">
      <w:bodyDiv w:val="1"/>
      <w:marLeft w:val="0"/>
      <w:marRight w:val="0"/>
      <w:marTop w:val="0"/>
      <w:marBottom w:val="0"/>
      <w:divBdr>
        <w:top w:val="none" w:sz="0" w:space="0" w:color="auto"/>
        <w:left w:val="none" w:sz="0" w:space="0" w:color="auto"/>
        <w:bottom w:val="none" w:sz="0" w:space="0" w:color="auto"/>
        <w:right w:val="none" w:sz="0" w:space="0" w:color="auto"/>
      </w:divBdr>
      <w:divsChild>
        <w:div w:id="1448767766">
          <w:marLeft w:val="0"/>
          <w:marRight w:val="0"/>
          <w:marTop w:val="0"/>
          <w:marBottom w:val="0"/>
          <w:divBdr>
            <w:top w:val="none" w:sz="0" w:space="0" w:color="auto"/>
            <w:left w:val="none" w:sz="0" w:space="0" w:color="auto"/>
            <w:bottom w:val="none" w:sz="0" w:space="0" w:color="auto"/>
            <w:right w:val="none" w:sz="0" w:space="0" w:color="auto"/>
          </w:divBdr>
        </w:div>
      </w:divsChild>
    </w:div>
    <w:div w:id="799344579">
      <w:bodyDiv w:val="1"/>
      <w:marLeft w:val="0"/>
      <w:marRight w:val="0"/>
      <w:marTop w:val="0"/>
      <w:marBottom w:val="0"/>
      <w:divBdr>
        <w:top w:val="none" w:sz="0" w:space="0" w:color="auto"/>
        <w:left w:val="none" w:sz="0" w:space="0" w:color="auto"/>
        <w:bottom w:val="none" w:sz="0" w:space="0" w:color="auto"/>
        <w:right w:val="none" w:sz="0" w:space="0" w:color="auto"/>
      </w:divBdr>
      <w:divsChild>
        <w:div w:id="634678001">
          <w:marLeft w:val="0"/>
          <w:marRight w:val="0"/>
          <w:marTop w:val="0"/>
          <w:marBottom w:val="0"/>
          <w:divBdr>
            <w:top w:val="none" w:sz="0" w:space="0" w:color="auto"/>
            <w:left w:val="none" w:sz="0" w:space="0" w:color="auto"/>
            <w:bottom w:val="none" w:sz="0" w:space="0" w:color="auto"/>
            <w:right w:val="none" w:sz="0" w:space="0" w:color="auto"/>
          </w:divBdr>
        </w:div>
        <w:div w:id="1487940902">
          <w:marLeft w:val="0"/>
          <w:marRight w:val="0"/>
          <w:marTop w:val="0"/>
          <w:marBottom w:val="0"/>
          <w:divBdr>
            <w:top w:val="none" w:sz="0" w:space="0" w:color="auto"/>
            <w:left w:val="none" w:sz="0" w:space="0" w:color="auto"/>
            <w:bottom w:val="none" w:sz="0" w:space="0" w:color="auto"/>
            <w:right w:val="none" w:sz="0" w:space="0" w:color="auto"/>
          </w:divBdr>
        </w:div>
      </w:divsChild>
    </w:div>
    <w:div w:id="889266952">
      <w:bodyDiv w:val="1"/>
      <w:marLeft w:val="0"/>
      <w:marRight w:val="0"/>
      <w:marTop w:val="0"/>
      <w:marBottom w:val="0"/>
      <w:divBdr>
        <w:top w:val="none" w:sz="0" w:space="0" w:color="auto"/>
        <w:left w:val="none" w:sz="0" w:space="0" w:color="auto"/>
        <w:bottom w:val="none" w:sz="0" w:space="0" w:color="auto"/>
        <w:right w:val="none" w:sz="0" w:space="0" w:color="auto"/>
      </w:divBdr>
      <w:divsChild>
        <w:div w:id="1832939237">
          <w:marLeft w:val="0"/>
          <w:marRight w:val="0"/>
          <w:marTop w:val="0"/>
          <w:marBottom w:val="0"/>
          <w:divBdr>
            <w:top w:val="none" w:sz="0" w:space="0" w:color="auto"/>
            <w:left w:val="none" w:sz="0" w:space="0" w:color="auto"/>
            <w:bottom w:val="none" w:sz="0" w:space="0" w:color="auto"/>
            <w:right w:val="none" w:sz="0" w:space="0" w:color="auto"/>
          </w:divBdr>
        </w:div>
      </w:divsChild>
    </w:div>
    <w:div w:id="1570072180">
      <w:bodyDiv w:val="1"/>
      <w:marLeft w:val="0"/>
      <w:marRight w:val="0"/>
      <w:marTop w:val="0"/>
      <w:marBottom w:val="0"/>
      <w:divBdr>
        <w:top w:val="none" w:sz="0" w:space="0" w:color="auto"/>
        <w:left w:val="none" w:sz="0" w:space="0" w:color="auto"/>
        <w:bottom w:val="none" w:sz="0" w:space="0" w:color="auto"/>
        <w:right w:val="none" w:sz="0" w:space="0" w:color="auto"/>
      </w:divBdr>
      <w:divsChild>
        <w:div w:id="193466897">
          <w:marLeft w:val="0"/>
          <w:marRight w:val="0"/>
          <w:marTop w:val="0"/>
          <w:marBottom w:val="0"/>
          <w:divBdr>
            <w:top w:val="none" w:sz="0" w:space="0" w:color="auto"/>
            <w:left w:val="none" w:sz="0" w:space="0" w:color="auto"/>
            <w:bottom w:val="none" w:sz="0" w:space="0" w:color="auto"/>
            <w:right w:val="none" w:sz="0" w:space="0" w:color="auto"/>
          </w:divBdr>
        </w:div>
      </w:divsChild>
    </w:div>
    <w:div w:id="1946038192">
      <w:bodyDiv w:val="1"/>
      <w:marLeft w:val="0"/>
      <w:marRight w:val="0"/>
      <w:marTop w:val="0"/>
      <w:marBottom w:val="0"/>
      <w:divBdr>
        <w:top w:val="none" w:sz="0" w:space="0" w:color="auto"/>
        <w:left w:val="none" w:sz="0" w:space="0" w:color="auto"/>
        <w:bottom w:val="none" w:sz="0" w:space="0" w:color="auto"/>
        <w:right w:val="none" w:sz="0" w:space="0" w:color="auto"/>
      </w:divBdr>
      <w:divsChild>
        <w:div w:id="1591892160">
          <w:marLeft w:val="0"/>
          <w:marRight w:val="0"/>
          <w:marTop w:val="0"/>
          <w:marBottom w:val="0"/>
          <w:divBdr>
            <w:top w:val="none" w:sz="0" w:space="0" w:color="auto"/>
            <w:left w:val="none" w:sz="0" w:space="0" w:color="auto"/>
            <w:bottom w:val="none" w:sz="0" w:space="0" w:color="auto"/>
            <w:right w:val="none" w:sz="0" w:space="0" w:color="auto"/>
          </w:divBdr>
        </w:div>
        <w:div w:id="133087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bergrid.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mbergrid.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bergrid.lt" TargetMode="External"/><Relationship Id="rId5" Type="http://schemas.openxmlformats.org/officeDocument/2006/relationships/styles" Target="styles.xml"/><Relationship Id="rId15" Type="http://schemas.openxmlformats.org/officeDocument/2006/relationships/hyperlink" Target="https://www.globenewswire.com/Tracker?data=2cV4FRvAyLxDo9UuIJLFK5sJH_hgagfSx48_Mgm7cnhbSjQsA17e0F5CiKlhhFwJ6DNgqkNW5Wv7C-fi1nUioLBgqk8UNxRNF9eha1Scq-nYm3lBEC-Fw6su7ejAh_bGYeGJofZL5XLKCzdNpbcv5t-xh8N_19CCc9YqZX0oNKCdhJMlm8tk09VoXlUB7YOt6-b8kNN_526BBpuTju9CA68iWQy1KvaNFyXCvXWx1zA=" TargetMode="External"/><Relationship Id="rId10" Type="http://schemas.openxmlformats.org/officeDocument/2006/relationships/hyperlink" Target="http://www.ambergrid.lt" TargetMode="External"/><Relationship Id="rId4" Type="http://schemas.openxmlformats.org/officeDocument/2006/relationships/numbering" Target="numbering.xml"/><Relationship Id="rId9" Type="http://schemas.openxmlformats.org/officeDocument/2006/relationships/hyperlink" Target="https://www.globenewswire.com/Tracker?data=2cV4FRvAyLxDo9UuIJLFK-0Y9TIF75onjDj88BCwK-hUKMywy-V8o6yHHXOmyBGEAEs-5ccIPwW-PPqjKJlchA==" TargetMode="External"/><Relationship Id="rId14" Type="http://schemas.openxmlformats.org/officeDocument/2006/relationships/hyperlink" Target="http://www.amber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D526F9BFC084E8D222AE32D2BC272" ma:contentTypeVersion="17" ma:contentTypeDescription="Create a new document." ma:contentTypeScope="" ma:versionID="ae3164f6f3d77f391892f03a754a8b8c">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4dd5b3ec2a1bb420fed1815fcdfb438a"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AB820-7B56-443C-897A-5AA1C996C4C8}">
  <ds:schemaRefs>
    <ds:schemaRef ds:uri="http://schemas.microsoft.com/sharepoint/v3/contenttype/forms"/>
  </ds:schemaRefs>
</ds:datastoreItem>
</file>

<file path=customXml/itemProps2.xml><?xml version="1.0" encoding="utf-8"?>
<ds:datastoreItem xmlns:ds="http://schemas.openxmlformats.org/officeDocument/2006/customXml" ds:itemID="{90680F7C-B43E-46B4-9DA8-73A1D51949D2}">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customXml/itemProps3.xml><?xml version="1.0" encoding="utf-8"?>
<ds:datastoreItem xmlns:ds="http://schemas.openxmlformats.org/officeDocument/2006/customXml" ds:itemID="{46DFBD97-9535-4623-AEF6-30C11EA8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894</Words>
  <Characters>6157</Characters>
  <Application>Microsoft Office Word</Application>
  <DocSecurity>0</DocSecurity>
  <Lines>219</Lines>
  <Paragraphs>71</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Kumštienė</dc:creator>
  <cp:keywords/>
  <dc:description/>
  <cp:lastModifiedBy>Urtė Šiupšinskaitė</cp:lastModifiedBy>
  <cp:revision>25</cp:revision>
  <dcterms:created xsi:type="dcterms:W3CDTF">2025-08-20T13:11:00Z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ies>
</file>