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Karlo Gustavo Emilio Manerheimo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0B054CD6"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47350E">
        <w:rPr>
          <w:rFonts w:ascii="Tahoma" w:hAnsi="Tahoma" w:cs="Tahoma"/>
          <w:b/>
          <w:bCs/>
          <w:sz w:val="20"/>
          <w:szCs w:val="20"/>
          <w:lang w:val="fi-FI"/>
        </w:rPr>
        <w:t>5</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DB216A">
        <w:rPr>
          <w:rFonts w:ascii="Tahoma" w:hAnsi="Tahoma" w:cs="Tahoma"/>
          <w:b/>
          <w:bCs/>
          <w:sz w:val="20"/>
          <w:szCs w:val="20"/>
          <w:lang w:val="lt-LT"/>
        </w:rPr>
        <w:t>BIRŽELIO</w:t>
      </w:r>
      <w:r w:rsidR="005E48F2" w:rsidRPr="00802FF4">
        <w:rPr>
          <w:rFonts w:ascii="Tahoma" w:hAnsi="Tahoma" w:cs="Tahoma"/>
          <w:b/>
          <w:bCs/>
          <w:sz w:val="20"/>
          <w:szCs w:val="20"/>
          <w:lang w:val="lt-LT"/>
        </w:rPr>
        <w:t xml:space="preserve"> </w:t>
      </w:r>
      <w:r w:rsidR="0047350E">
        <w:rPr>
          <w:rFonts w:ascii="Tahoma" w:hAnsi="Tahoma" w:cs="Tahoma"/>
          <w:b/>
          <w:bCs/>
          <w:sz w:val="20"/>
          <w:szCs w:val="20"/>
          <w:lang w:val="lt-LT"/>
        </w:rPr>
        <w:t>1</w:t>
      </w:r>
      <w:r w:rsidR="00DB216A">
        <w:rPr>
          <w:rFonts w:ascii="Tahoma" w:hAnsi="Tahoma" w:cs="Tahoma"/>
          <w:b/>
          <w:bCs/>
          <w:sz w:val="20"/>
          <w:szCs w:val="20"/>
          <w:lang w:val="lt-LT"/>
        </w:rPr>
        <w:t>9</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876C7B">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11DB3263" w:rsidR="00AA473D" w:rsidRPr="00110E40" w:rsidRDefault="00447433" w:rsidP="000D16B2">
                <w:pPr>
                  <w:rPr>
                    <w:rFonts w:ascii="Tahoma" w:hAnsi="Tahoma" w:cs="Tahoma"/>
                    <w:b/>
                    <w:bCs/>
                    <w:sz w:val="20"/>
                    <w:szCs w:val="20"/>
                    <w:lang w:val="lt-LT"/>
                  </w:rPr>
                </w:pPr>
                <w:r>
                  <w:rPr>
                    <w:rStyle w:val="PlaceholderText"/>
                    <w:rFonts w:ascii="Arial" w:hAnsi="Arial" w:cs="Arial"/>
                    <w:sz w:val="20"/>
                    <w:szCs w:val="20"/>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Content>
              <w:p w14:paraId="1D9A200E" w14:textId="1BB6C399" w:rsidR="00AA473D"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Content>
              <w:p w14:paraId="38459E98" w14:textId="66655938" w:rsidR="0076702C"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15DE5A45"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30BFFAE9"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00447433">
                  <w:rPr>
                    <w:rStyle w:val="PlaceholderText"/>
                    <w:rFonts w:ascii="Arial" w:hAnsi="Arial" w:cs="Arial"/>
                    <w:sz w:val="20"/>
                    <w:szCs w:val="20"/>
                  </w:rPr>
                  <w:t>Vardas, pavardė</w:t>
                </w:r>
              </w:sdtContent>
            </w:sdt>
          </w:p>
        </w:tc>
        <w:tc>
          <w:tcPr>
            <w:tcW w:w="1276" w:type="dxa"/>
            <w:vAlign w:val="center"/>
          </w:tcPr>
          <w:p w14:paraId="3A03924B" w14:textId="4C5318F1"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512659EF"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w:t>
            </w:r>
            <w:r w:rsidR="00110381">
              <w:rPr>
                <w:rFonts w:ascii="Tahoma" w:hAnsi="Tahoma" w:cs="Tahoma"/>
                <w:b/>
                <w:bCs/>
                <w:sz w:val="20"/>
                <w:szCs w:val="20"/>
                <w:lang w:val="lt-LT"/>
              </w:rPr>
              <w:t>as</w:t>
            </w:r>
            <w:r w:rsidR="00CE0CFB" w:rsidRPr="00110E40">
              <w:rPr>
                <w:rFonts w:ascii="Tahoma" w:hAnsi="Tahoma" w:cs="Tahoma"/>
                <w:b/>
                <w:bCs/>
                <w:sz w:val="20"/>
                <w:szCs w:val="20"/>
                <w:lang w:val="lt-LT"/>
              </w:rPr>
              <w:t xml:space="preserve"> sprendimo projekta</w:t>
            </w:r>
            <w:r w:rsidR="00110381">
              <w:rPr>
                <w:rFonts w:ascii="Tahoma" w:hAnsi="Tahoma" w:cs="Tahoma"/>
                <w:b/>
                <w:bCs/>
                <w:sz w:val="20"/>
                <w:szCs w:val="20"/>
                <w:lang w:val="lt-LT"/>
              </w:rPr>
              <w:t>s</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636CA7A7" w:rsidR="00802FF4" w:rsidRPr="00EE61B5" w:rsidRDefault="00AD36D3" w:rsidP="005F41C7">
            <w:pPr>
              <w:spacing w:before="40" w:after="40" w:line="240" w:lineRule="exact"/>
              <w:jc w:val="both"/>
              <w:rPr>
                <w:rFonts w:ascii="Tahoma" w:hAnsi="Tahoma" w:cs="Tahoma"/>
                <w:sz w:val="20"/>
                <w:szCs w:val="20"/>
                <w:lang w:val="lt-LT"/>
              </w:rPr>
            </w:pPr>
            <w:r w:rsidRPr="00AD36D3">
              <w:rPr>
                <w:rFonts w:ascii="Tahoma" w:hAnsi="Tahoma" w:cs="Tahoma"/>
                <w:sz w:val="20"/>
                <w:szCs w:val="20"/>
                <w:lang w:val="lt-LT"/>
              </w:rPr>
              <w:t xml:space="preserve">Dėl pritarimo LITGRID AB 2025 m. </w:t>
            </w:r>
            <w:r w:rsidR="00DB216A">
              <w:rPr>
                <w:rFonts w:ascii="Tahoma" w:hAnsi="Tahoma" w:cs="Tahoma"/>
                <w:sz w:val="20"/>
                <w:szCs w:val="20"/>
                <w:lang w:val="lt-LT"/>
              </w:rPr>
              <w:t>gegužės</w:t>
            </w:r>
            <w:r w:rsidRPr="00AD36D3">
              <w:rPr>
                <w:rFonts w:ascii="Tahoma" w:hAnsi="Tahoma" w:cs="Tahoma"/>
                <w:sz w:val="20"/>
                <w:szCs w:val="20"/>
                <w:lang w:val="lt-LT"/>
              </w:rPr>
              <w:t xml:space="preserve"> 2</w:t>
            </w:r>
            <w:r w:rsidR="00DB216A">
              <w:rPr>
                <w:rFonts w:ascii="Tahoma" w:hAnsi="Tahoma" w:cs="Tahoma"/>
                <w:sz w:val="20"/>
                <w:szCs w:val="20"/>
                <w:lang w:val="lt-LT"/>
              </w:rPr>
              <w:t>8</w:t>
            </w:r>
            <w:r w:rsidRPr="00AD36D3">
              <w:rPr>
                <w:rFonts w:ascii="Tahoma" w:hAnsi="Tahoma" w:cs="Tahoma"/>
                <w:sz w:val="20"/>
                <w:szCs w:val="20"/>
                <w:lang w:val="lt-LT"/>
              </w:rPr>
              <w:t xml:space="preserve"> d. valdybos sprendimui</w:t>
            </w:r>
          </w:p>
        </w:tc>
        <w:tc>
          <w:tcPr>
            <w:tcW w:w="3827" w:type="dxa"/>
            <w:vAlign w:val="center"/>
          </w:tcPr>
          <w:p w14:paraId="47ACCCB7" w14:textId="12D7631F" w:rsidR="002E0336" w:rsidRPr="002E0336" w:rsidRDefault="00E53220" w:rsidP="002E0336">
            <w:pPr>
              <w:spacing w:before="40" w:after="40" w:line="240" w:lineRule="exact"/>
              <w:jc w:val="both"/>
              <w:rPr>
                <w:rFonts w:ascii="Tahoma" w:hAnsi="Tahoma" w:cs="Tahoma"/>
                <w:bCs/>
                <w:iCs/>
                <w:sz w:val="20"/>
                <w:szCs w:val="20"/>
                <w:lang w:val="lt-LT"/>
              </w:rPr>
            </w:pPr>
            <w:r w:rsidRPr="00E53220">
              <w:rPr>
                <w:rFonts w:ascii="Tahoma" w:hAnsi="Tahoma" w:cs="Tahoma"/>
                <w:bCs/>
                <w:iCs/>
                <w:sz w:val="20"/>
                <w:szCs w:val="20"/>
                <w:lang w:val="lt-LT"/>
              </w:rPr>
              <w:t>1. Pritarti LITGRID AB valdybos 2025-0</w:t>
            </w:r>
            <w:r w:rsidR="002E0336">
              <w:rPr>
                <w:rFonts w:ascii="Tahoma" w:hAnsi="Tahoma" w:cs="Tahoma"/>
                <w:bCs/>
                <w:iCs/>
                <w:sz w:val="20"/>
                <w:szCs w:val="20"/>
                <w:lang w:val="lt-LT"/>
              </w:rPr>
              <w:t>5</w:t>
            </w:r>
            <w:r w:rsidRPr="00E53220">
              <w:rPr>
                <w:rFonts w:ascii="Tahoma" w:hAnsi="Tahoma" w:cs="Tahoma"/>
                <w:bCs/>
                <w:iCs/>
                <w:sz w:val="20"/>
                <w:szCs w:val="20"/>
                <w:lang w:val="lt-LT"/>
              </w:rPr>
              <w:t>-2</w:t>
            </w:r>
            <w:r w:rsidR="002E0336">
              <w:rPr>
                <w:rFonts w:ascii="Tahoma" w:hAnsi="Tahoma" w:cs="Tahoma"/>
                <w:bCs/>
                <w:iCs/>
                <w:sz w:val="20"/>
                <w:szCs w:val="20"/>
                <w:lang w:val="lt-LT"/>
              </w:rPr>
              <w:t>8</w:t>
            </w:r>
            <w:r w:rsidRPr="00E53220">
              <w:rPr>
                <w:rFonts w:ascii="Tahoma" w:hAnsi="Tahoma" w:cs="Tahoma"/>
                <w:bCs/>
                <w:iCs/>
                <w:sz w:val="20"/>
                <w:szCs w:val="20"/>
                <w:lang w:val="lt-LT"/>
              </w:rPr>
              <w:t xml:space="preserve"> sprendimui sudaryti </w:t>
            </w:r>
            <w:r w:rsidR="002E0336" w:rsidRPr="002E0336">
              <w:rPr>
                <w:rFonts w:ascii="Tahoma" w:hAnsi="Tahoma" w:cs="Tahoma"/>
                <w:bCs/>
                <w:iCs/>
                <w:sz w:val="20"/>
                <w:szCs w:val="20"/>
                <w:lang w:val="lt-LT"/>
              </w:rPr>
              <w:t>elektros energijos iš atsinaujinančių energijos išteklių pastoviu tiekimo grafiku tiekimo sutartį su UAB „Ignitis“ ir patvirtinti esmines šios sutarties sąlygas.</w:t>
            </w:r>
          </w:p>
          <w:p w14:paraId="4B366F6E"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 xml:space="preserve">1.1 Sutarties šalys – LITGRID AB, pagal Lietuvos Respublikos įstatymus įsteigta ir veikianti įmonė, juridinio asmens kodas 302564383, kurios registruota buveinė yra Karlo Gustavo Emilio Manerheimo g. 8, LT-05131 Vilnius, duomenys apie bendrovę kaupiami ir saugomi Lietuvos Respublikos juridinių asmenų registre, ir UAB „Ignitis“, pagal Lietuvos Respublikos įstatymus įsteigta ir veikianti įmonė, juridinio asmens kodas 303383884, </w:t>
            </w:r>
            <w:r w:rsidRPr="002E0336">
              <w:rPr>
                <w:rFonts w:ascii="Tahoma" w:hAnsi="Tahoma" w:cs="Tahoma"/>
                <w:bCs/>
                <w:iCs/>
                <w:sz w:val="20"/>
                <w:szCs w:val="20"/>
                <w:lang w:val="lt-LT"/>
              </w:rPr>
              <w:lastRenderedPageBreak/>
              <w:t>kurios registruota buveinė yra Laisvės pr. 10, LT-04215 Vilnius, duomenys apie bendrovę kaupiami ir saugomi Lietuvos Respublikos juridinių asmenų registre.</w:t>
            </w:r>
          </w:p>
          <w:p w14:paraId="025DBED5"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1.2 Sutarties dalykas (objektas) – iki 160 GWh elektros energijos iš atsinaujinančių energijos išteklių su Kilmės garantijomis per metus (4,5MWh kiekvienas 15 minučių).</w:t>
            </w:r>
          </w:p>
          <w:p w14:paraId="616EAC1F"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1.3 Įsipareigojimų įvykdymo terminas: 2026-01-01 – 2032-12-31 (7 metų kontraktas).</w:t>
            </w:r>
          </w:p>
          <w:p w14:paraId="6DCE0AB0"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1.4 Kaina ir (ar) kainodara, mokėjimo tvarka ir jų keitimo taisyklės</w:t>
            </w:r>
          </w:p>
          <w:p w14:paraId="147CE239"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1.4.1 Sutarties kaina – 82 294 488 Eur be PVM (74,5 Eur/MWh), Fiksuotos kainos kainodara.</w:t>
            </w:r>
          </w:p>
          <w:p w14:paraId="15FF67EC"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1.4.2 Atsiskaitymo tvarka:</w:t>
            </w:r>
          </w:p>
          <w:p w14:paraId="02427997"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1.4.2.1 Atsiskaitoma 1 kartą per mėnesį (už per praėjusį mėn. patiektą elektros energijos kiekį ir kilmės garantijas).</w:t>
            </w:r>
          </w:p>
          <w:p w14:paraId="4B3F59D1"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1.4.2.2 Tiekėjas sąskaitą faktūrą pateikia per 3 d. d. po ataskaitinio mėnesio.</w:t>
            </w:r>
          </w:p>
          <w:p w14:paraId="5865771A"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1.4.2.3 Tinkamai išrašytą ir pateiktą PVM sąskaitą faktūrą Pirkėjas apmokės per 15 dienų nuo sąskaitos gavimo dienos.</w:t>
            </w:r>
          </w:p>
          <w:p w14:paraId="4796F890"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1.4.3 Sutarties kainos keitimo taisyklės:</w:t>
            </w:r>
          </w:p>
          <w:p w14:paraId="05CA772B"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1.4.3.1 Sutarties 1 MWh kaina gali būti perskaičiuojama, jeigu pagal Lietuvos Respublikos Valstybės duomenų agentūros duomenis Lietuvos Respublikos vidutinė metinė infliacija (pagal vartotojų kainų indeksą (VKI)) pasiekia 20 ar daugiau procentų arba vidutinė metinė defliacija pasiekia (-20) ar mažiau procentų ribą. (duomenų šaltinis: Rodiklių duomenų bazė - Oficialiosios statistikos portalas).</w:t>
            </w:r>
          </w:p>
          <w:p w14:paraId="434A71B5" w14:textId="77777777" w:rsidR="002E0336" w:rsidRPr="002E0336" w:rsidRDefault="002E0336" w:rsidP="002E0336">
            <w:pPr>
              <w:spacing w:before="40" w:after="40" w:line="240" w:lineRule="exact"/>
              <w:jc w:val="both"/>
              <w:rPr>
                <w:rFonts w:ascii="Tahoma" w:hAnsi="Tahoma" w:cs="Tahoma"/>
                <w:bCs/>
                <w:iCs/>
                <w:sz w:val="20"/>
                <w:szCs w:val="20"/>
                <w:lang w:val="lt-LT"/>
              </w:rPr>
            </w:pPr>
            <w:r w:rsidRPr="002E0336">
              <w:rPr>
                <w:rFonts w:ascii="Tahoma" w:hAnsi="Tahoma" w:cs="Tahoma"/>
                <w:bCs/>
                <w:iCs/>
                <w:sz w:val="20"/>
                <w:szCs w:val="20"/>
                <w:lang w:val="lt-LT"/>
              </w:rPr>
              <w:t>1.4.3.2 Sutarties kainos perskaičiavimą Sutarties Šalis gali inicijuoti ne anksčiau nei po 12 mėnesių nuo Sutarties įsigaliojimo dienos arba nuo Susitarimo dėl paskutinio kainos perskaičiavimo įsigaliojimo dienos.</w:t>
            </w:r>
          </w:p>
          <w:p w14:paraId="552E4E35" w14:textId="77777777" w:rsidR="00EE6E50" w:rsidRPr="00EE6E50" w:rsidRDefault="00EE6E50" w:rsidP="00EE6E50">
            <w:pPr>
              <w:spacing w:before="40" w:after="40" w:line="240" w:lineRule="exact"/>
              <w:jc w:val="both"/>
              <w:rPr>
                <w:rFonts w:ascii="Tahoma" w:hAnsi="Tahoma" w:cs="Tahoma"/>
                <w:bCs/>
                <w:iCs/>
                <w:sz w:val="20"/>
                <w:szCs w:val="20"/>
                <w:lang w:val="lt-LT"/>
              </w:rPr>
            </w:pPr>
            <w:r w:rsidRPr="00EE6E50">
              <w:rPr>
                <w:rFonts w:ascii="Tahoma" w:hAnsi="Tahoma" w:cs="Tahoma"/>
                <w:bCs/>
                <w:iCs/>
                <w:sz w:val="20"/>
                <w:szCs w:val="20"/>
                <w:lang w:val="lt-LT"/>
              </w:rPr>
              <w:t xml:space="preserve">1.4.3.3 Nauja sutarties 1 MWh kaina apskaičiuojama pagal formulę kai sutarties 1 MWh kaina keičiama iš Lietuvos Respublikos Valstybės duomenų agentūros duomenimis Lietuvos Respublikos vidutinės metinės infliacijos, paskelbtos mėnesį prieš Sutarties Šalies kainos perskaičiavimo prašymo pateikimo mėnesį, atėmus sutartyje nustatytą 20% (-20%, esant defliacijai) ribą ir procentinį skirtumą padauginus iš 0,1 koeficiento: Nauja sutarties 1MWh kaina = sutarties 1MWh kaina + (sutarties 1MWh kaina * </w:t>
            </w:r>
            <w:r w:rsidRPr="00EE6E50">
              <w:rPr>
                <w:rFonts w:ascii="Tahoma" w:hAnsi="Tahoma" w:cs="Tahoma"/>
                <w:bCs/>
                <w:iCs/>
                <w:sz w:val="20"/>
                <w:szCs w:val="20"/>
                <w:lang w:val="lt-LT"/>
              </w:rPr>
              <w:lastRenderedPageBreak/>
              <w:t>(vidutinė praėjusio mėnesio infliacija – 20%) / 100 * 0,1).</w:t>
            </w:r>
          </w:p>
          <w:p w14:paraId="6C7B2E34" w14:textId="77777777" w:rsidR="00EE6E50" w:rsidRPr="00EE6E50" w:rsidRDefault="00EE6E50" w:rsidP="00EE6E50">
            <w:pPr>
              <w:spacing w:before="40" w:after="40" w:line="240" w:lineRule="exact"/>
              <w:jc w:val="both"/>
              <w:rPr>
                <w:rFonts w:ascii="Tahoma" w:hAnsi="Tahoma" w:cs="Tahoma"/>
                <w:bCs/>
                <w:iCs/>
                <w:sz w:val="20"/>
                <w:szCs w:val="20"/>
                <w:lang w:val="lt-LT"/>
              </w:rPr>
            </w:pPr>
            <w:r w:rsidRPr="00EE6E50">
              <w:rPr>
                <w:rFonts w:ascii="Tahoma" w:hAnsi="Tahoma" w:cs="Tahoma"/>
                <w:bCs/>
                <w:iCs/>
                <w:sz w:val="20"/>
                <w:szCs w:val="20"/>
                <w:lang w:val="lt-LT"/>
              </w:rPr>
              <w:t>1.5 Įsipareigojimų įvykdymo užtikrinimas:</w:t>
            </w:r>
          </w:p>
          <w:p w14:paraId="4CA870C2" w14:textId="77777777" w:rsidR="00EE6E50" w:rsidRPr="00EE6E50" w:rsidRDefault="00EE6E50" w:rsidP="00EE6E50">
            <w:pPr>
              <w:spacing w:before="40" w:after="40" w:line="240" w:lineRule="exact"/>
              <w:jc w:val="both"/>
              <w:rPr>
                <w:rFonts w:ascii="Tahoma" w:hAnsi="Tahoma" w:cs="Tahoma"/>
                <w:bCs/>
                <w:iCs/>
                <w:sz w:val="20"/>
                <w:szCs w:val="20"/>
                <w:lang w:val="lt-LT"/>
              </w:rPr>
            </w:pPr>
            <w:r w:rsidRPr="00EE6E50">
              <w:rPr>
                <w:rFonts w:ascii="Tahoma" w:hAnsi="Tahoma" w:cs="Tahoma"/>
                <w:bCs/>
                <w:iCs/>
                <w:sz w:val="20"/>
                <w:szCs w:val="20"/>
                <w:lang w:val="lt-LT"/>
              </w:rPr>
              <w:t>1.5.1 Sutartiniams įsipareigojimams užtikrinti Tiekėjas iki Sutarties pasirašymo Užsakovui turi pateikti Sutarties įvykdymo užtikrinimą:</w:t>
            </w:r>
          </w:p>
          <w:p w14:paraId="74FAA3A8" w14:textId="77777777" w:rsidR="00EE6E50" w:rsidRPr="00EE6E50" w:rsidRDefault="00EE6E50" w:rsidP="00EE6E50">
            <w:pPr>
              <w:spacing w:before="40" w:after="40" w:line="240" w:lineRule="exact"/>
              <w:jc w:val="both"/>
              <w:rPr>
                <w:rFonts w:ascii="Tahoma" w:hAnsi="Tahoma" w:cs="Tahoma"/>
                <w:bCs/>
                <w:iCs/>
                <w:sz w:val="20"/>
                <w:szCs w:val="20"/>
                <w:lang w:val="lt-LT"/>
              </w:rPr>
            </w:pPr>
            <w:r w:rsidRPr="00EE6E50">
              <w:rPr>
                <w:rFonts w:ascii="Tahoma" w:hAnsi="Tahoma" w:cs="Tahoma"/>
                <w:bCs/>
                <w:iCs/>
                <w:sz w:val="20"/>
                <w:szCs w:val="20"/>
                <w:lang w:val="lt-LT"/>
              </w:rPr>
              <w:t>– pateikia neatšaukiamą, pirmo pareikalavimo banko garantiją, išduotą Lietuvoje teikiančio paslaugas banko, kuris pats arba bankų grupė, kuriai jis priklauso, turi ne mažesnį nei BBB- ilgalaikio skolinimosi reitingą, suteiktą „Fitch Ratings“ reitingų agentūros, arba jam analogišką reitingą, suteiktą kitos tarptautinės reitingų agentūros; arba</w:t>
            </w:r>
          </w:p>
          <w:p w14:paraId="4E65546C" w14:textId="77777777" w:rsidR="00EE6E50" w:rsidRPr="00EE6E50" w:rsidRDefault="00EE6E50" w:rsidP="00EE6E50">
            <w:pPr>
              <w:spacing w:before="40" w:after="40" w:line="240" w:lineRule="exact"/>
              <w:jc w:val="both"/>
              <w:rPr>
                <w:rFonts w:ascii="Tahoma" w:hAnsi="Tahoma" w:cs="Tahoma"/>
                <w:bCs/>
                <w:iCs/>
                <w:sz w:val="20"/>
                <w:szCs w:val="20"/>
                <w:lang w:val="lt-LT"/>
              </w:rPr>
            </w:pPr>
            <w:r w:rsidRPr="00EE6E50">
              <w:rPr>
                <w:rFonts w:ascii="Tahoma" w:hAnsi="Tahoma" w:cs="Tahoma"/>
                <w:bCs/>
                <w:iCs/>
                <w:sz w:val="20"/>
                <w:szCs w:val="20"/>
                <w:lang w:val="lt-LT"/>
              </w:rPr>
              <w:t>– pateikia neatšaukiamą patronuojančios įmonės išduotą garantiją, kuri turi ne mažesnį nei BBB- ilgalaikio skolinimosi reitingą, suteiktą „Fitch Ratings“ reitingų agentūros, arba jam analogišką reitingą, suteiktą kitos tarptautinės reitingų agentūros.</w:t>
            </w:r>
          </w:p>
          <w:p w14:paraId="20649EC2" w14:textId="77777777" w:rsidR="00EE6E50" w:rsidRPr="00EE6E50" w:rsidRDefault="00EE6E50" w:rsidP="00EE6E50">
            <w:pPr>
              <w:spacing w:before="40" w:after="40" w:line="240" w:lineRule="exact"/>
              <w:jc w:val="both"/>
              <w:rPr>
                <w:rFonts w:ascii="Tahoma" w:hAnsi="Tahoma" w:cs="Tahoma"/>
                <w:bCs/>
                <w:iCs/>
                <w:sz w:val="20"/>
                <w:szCs w:val="20"/>
                <w:lang w:val="lt-LT"/>
              </w:rPr>
            </w:pPr>
            <w:r w:rsidRPr="00EE6E50">
              <w:rPr>
                <w:rFonts w:ascii="Tahoma" w:hAnsi="Tahoma" w:cs="Tahoma"/>
                <w:bCs/>
                <w:iCs/>
                <w:sz w:val="20"/>
                <w:szCs w:val="20"/>
                <w:lang w:val="lt-LT"/>
              </w:rPr>
              <w:t>1.5.2 Sutarties įvykdymo užtikrinimo dydis turi būti ne mažesnis kaip 2% nuo Sutarties vertės (be PVM).</w:t>
            </w:r>
          </w:p>
          <w:p w14:paraId="4F2B450D" w14:textId="77777777" w:rsidR="00EE6E50" w:rsidRPr="00EE6E50" w:rsidRDefault="00EE6E50" w:rsidP="00EE6E50">
            <w:pPr>
              <w:spacing w:before="40" w:after="40" w:line="240" w:lineRule="exact"/>
              <w:jc w:val="both"/>
              <w:rPr>
                <w:rFonts w:ascii="Tahoma" w:hAnsi="Tahoma" w:cs="Tahoma"/>
                <w:bCs/>
                <w:iCs/>
                <w:sz w:val="20"/>
                <w:szCs w:val="20"/>
                <w:lang w:val="lt-LT"/>
              </w:rPr>
            </w:pPr>
            <w:r w:rsidRPr="00EE6E50">
              <w:rPr>
                <w:rFonts w:ascii="Tahoma" w:hAnsi="Tahoma" w:cs="Tahoma"/>
                <w:bCs/>
                <w:iCs/>
                <w:sz w:val="20"/>
                <w:szCs w:val="20"/>
                <w:lang w:val="lt-LT"/>
              </w:rPr>
              <w:t>2. Įgalioti LITGRID AB vadovą (su teise perįgalioti) suderinti kitas (neesmines) šios sutarties sąlygas ir šią sutartį pasirašyti.</w:t>
            </w:r>
          </w:p>
          <w:p w14:paraId="40765D26" w14:textId="3B8E8D19" w:rsidR="00311250" w:rsidRPr="00110E40" w:rsidRDefault="00EE6E50" w:rsidP="002966DB">
            <w:pPr>
              <w:spacing w:before="40" w:after="40" w:line="240" w:lineRule="exact"/>
              <w:jc w:val="both"/>
              <w:rPr>
                <w:rFonts w:ascii="Tahoma" w:hAnsi="Tahoma" w:cs="Tahoma"/>
                <w:bCs/>
                <w:iCs/>
                <w:sz w:val="20"/>
                <w:szCs w:val="20"/>
                <w:lang w:val="lt-LT"/>
              </w:rPr>
            </w:pPr>
            <w:r w:rsidRPr="00EE6E50">
              <w:rPr>
                <w:rFonts w:ascii="Tahoma" w:hAnsi="Tahoma" w:cs="Tahoma"/>
                <w:bCs/>
                <w:iCs/>
                <w:sz w:val="20"/>
                <w:szCs w:val="20"/>
                <w:lang w:val="lt-LT"/>
              </w:rPr>
              <w:t>3. Įgalioti LITGRID AB vadovą be atskiro LITGRID AB valdybos sprendimo priimti sprendimus dėl sutarties esminės sąlygos – sutarties kaina – pakeitimo mažinant kainą be jokių apribojimų arba didinant kainą dėl pagrįsto 1MWh kainos indeksavimo, jeigu bendra visų susitarimų suma neviršija 3 % (t. y. 2 468 435 Eur be PVM) nuo pradinės Sutarties kainos.</w:t>
            </w:r>
          </w:p>
        </w:tc>
        <w:tc>
          <w:tcPr>
            <w:tcW w:w="1219" w:type="dxa"/>
            <w:vAlign w:val="center"/>
          </w:tcPr>
          <w:p w14:paraId="17E047FC" w14:textId="0705C46D"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12364579" w14:textId="4DEF2D6E"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lastRenderedPageBreak/>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C70B5">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4507" w14:textId="77777777" w:rsidR="00E421E9" w:rsidRDefault="00E421E9">
      <w:pPr>
        <w:pStyle w:val="antraste"/>
      </w:pPr>
      <w:r>
        <w:separator/>
      </w:r>
    </w:p>
  </w:endnote>
  <w:endnote w:type="continuationSeparator" w:id="0">
    <w:p w14:paraId="3A04A608" w14:textId="77777777" w:rsidR="00E421E9" w:rsidRDefault="00E421E9">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8A31" w14:textId="77777777" w:rsidR="00E421E9" w:rsidRDefault="00E421E9">
      <w:pPr>
        <w:pStyle w:val="antraste"/>
      </w:pPr>
      <w:r>
        <w:separator/>
      </w:r>
    </w:p>
  </w:footnote>
  <w:footnote w:type="continuationSeparator" w:id="0">
    <w:p w14:paraId="04C0B077" w14:textId="77777777" w:rsidR="00E421E9" w:rsidRDefault="00E421E9">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28C51C3"/>
    <w:multiLevelType w:val="hybridMultilevel"/>
    <w:tmpl w:val="371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121495"/>
    <w:multiLevelType w:val="hybridMultilevel"/>
    <w:tmpl w:val="0A70CE70"/>
    <w:lvl w:ilvl="0" w:tplc="078CC2DC">
      <w:start w:val="1"/>
      <w:numFmt w:val="bullet"/>
      <w:lvlText w:val="-"/>
      <w:lvlJc w:val="left"/>
      <w:pPr>
        <w:ind w:left="717" w:hanging="360"/>
      </w:pPr>
      <w:rPr>
        <w:rFonts w:ascii="Tahoma" w:eastAsiaTheme="minorHAnsi" w:hAnsi="Tahoma" w:cs="Tahoma"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4"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4"/>
  </w:num>
  <w:num w:numId="3" w16cid:durableId="51079209">
    <w:abstractNumId w:val="1"/>
  </w:num>
  <w:num w:numId="4" w16cid:durableId="1854801918">
    <w:abstractNumId w:val="2"/>
  </w:num>
  <w:num w:numId="5" w16cid:durableId="168971985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1FB0"/>
    <w:rsid w:val="000328A0"/>
    <w:rsid w:val="0003317F"/>
    <w:rsid w:val="00033AB4"/>
    <w:rsid w:val="00033BC9"/>
    <w:rsid w:val="00034642"/>
    <w:rsid w:val="000347B3"/>
    <w:rsid w:val="00034D05"/>
    <w:rsid w:val="00035B17"/>
    <w:rsid w:val="0003783E"/>
    <w:rsid w:val="00037C6A"/>
    <w:rsid w:val="000407E7"/>
    <w:rsid w:val="0004115E"/>
    <w:rsid w:val="0004137C"/>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381"/>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67E11"/>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0C3"/>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3C5A"/>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2CC"/>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17A5"/>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6DB"/>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336"/>
    <w:rsid w:val="002E0E53"/>
    <w:rsid w:val="002E0E64"/>
    <w:rsid w:val="002E1477"/>
    <w:rsid w:val="002E3EC5"/>
    <w:rsid w:val="002E7023"/>
    <w:rsid w:val="002E7154"/>
    <w:rsid w:val="002F075F"/>
    <w:rsid w:val="002F169A"/>
    <w:rsid w:val="002F1FC0"/>
    <w:rsid w:val="002F3349"/>
    <w:rsid w:val="002F373D"/>
    <w:rsid w:val="002F509A"/>
    <w:rsid w:val="002F57E2"/>
    <w:rsid w:val="002F5A70"/>
    <w:rsid w:val="002F5B48"/>
    <w:rsid w:val="002F7309"/>
    <w:rsid w:val="002F7432"/>
    <w:rsid w:val="002F755C"/>
    <w:rsid w:val="002F7816"/>
    <w:rsid w:val="002F7EF3"/>
    <w:rsid w:val="002F7F93"/>
    <w:rsid w:val="003008B8"/>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83"/>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57892"/>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15"/>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52C"/>
    <w:rsid w:val="003F47BD"/>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CF7"/>
    <w:rsid w:val="00424D15"/>
    <w:rsid w:val="00426BC4"/>
    <w:rsid w:val="00426F72"/>
    <w:rsid w:val="00427534"/>
    <w:rsid w:val="00427943"/>
    <w:rsid w:val="00427DEE"/>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71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350E"/>
    <w:rsid w:val="00474BB4"/>
    <w:rsid w:val="00474EB0"/>
    <w:rsid w:val="00476E24"/>
    <w:rsid w:val="00477E06"/>
    <w:rsid w:val="00480821"/>
    <w:rsid w:val="00481142"/>
    <w:rsid w:val="0048262B"/>
    <w:rsid w:val="00483193"/>
    <w:rsid w:val="00484B57"/>
    <w:rsid w:val="00485095"/>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362"/>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4EC8"/>
    <w:rsid w:val="005954EC"/>
    <w:rsid w:val="00595804"/>
    <w:rsid w:val="005965BD"/>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9FA"/>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090A"/>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C3B"/>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1FD3"/>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3FED"/>
    <w:rsid w:val="008B4F2D"/>
    <w:rsid w:val="008B5599"/>
    <w:rsid w:val="008B58C9"/>
    <w:rsid w:val="008B5FF9"/>
    <w:rsid w:val="008B63EF"/>
    <w:rsid w:val="008C113E"/>
    <w:rsid w:val="008C2BC1"/>
    <w:rsid w:val="008C48F1"/>
    <w:rsid w:val="008C4FBB"/>
    <w:rsid w:val="008C5CC9"/>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8AA"/>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0D26"/>
    <w:rsid w:val="009E1443"/>
    <w:rsid w:val="009E1C97"/>
    <w:rsid w:val="009E3D6D"/>
    <w:rsid w:val="009E5032"/>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36D3"/>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1EA"/>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4"/>
    <w:rsid w:val="00B81918"/>
    <w:rsid w:val="00B8253B"/>
    <w:rsid w:val="00B829E0"/>
    <w:rsid w:val="00B82D8C"/>
    <w:rsid w:val="00B82E48"/>
    <w:rsid w:val="00B82E51"/>
    <w:rsid w:val="00B832A3"/>
    <w:rsid w:val="00B849E9"/>
    <w:rsid w:val="00B859B4"/>
    <w:rsid w:val="00B859E1"/>
    <w:rsid w:val="00B85B89"/>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9EA"/>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1ED"/>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822"/>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4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3920"/>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16A"/>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4"/>
    <w:rsid w:val="00DE622C"/>
    <w:rsid w:val="00DE6890"/>
    <w:rsid w:val="00DE6BEC"/>
    <w:rsid w:val="00DE7438"/>
    <w:rsid w:val="00DE79C7"/>
    <w:rsid w:val="00DE7F62"/>
    <w:rsid w:val="00DE7F71"/>
    <w:rsid w:val="00DF0033"/>
    <w:rsid w:val="00DF123B"/>
    <w:rsid w:val="00DF14E4"/>
    <w:rsid w:val="00DF2746"/>
    <w:rsid w:val="00DF2AAD"/>
    <w:rsid w:val="00DF3C54"/>
    <w:rsid w:val="00DF442B"/>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1E9"/>
    <w:rsid w:val="00E425B3"/>
    <w:rsid w:val="00E4288C"/>
    <w:rsid w:val="00E42AB6"/>
    <w:rsid w:val="00E42F16"/>
    <w:rsid w:val="00E431C8"/>
    <w:rsid w:val="00E436FF"/>
    <w:rsid w:val="00E44AEC"/>
    <w:rsid w:val="00E45CD2"/>
    <w:rsid w:val="00E45E10"/>
    <w:rsid w:val="00E4674C"/>
    <w:rsid w:val="00E4688F"/>
    <w:rsid w:val="00E46939"/>
    <w:rsid w:val="00E4778F"/>
    <w:rsid w:val="00E52C77"/>
    <w:rsid w:val="00E52F42"/>
    <w:rsid w:val="00E53220"/>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1B5"/>
    <w:rsid w:val="00EE632B"/>
    <w:rsid w:val="00EE6E50"/>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3C3C"/>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4A9"/>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F1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2BF1"/>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0D47"/>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3935"/>
    <w:rsid w:val="000E6572"/>
    <w:rsid w:val="00131EE3"/>
    <w:rsid w:val="00154EA0"/>
    <w:rsid w:val="001C6989"/>
    <w:rsid w:val="001C7ED2"/>
    <w:rsid w:val="002617A5"/>
    <w:rsid w:val="00266F92"/>
    <w:rsid w:val="00290853"/>
    <w:rsid w:val="00295570"/>
    <w:rsid w:val="00326647"/>
    <w:rsid w:val="00342983"/>
    <w:rsid w:val="003532FE"/>
    <w:rsid w:val="0037073B"/>
    <w:rsid w:val="003E1815"/>
    <w:rsid w:val="003F47BD"/>
    <w:rsid w:val="0042762B"/>
    <w:rsid w:val="00443CC5"/>
    <w:rsid w:val="004D691E"/>
    <w:rsid w:val="004E5C42"/>
    <w:rsid w:val="004F67AB"/>
    <w:rsid w:val="00530858"/>
    <w:rsid w:val="005575E8"/>
    <w:rsid w:val="005A26E0"/>
    <w:rsid w:val="005A2D7D"/>
    <w:rsid w:val="005E4E93"/>
    <w:rsid w:val="005F0E44"/>
    <w:rsid w:val="0061001B"/>
    <w:rsid w:val="006D0D44"/>
    <w:rsid w:val="007015CA"/>
    <w:rsid w:val="007E3BE8"/>
    <w:rsid w:val="00801A1F"/>
    <w:rsid w:val="00844AA3"/>
    <w:rsid w:val="0087368A"/>
    <w:rsid w:val="008E6B74"/>
    <w:rsid w:val="00945D01"/>
    <w:rsid w:val="00980E27"/>
    <w:rsid w:val="009C47BC"/>
    <w:rsid w:val="009D490B"/>
    <w:rsid w:val="009E3691"/>
    <w:rsid w:val="00B0750E"/>
    <w:rsid w:val="00B70730"/>
    <w:rsid w:val="00B969A9"/>
    <w:rsid w:val="00BA4069"/>
    <w:rsid w:val="00BE6FE5"/>
    <w:rsid w:val="00C11546"/>
    <w:rsid w:val="00C14644"/>
    <w:rsid w:val="00C43FC8"/>
    <w:rsid w:val="00C95D2E"/>
    <w:rsid w:val="00CA5776"/>
    <w:rsid w:val="00D0639F"/>
    <w:rsid w:val="00D50314"/>
    <w:rsid w:val="00E27CC4"/>
    <w:rsid w:val="00E546CF"/>
    <w:rsid w:val="00EC241A"/>
    <w:rsid w:val="00F153EA"/>
    <w:rsid w:val="00F65BD6"/>
    <w:rsid w:val="00F95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22</TotalTime>
  <Pages>4</Pages>
  <Words>4082</Words>
  <Characters>2327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Vaida Kumštienė</cp:lastModifiedBy>
  <cp:revision>51</cp:revision>
  <cp:lastPrinted>2014-03-14T08:41:00Z</cp:lastPrinted>
  <dcterms:created xsi:type="dcterms:W3CDTF">2023-05-22T04:56:00Z</dcterms:created>
  <dcterms:modified xsi:type="dcterms:W3CDTF">2025-05-26T07:17:00Z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