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2D77E" w14:textId="77777777" w:rsidR="000A48DF" w:rsidRPr="00365752" w:rsidRDefault="00A83E04" w:rsidP="000A48DF">
      <w:pPr>
        <w:keepNext/>
        <w:keepLines/>
        <w:spacing w:after="240" w:line="276" w:lineRule="auto"/>
        <w:jc w:val="both"/>
        <w:outlineLvl w:val="0"/>
        <w:rPr>
          <w:rFonts w:ascii="Times New Roman" w:hAnsi="Times New Roman"/>
          <w:b/>
          <w:bCs/>
          <w:sz w:val="24"/>
          <w:szCs w:val="24"/>
        </w:rPr>
      </w:pPr>
      <w:r w:rsidRPr="00365752">
        <w:rPr>
          <w:rFonts w:ascii="Times New Roman" w:eastAsia="DengXian Light" w:hAnsi="Times New Roman"/>
          <w:b/>
          <w:sz w:val="24"/>
          <w:szCs w:val="24"/>
        </w:rPr>
        <w:t>DXS INTERNATIONAL PLC</w:t>
      </w:r>
      <w:r w:rsidR="00E476F0" w:rsidRPr="00365752">
        <w:rPr>
          <w:rFonts w:ascii="Times New Roman" w:hAnsi="Times New Roman"/>
          <w:b/>
          <w:bCs/>
          <w:sz w:val="24"/>
          <w:szCs w:val="24"/>
        </w:rPr>
        <w:t xml:space="preserve"> </w:t>
      </w:r>
      <w:r w:rsidR="00670AEE" w:rsidRPr="00365752">
        <w:rPr>
          <w:rFonts w:ascii="Times New Roman" w:hAnsi="Times New Roman"/>
          <w:b/>
          <w:bCs/>
          <w:sz w:val="24"/>
          <w:szCs w:val="24"/>
        </w:rPr>
        <w:t>(AQSE: DXSP)</w:t>
      </w:r>
      <w:r w:rsidR="000A48DF" w:rsidRPr="00365752">
        <w:rPr>
          <w:rFonts w:ascii="Times New Roman" w:hAnsi="Times New Roman"/>
          <w:b/>
          <w:bCs/>
          <w:sz w:val="24"/>
          <w:szCs w:val="24"/>
        </w:rPr>
        <w:t xml:space="preserve"> </w:t>
      </w:r>
    </w:p>
    <w:p w14:paraId="6D60A8B9" w14:textId="57351B3D" w:rsidR="00E476F0" w:rsidRPr="00365752" w:rsidRDefault="00EE316C" w:rsidP="000A48DF">
      <w:pPr>
        <w:keepNext/>
        <w:keepLines/>
        <w:spacing w:after="240" w:line="276" w:lineRule="auto"/>
        <w:jc w:val="both"/>
        <w:outlineLvl w:val="0"/>
        <w:rPr>
          <w:rFonts w:ascii="Times New Roman" w:hAnsi="Times New Roman"/>
          <w:b/>
          <w:bCs/>
          <w:sz w:val="24"/>
          <w:szCs w:val="24"/>
        </w:rPr>
      </w:pPr>
      <w:r w:rsidRPr="00365752">
        <w:rPr>
          <w:rFonts w:ascii="Times New Roman" w:hAnsi="Times New Roman"/>
          <w:sz w:val="24"/>
          <w:szCs w:val="24"/>
        </w:rPr>
        <w:t>ExpertCare featured in Innovate UK Research Project</w:t>
      </w:r>
    </w:p>
    <w:p w14:paraId="3C56B47A" w14:textId="77777777" w:rsidR="00097260" w:rsidRPr="00365752" w:rsidRDefault="00097260" w:rsidP="002F3109">
      <w:pPr>
        <w:pStyle w:val="vz"/>
        <w:spacing w:before="120" w:beforeAutospacing="0" w:after="0" w:afterAutospacing="0" w:line="276" w:lineRule="auto"/>
        <w:jc w:val="both"/>
        <w:rPr>
          <w:rFonts w:eastAsia="Calibri"/>
          <w:lang w:val="en-GB" w:eastAsia="en-US"/>
        </w:rPr>
      </w:pPr>
    </w:p>
    <w:p w14:paraId="001A1E10" w14:textId="3315D069" w:rsidR="00D853A8" w:rsidRPr="00365752" w:rsidRDefault="00D853A8" w:rsidP="002F3109">
      <w:pPr>
        <w:spacing w:line="276" w:lineRule="auto"/>
        <w:jc w:val="both"/>
        <w:rPr>
          <w:rFonts w:ascii="Times New Roman" w:hAnsi="Times New Roman"/>
          <w:sz w:val="24"/>
          <w:szCs w:val="24"/>
        </w:rPr>
      </w:pPr>
      <w:r w:rsidRPr="00365752">
        <w:rPr>
          <w:rFonts w:ascii="Times New Roman" w:hAnsi="Times New Roman"/>
          <w:sz w:val="24"/>
          <w:szCs w:val="24"/>
          <w:lang w:val="en-ZA"/>
        </w:rPr>
        <w:t>DXS International plc ("DXS" or "the Company"), a leading provider of digital clinical decision support solutions, is thrilled to announce that its leading-edge digital health solution, ExpertCare, has been independently reviewed by the prestigious York Health Economics Consortium (YHEC) with results that confirm its powerful impact on both clinical outcomes and NHS cost-efficiency.</w:t>
      </w:r>
      <w:r w:rsidRPr="00365752">
        <w:rPr>
          <w:rFonts w:ascii="Times New Roman" w:hAnsi="Times New Roman"/>
          <w:sz w:val="24"/>
          <w:szCs w:val="24"/>
        </w:rPr>
        <w:t> </w:t>
      </w:r>
    </w:p>
    <w:p w14:paraId="05000B0E" w14:textId="77777777" w:rsidR="00D853A8" w:rsidRPr="00365752" w:rsidRDefault="00D853A8" w:rsidP="002F3109">
      <w:pPr>
        <w:spacing w:line="276" w:lineRule="auto"/>
        <w:jc w:val="both"/>
        <w:rPr>
          <w:rFonts w:ascii="Times New Roman" w:hAnsi="Times New Roman"/>
          <w:sz w:val="24"/>
          <w:szCs w:val="24"/>
        </w:rPr>
      </w:pPr>
      <w:r w:rsidRPr="00365752">
        <w:rPr>
          <w:rFonts w:ascii="Times New Roman" w:hAnsi="Times New Roman"/>
          <w:sz w:val="24"/>
          <w:szCs w:val="24"/>
          <w:lang w:val="en-ZA"/>
        </w:rPr>
        <w:t>Funded by DXS and Innovate UK and delivered in partnership with Health Innovation East, the evaluation assessed ExpertCare’s effectiveness in supporting medicines optimisation for patients with hypertension. The study, involving 2,484 patients across 13 UK GP practices, compared ExpertCare against standard hypertension review for GP practices.</w:t>
      </w:r>
      <w:r w:rsidRPr="00365752">
        <w:rPr>
          <w:rFonts w:ascii="Times New Roman" w:hAnsi="Times New Roman"/>
          <w:sz w:val="24"/>
          <w:szCs w:val="24"/>
        </w:rPr>
        <w:t> </w:t>
      </w:r>
    </w:p>
    <w:p w14:paraId="6DB4D740" w14:textId="77777777" w:rsidR="00D853A8" w:rsidRPr="00365752" w:rsidRDefault="00D853A8" w:rsidP="002F3109">
      <w:pPr>
        <w:spacing w:line="276" w:lineRule="auto"/>
        <w:jc w:val="both"/>
        <w:rPr>
          <w:rFonts w:ascii="Times New Roman" w:hAnsi="Times New Roman"/>
          <w:sz w:val="24"/>
          <w:szCs w:val="24"/>
        </w:rPr>
      </w:pPr>
      <w:r w:rsidRPr="00365752">
        <w:rPr>
          <w:rFonts w:ascii="Times New Roman" w:hAnsi="Times New Roman"/>
          <w:sz w:val="24"/>
          <w:szCs w:val="24"/>
          <w:lang w:val="en-ZA"/>
        </w:rPr>
        <w:t>The evaluation found that ExpertCare delivers more effective hypertension control, reduces treatment variability, and is cost-saving in both the short and long term.</w:t>
      </w:r>
      <w:r w:rsidRPr="00365752">
        <w:rPr>
          <w:rFonts w:ascii="Times New Roman" w:hAnsi="Times New Roman"/>
          <w:sz w:val="24"/>
          <w:szCs w:val="24"/>
        </w:rPr>
        <w:t> </w:t>
      </w:r>
    </w:p>
    <w:p w14:paraId="4DB29F2E" w14:textId="77777777" w:rsidR="00D853A8" w:rsidRPr="00365752" w:rsidRDefault="00D853A8" w:rsidP="002F3109">
      <w:pPr>
        <w:spacing w:line="276" w:lineRule="auto"/>
        <w:jc w:val="both"/>
        <w:rPr>
          <w:rFonts w:ascii="Times New Roman" w:hAnsi="Times New Roman"/>
          <w:sz w:val="24"/>
          <w:szCs w:val="24"/>
        </w:rPr>
      </w:pPr>
      <w:r w:rsidRPr="00365752">
        <w:rPr>
          <w:rFonts w:ascii="Times New Roman" w:hAnsi="Times New Roman"/>
          <w:sz w:val="24"/>
          <w:szCs w:val="24"/>
          <w:lang w:val="en-ZA"/>
        </w:rPr>
        <w:t>The YHEC report concluded that:</w:t>
      </w:r>
      <w:r w:rsidRPr="00365752">
        <w:rPr>
          <w:rFonts w:ascii="Times New Roman" w:hAnsi="Times New Roman"/>
          <w:sz w:val="24"/>
          <w:szCs w:val="24"/>
        </w:rPr>
        <w:t> </w:t>
      </w:r>
    </w:p>
    <w:p w14:paraId="5891952E" w14:textId="77777777" w:rsidR="00D853A8" w:rsidRPr="00365752" w:rsidRDefault="00D853A8" w:rsidP="002F3109">
      <w:pPr>
        <w:numPr>
          <w:ilvl w:val="0"/>
          <w:numId w:val="19"/>
        </w:numPr>
        <w:spacing w:line="276" w:lineRule="auto"/>
        <w:jc w:val="both"/>
        <w:rPr>
          <w:rFonts w:ascii="Times New Roman" w:hAnsi="Times New Roman"/>
          <w:sz w:val="24"/>
          <w:szCs w:val="24"/>
        </w:rPr>
      </w:pPr>
      <w:r w:rsidRPr="00365752">
        <w:rPr>
          <w:rFonts w:ascii="Times New Roman" w:hAnsi="Times New Roman"/>
          <w:sz w:val="24"/>
          <w:szCs w:val="24"/>
          <w:lang w:val="en-ZA"/>
        </w:rPr>
        <w:t>ExpertCare significantly increases the number of patients with optimally managed hypertension.</w:t>
      </w:r>
      <w:r w:rsidRPr="00365752">
        <w:rPr>
          <w:rFonts w:ascii="Times New Roman" w:hAnsi="Times New Roman"/>
          <w:sz w:val="24"/>
          <w:szCs w:val="24"/>
        </w:rPr>
        <w:t> </w:t>
      </w:r>
    </w:p>
    <w:p w14:paraId="6414EE02" w14:textId="77777777" w:rsidR="00D853A8" w:rsidRPr="00365752" w:rsidRDefault="00D853A8" w:rsidP="002F3109">
      <w:pPr>
        <w:numPr>
          <w:ilvl w:val="0"/>
          <w:numId w:val="20"/>
        </w:numPr>
        <w:spacing w:line="276" w:lineRule="auto"/>
        <w:jc w:val="both"/>
        <w:rPr>
          <w:rFonts w:ascii="Times New Roman" w:hAnsi="Times New Roman"/>
          <w:sz w:val="24"/>
          <w:szCs w:val="24"/>
        </w:rPr>
      </w:pPr>
      <w:r w:rsidRPr="00365752">
        <w:rPr>
          <w:rFonts w:ascii="Times New Roman" w:hAnsi="Times New Roman"/>
          <w:sz w:val="24"/>
          <w:szCs w:val="24"/>
          <w:lang w:val="en-ZA"/>
        </w:rPr>
        <w:t>For every £1 invested, ExpertCare returns £2.70 to the NHS.</w:t>
      </w:r>
      <w:r w:rsidRPr="00365752">
        <w:rPr>
          <w:rFonts w:ascii="Times New Roman" w:hAnsi="Times New Roman"/>
          <w:sz w:val="24"/>
          <w:szCs w:val="24"/>
        </w:rPr>
        <w:t> </w:t>
      </w:r>
    </w:p>
    <w:p w14:paraId="11FBBCF0" w14:textId="77777777" w:rsidR="00D853A8" w:rsidRPr="00365752" w:rsidRDefault="00D853A8" w:rsidP="002F3109">
      <w:pPr>
        <w:spacing w:line="276" w:lineRule="auto"/>
        <w:jc w:val="both"/>
        <w:rPr>
          <w:rFonts w:ascii="Times New Roman" w:hAnsi="Times New Roman"/>
          <w:sz w:val="24"/>
          <w:szCs w:val="24"/>
        </w:rPr>
      </w:pPr>
      <w:r w:rsidRPr="00365752">
        <w:rPr>
          <w:rFonts w:ascii="Times New Roman" w:hAnsi="Times New Roman"/>
          <w:sz w:val="24"/>
          <w:szCs w:val="24"/>
          <w:lang w:val="en-ZA"/>
        </w:rPr>
        <w:t>ExpertCare functions as an intelligent clinical decision support tool, streamlining data collection and generating treatment recommendations aligned with NICE guidelines—freeing up clinical time and improving outcomes at scale.</w:t>
      </w:r>
      <w:r w:rsidRPr="00365752">
        <w:rPr>
          <w:rFonts w:ascii="Times New Roman" w:hAnsi="Times New Roman"/>
          <w:sz w:val="24"/>
          <w:szCs w:val="24"/>
        </w:rPr>
        <w:t> </w:t>
      </w:r>
    </w:p>
    <w:p w14:paraId="018C007C" w14:textId="77777777" w:rsidR="00D853A8" w:rsidRPr="00365752" w:rsidRDefault="00D853A8" w:rsidP="002F3109">
      <w:pPr>
        <w:spacing w:line="276" w:lineRule="auto"/>
        <w:jc w:val="both"/>
        <w:rPr>
          <w:rFonts w:ascii="Times New Roman" w:hAnsi="Times New Roman"/>
          <w:sz w:val="24"/>
          <w:szCs w:val="24"/>
        </w:rPr>
      </w:pPr>
      <w:r w:rsidRPr="00365752">
        <w:rPr>
          <w:rFonts w:ascii="Times New Roman" w:hAnsi="Times New Roman"/>
          <w:b/>
          <w:bCs/>
          <w:sz w:val="24"/>
          <w:szCs w:val="24"/>
          <w:lang w:val="en-ZA"/>
        </w:rPr>
        <w:t>David Immelman, CEO of DXS, commented:</w:t>
      </w:r>
      <w:r w:rsidRPr="00365752">
        <w:rPr>
          <w:rFonts w:ascii="Times New Roman" w:hAnsi="Times New Roman"/>
          <w:sz w:val="24"/>
          <w:szCs w:val="24"/>
        </w:rPr>
        <w:t> </w:t>
      </w:r>
    </w:p>
    <w:p w14:paraId="72FB387C" w14:textId="77777777" w:rsidR="00D853A8" w:rsidRPr="00365752" w:rsidRDefault="00D853A8" w:rsidP="002F3109">
      <w:pPr>
        <w:spacing w:line="276" w:lineRule="auto"/>
        <w:jc w:val="both"/>
        <w:rPr>
          <w:rFonts w:ascii="Times New Roman" w:hAnsi="Times New Roman"/>
          <w:sz w:val="24"/>
          <w:szCs w:val="24"/>
        </w:rPr>
      </w:pPr>
      <w:r w:rsidRPr="00365752">
        <w:rPr>
          <w:rFonts w:ascii="Times New Roman" w:hAnsi="Times New Roman"/>
          <w:sz w:val="24"/>
          <w:szCs w:val="24"/>
          <w:lang w:val="en-ZA"/>
        </w:rPr>
        <w:t>“We are incredibly proud of the results of this independent validation. It affirms our belief that ExpertCare has the potential to materially improve hypertension management across England, while reducing the cost burden on the NHS. These results highlight the real-world value of deploying ExpertCare nationally starting from year one.”</w:t>
      </w:r>
      <w:r w:rsidRPr="00365752">
        <w:rPr>
          <w:rFonts w:ascii="Times New Roman" w:hAnsi="Times New Roman"/>
          <w:sz w:val="24"/>
          <w:szCs w:val="24"/>
        </w:rPr>
        <w:t> </w:t>
      </w:r>
    </w:p>
    <w:p w14:paraId="2AB2EA08" w14:textId="77777777" w:rsidR="00D853A8" w:rsidRPr="00365752" w:rsidRDefault="00D853A8" w:rsidP="002F3109">
      <w:pPr>
        <w:spacing w:line="276" w:lineRule="auto"/>
        <w:jc w:val="both"/>
        <w:rPr>
          <w:rFonts w:ascii="Times New Roman" w:hAnsi="Times New Roman"/>
          <w:sz w:val="24"/>
          <w:szCs w:val="24"/>
        </w:rPr>
      </w:pPr>
      <w:r w:rsidRPr="00365752">
        <w:rPr>
          <w:rFonts w:ascii="Times New Roman" w:hAnsi="Times New Roman"/>
          <w:sz w:val="24"/>
          <w:szCs w:val="24"/>
          <w:lang w:val="en-ZA"/>
        </w:rPr>
        <w:t>For more information, please visit </w:t>
      </w:r>
      <w:r w:rsidRPr="00365752">
        <w:rPr>
          <w:rFonts w:ascii="Times New Roman" w:hAnsi="Times New Roman"/>
          <w:sz w:val="24"/>
          <w:szCs w:val="24"/>
        </w:rPr>
        <w:t> </w:t>
      </w:r>
    </w:p>
    <w:p w14:paraId="2D55DF69" w14:textId="77777777" w:rsidR="00133D46" w:rsidRPr="00365752" w:rsidRDefault="00133D46" w:rsidP="002F3109">
      <w:pPr>
        <w:spacing w:line="276" w:lineRule="auto"/>
        <w:jc w:val="both"/>
        <w:rPr>
          <w:rFonts w:ascii="Times New Roman" w:hAnsi="Times New Roman"/>
          <w:sz w:val="24"/>
          <w:szCs w:val="24"/>
        </w:rPr>
      </w:pPr>
    </w:p>
    <w:p w14:paraId="52687B76" w14:textId="77777777" w:rsidR="00133D46" w:rsidRPr="00365752" w:rsidRDefault="00133D46" w:rsidP="002F3109">
      <w:pPr>
        <w:spacing w:line="276" w:lineRule="auto"/>
        <w:jc w:val="both"/>
        <w:rPr>
          <w:rFonts w:ascii="Times New Roman" w:hAnsi="Times New Roman"/>
          <w:b/>
          <w:bCs/>
          <w:sz w:val="24"/>
          <w:szCs w:val="24"/>
          <w:lang w:val="fr-FR"/>
        </w:rPr>
      </w:pPr>
      <w:r w:rsidRPr="00365752">
        <w:rPr>
          <w:rFonts w:ascii="Times New Roman" w:hAnsi="Times New Roman"/>
          <w:b/>
          <w:bCs/>
          <w:sz w:val="24"/>
          <w:szCs w:val="24"/>
          <w:lang w:val="fr-FR"/>
        </w:rPr>
        <w:t>Contacts:</w:t>
      </w:r>
    </w:p>
    <w:p w14:paraId="0D55402D" w14:textId="77777777" w:rsidR="00133D46" w:rsidRPr="00365752" w:rsidRDefault="00133D46" w:rsidP="002F3109">
      <w:pPr>
        <w:spacing w:line="276" w:lineRule="auto"/>
        <w:jc w:val="both"/>
        <w:rPr>
          <w:rFonts w:ascii="Times New Roman" w:hAnsi="Times New Roman"/>
          <w:b/>
          <w:bCs/>
          <w:sz w:val="24"/>
          <w:szCs w:val="24"/>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86"/>
        <w:gridCol w:w="3574"/>
      </w:tblGrid>
      <w:tr w:rsidR="00133D46" w:rsidRPr="00365752" w14:paraId="25E0C445" w14:textId="77777777" w:rsidTr="00AF7590">
        <w:tc>
          <w:tcPr>
            <w:tcW w:w="5949" w:type="dxa"/>
          </w:tcPr>
          <w:p w14:paraId="1A8BBDD1" w14:textId="77777777" w:rsidR="00133D46" w:rsidRPr="00365752" w:rsidRDefault="00133D46" w:rsidP="002F3109">
            <w:pPr>
              <w:tabs>
                <w:tab w:val="left" w:pos="6804"/>
              </w:tabs>
              <w:spacing w:line="276" w:lineRule="auto"/>
              <w:jc w:val="both"/>
              <w:rPr>
                <w:rFonts w:ascii="Times New Roman" w:eastAsia="DengXian Light" w:hAnsi="Times New Roman"/>
                <w:sz w:val="24"/>
                <w:szCs w:val="24"/>
              </w:rPr>
            </w:pPr>
            <w:r w:rsidRPr="00365752">
              <w:rPr>
                <w:rFonts w:ascii="Times New Roman" w:hAnsi="Times New Roman"/>
                <w:sz w:val="24"/>
                <w:szCs w:val="24"/>
                <w:lang w:val="fr-FR"/>
              </w:rPr>
              <w:t>David Immelman</w:t>
            </w:r>
          </w:p>
          <w:p w14:paraId="7DFDA8A1" w14:textId="77777777" w:rsidR="00133D46" w:rsidRPr="00365752" w:rsidRDefault="00133D46" w:rsidP="002F3109">
            <w:pPr>
              <w:tabs>
                <w:tab w:val="left" w:pos="6804"/>
              </w:tabs>
              <w:spacing w:line="276" w:lineRule="auto"/>
              <w:jc w:val="both"/>
              <w:rPr>
                <w:rFonts w:ascii="Times New Roman" w:hAnsi="Times New Roman"/>
                <w:sz w:val="24"/>
                <w:szCs w:val="24"/>
                <w:lang w:val="fr-FR"/>
              </w:rPr>
            </w:pPr>
            <w:r w:rsidRPr="00365752">
              <w:rPr>
                <w:rFonts w:ascii="Times New Roman" w:hAnsi="Times New Roman"/>
                <w:sz w:val="24"/>
                <w:szCs w:val="24"/>
                <w:lang w:val="fr-FR"/>
              </w:rPr>
              <w:t>DXS International plc</w:t>
            </w:r>
          </w:p>
          <w:p w14:paraId="073B210D" w14:textId="77777777" w:rsidR="00133D46" w:rsidRPr="00365752" w:rsidRDefault="00133D46" w:rsidP="002F3109">
            <w:pPr>
              <w:tabs>
                <w:tab w:val="left" w:pos="6804"/>
              </w:tabs>
              <w:spacing w:line="276" w:lineRule="auto"/>
              <w:jc w:val="both"/>
              <w:rPr>
                <w:rFonts w:ascii="Times New Roman" w:hAnsi="Times New Roman"/>
                <w:strike/>
                <w:sz w:val="24"/>
                <w:szCs w:val="24"/>
                <w:lang w:val="fr-FR"/>
              </w:rPr>
            </w:pPr>
            <w:r w:rsidRPr="00365752">
              <w:rPr>
                <w:rFonts w:ascii="Times New Roman" w:hAnsi="Times New Roman"/>
                <w:sz w:val="24"/>
                <w:szCs w:val="24"/>
                <w:lang w:val="fr-FR"/>
              </w:rPr>
              <w:lastRenderedPageBreak/>
              <w:t>www.dxs-systems.com</w:t>
            </w:r>
          </w:p>
          <w:p w14:paraId="026FAD3E" w14:textId="77777777" w:rsidR="00133D46" w:rsidRPr="00365752" w:rsidRDefault="00133D46" w:rsidP="002F3109">
            <w:pPr>
              <w:spacing w:line="276" w:lineRule="auto"/>
              <w:jc w:val="both"/>
              <w:rPr>
                <w:rFonts w:ascii="Times New Roman" w:hAnsi="Times New Roman"/>
                <w:b/>
                <w:bCs/>
                <w:sz w:val="24"/>
                <w:szCs w:val="24"/>
                <w:lang w:val="fr-FR"/>
              </w:rPr>
            </w:pPr>
          </w:p>
        </w:tc>
        <w:tc>
          <w:tcPr>
            <w:tcW w:w="3673" w:type="dxa"/>
          </w:tcPr>
          <w:p w14:paraId="1155DBDF" w14:textId="77777777" w:rsidR="00133D46" w:rsidRPr="00365752" w:rsidRDefault="00133D46" w:rsidP="002F3109">
            <w:pPr>
              <w:spacing w:line="276" w:lineRule="auto"/>
              <w:jc w:val="both"/>
              <w:rPr>
                <w:rFonts w:ascii="Times New Roman" w:hAnsi="Times New Roman"/>
                <w:b/>
                <w:bCs/>
                <w:sz w:val="24"/>
                <w:szCs w:val="24"/>
                <w:lang w:val="fr-FR"/>
              </w:rPr>
            </w:pPr>
            <w:r w:rsidRPr="00365752">
              <w:rPr>
                <w:rFonts w:ascii="Times New Roman" w:eastAsia="DengXian Light" w:hAnsi="Times New Roman"/>
                <w:sz w:val="24"/>
                <w:szCs w:val="24"/>
              </w:rPr>
              <w:lastRenderedPageBreak/>
              <w:t>01252 719800</w:t>
            </w:r>
          </w:p>
        </w:tc>
      </w:tr>
      <w:tr w:rsidR="00133D46" w:rsidRPr="00365752" w14:paraId="020C1792" w14:textId="77777777" w:rsidTr="00AF7590">
        <w:tc>
          <w:tcPr>
            <w:tcW w:w="5949" w:type="dxa"/>
          </w:tcPr>
          <w:p w14:paraId="3AD655C5" w14:textId="77777777" w:rsidR="00133D46" w:rsidRPr="00365752" w:rsidRDefault="00133D46" w:rsidP="002F3109">
            <w:pPr>
              <w:tabs>
                <w:tab w:val="left" w:pos="6804"/>
              </w:tabs>
              <w:spacing w:line="276" w:lineRule="auto"/>
              <w:jc w:val="both"/>
              <w:rPr>
                <w:rFonts w:ascii="Times New Roman" w:eastAsia="DengXian Light" w:hAnsi="Times New Roman"/>
                <w:sz w:val="24"/>
                <w:szCs w:val="24"/>
              </w:rPr>
            </w:pPr>
            <w:r w:rsidRPr="00365752">
              <w:rPr>
                <w:rFonts w:ascii="Times New Roman" w:eastAsia="DengXian Light" w:hAnsi="Times New Roman"/>
                <w:sz w:val="24"/>
                <w:szCs w:val="24"/>
              </w:rPr>
              <w:t>AQSE Corporate Broker and Corporate Advisor</w:t>
            </w:r>
          </w:p>
          <w:p w14:paraId="4BA54414" w14:textId="77777777" w:rsidR="00133D46" w:rsidRPr="00365752" w:rsidRDefault="00133D46" w:rsidP="002F3109">
            <w:pPr>
              <w:tabs>
                <w:tab w:val="left" w:pos="6804"/>
              </w:tabs>
              <w:spacing w:line="276" w:lineRule="auto"/>
              <w:jc w:val="both"/>
              <w:rPr>
                <w:rFonts w:ascii="Times New Roman" w:eastAsia="DengXian Light" w:hAnsi="Times New Roman"/>
                <w:sz w:val="24"/>
                <w:szCs w:val="24"/>
                <w:lang w:val="fr-FR"/>
              </w:rPr>
            </w:pPr>
            <w:r w:rsidRPr="00365752">
              <w:rPr>
                <w:rFonts w:ascii="Times New Roman" w:eastAsia="DengXian Light" w:hAnsi="Times New Roman"/>
                <w:sz w:val="24"/>
                <w:szCs w:val="24"/>
                <w:lang w:val="fr-FR"/>
              </w:rPr>
              <w:t>Hybridan LLP</w:t>
            </w:r>
          </w:p>
          <w:p w14:paraId="1E31811E" w14:textId="77777777" w:rsidR="00133D46" w:rsidRPr="00365752" w:rsidRDefault="00133D46" w:rsidP="002F3109">
            <w:pPr>
              <w:spacing w:line="276" w:lineRule="auto"/>
              <w:jc w:val="both"/>
              <w:rPr>
                <w:rFonts w:ascii="Times New Roman" w:hAnsi="Times New Roman"/>
                <w:b/>
                <w:bCs/>
                <w:sz w:val="24"/>
                <w:szCs w:val="24"/>
                <w:lang w:val="fr-FR"/>
              </w:rPr>
            </w:pPr>
            <w:r w:rsidRPr="00365752">
              <w:rPr>
                <w:rFonts w:ascii="Times New Roman" w:hAnsi="Times New Roman"/>
                <w:sz w:val="24"/>
                <w:szCs w:val="24"/>
                <w:lang w:val="fr-FR"/>
              </w:rPr>
              <w:t>Claire Louise Noyce</w:t>
            </w:r>
          </w:p>
        </w:tc>
        <w:tc>
          <w:tcPr>
            <w:tcW w:w="3673" w:type="dxa"/>
          </w:tcPr>
          <w:p w14:paraId="6C332B2C" w14:textId="77777777" w:rsidR="00133D46" w:rsidRPr="00365752" w:rsidRDefault="00133D46" w:rsidP="002F3109">
            <w:pPr>
              <w:spacing w:line="276" w:lineRule="auto"/>
              <w:jc w:val="both"/>
              <w:rPr>
                <w:rFonts w:ascii="Times New Roman" w:hAnsi="Times New Roman"/>
                <w:b/>
                <w:bCs/>
                <w:sz w:val="24"/>
                <w:szCs w:val="24"/>
                <w:lang w:val="fr-FR"/>
              </w:rPr>
            </w:pPr>
            <w:r w:rsidRPr="00365752">
              <w:rPr>
                <w:rFonts w:ascii="Times New Roman" w:eastAsia="DengXian Light" w:hAnsi="Times New Roman"/>
                <w:sz w:val="24"/>
                <w:szCs w:val="24"/>
                <w:lang w:val="fr-FR"/>
              </w:rPr>
              <w:t>020 3764 2341</w:t>
            </w:r>
          </w:p>
        </w:tc>
      </w:tr>
    </w:tbl>
    <w:p w14:paraId="4AEAA393" w14:textId="77777777" w:rsidR="00133D46" w:rsidRPr="00365752" w:rsidRDefault="00133D46" w:rsidP="002F3109">
      <w:pPr>
        <w:tabs>
          <w:tab w:val="left" w:pos="6804"/>
        </w:tabs>
        <w:spacing w:line="276" w:lineRule="auto"/>
        <w:jc w:val="both"/>
        <w:rPr>
          <w:rFonts w:ascii="Times New Roman" w:hAnsi="Times New Roman"/>
          <w:sz w:val="24"/>
          <w:szCs w:val="24"/>
          <w:lang w:val="fr-FR"/>
        </w:rPr>
      </w:pPr>
    </w:p>
    <w:p w14:paraId="26921ADE" w14:textId="77777777" w:rsidR="00133D46" w:rsidRPr="00365752" w:rsidRDefault="00133D46" w:rsidP="002F3109">
      <w:pPr>
        <w:spacing w:line="276" w:lineRule="auto"/>
        <w:jc w:val="both"/>
        <w:rPr>
          <w:rFonts w:ascii="Times New Roman" w:hAnsi="Times New Roman"/>
          <w:strike/>
          <w:sz w:val="24"/>
          <w:szCs w:val="24"/>
        </w:rPr>
      </w:pPr>
    </w:p>
    <w:p w14:paraId="4E1D6FAB" w14:textId="77777777" w:rsidR="00133D46" w:rsidRPr="00365752" w:rsidRDefault="00133D46" w:rsidP="002F3109">
      <w:pPr>
        <w:spacing w:line="276" w:lineRule="auto"/>
        <w:jc w:val="both"/>
        <w:rPr>
          <w:rFonts w:ascii="Times New Roman" w:hAnsi="Times New Roman"/>
          <w:sz w:val="24"/>
          <w:szCs w:val="24"/>
        </w:rPr>
      </w:pPr>
      <w:r w:rsidRPr="00365752">
        <w:rPr>
          <w:rFonts w:ascii="Times New Roman" w:hAnsi="Times New Roman"/>
          <w:sz w:val="24"/>
          <w:szCs w:val="24"/>
        </w:rPr>
        <w:t>Notes to Editors</w:t>
      </w:r>
    </w:p>
    <w:p w14:paraId="5A51D5BA" w14:textId="77777777" w:rsidR="00133D46" w:rsidRPr="00365752" w:rsidRDefault="00133D46" w:rsidP="002F3109">
      <w:pPr>
        <w:spacing w:line="276" w:lineRule="auto"/>
        <w:jc w:val="both"/>
        <w:rPr>
          <w:rFonts w:ascii="Times New Roman" w:hAnsi="Times New Roman"/>
          <w:sz w:val="24"/>
          <w:szCs w:val="24"/>
        </w:rPr>
      </w:pPr>
    </w:p>
    <w:p w14:paraId="10811BE9" w14:textId="77777777" w:rsidR="00133D46" w:rsidRPr="00365752" w:rsidRDefault="00133D46" w:rsidP="002F3109">
      <w:pPr>
        <w:jc w:val="both"/>
        <w:rPr>
          <w:rFonts w:ascii="Times New Roman" w:hAnsi="Times New Roman"/>
          <w:b/>
          <w:sz w:val="24"/>
          <w:szCs w:val="24"/>
        </w:rPr>
      </w:pPr>
      <w:bookmarkStart w:id="0" w:name="_Hlk19700596"/>
      <w:r w:rsidRPr="00365752">
        <w:rPr>
          <w:rFonts w:ascii="Times New Roman" w:hAnsi="Times New Roman"/>
          <w:b/>
          <w:sz w:val="24"/>
          <w:szCs w:val="24"/>
        </w:rPr>
        <w:t>About DXS:</w:t>
      </w:r>
    </w:p>
    <w:p w14:paraId="1242DBDB" w14:textId="53309F03" w:rsidR="00133D46" w:rsidRPr="00365752" w:rsidRDefault="00133D46" w:rsidP="0069082F">
      <w:pPr>
        <w:spacing w:line="276" w:lineRule="auto"/>
        <w:jc w:val="both"/>
        <w:rPr>
          <w:rFonts w:ascii="Times New Roman" w:hAnsi="Times New Roman"/>
          <w:sz w:val="24"/>
          <w:szCs w:val="24"/>
        </w:rPr>
      </w:pPr>
      <w:r w:rsidRPr="00365752">
        <w:rPr>
          <w:rFonts w:ascii="Times New Roman" w:hAnsi="Times New Roman"/>
          <w:sz w:val="24"/>
          <w:szCs w:val="24"/>
        </w:rPr>
        <w:t>DXS International presents up to date treatment guidelines and recommendations, from Clinical Commissioning Groups and other trusted NHS sources, to doctors, nurses and pharmacists in their workflow and during the patient consultation. This effective clinical decision support ultimately translates to improved healthcare outcomes delivered more cost effectively and which should significantly contribute towards the NHS achieving its projected efficiency savings.</w:t>
      </w:r>
      <w:bookmarkEnd w:id="0"/>
    </w:p>
    <w:sectPr w:rsidR="00133D46" w:rsidRPr="0036575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F02A1"/>
    <w:multiLevelType w:val="multilevel"/>
    <w:tmpl w:val="EE74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56320"/>
    <w:multiLevelType w:val="hybridMultilevel"/>
    <w:tmpl w:val="13C4C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9165B7"/>
    <w:multiLevelType w:val="multilevel"/>
    <w:tmpl w:val="075490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391188"/>
    <w:multiLevelType w:val="hybridMultilevel"/>
    <w:tmpl w:val="B546E784"/>
    <w:lvl w:ilvl="0" w:tplc="1C090001">
      <w:start w:val="1"/>
      <w:numFmt w:val="bullet"/>
      <w:lvlText w:val=""/>
      <w:lvlJc w:val="left"/>
      <w:pPr>
        <w:ind w:left="1637" w:hanging="360"/>
      </w:pPr>
      <w:rPr>
        <w:rFonts w:ascii="Symbol" w:hAnsi="Symbol" w:hint="default"/>
      </w:rPr>
    </w:lvl>
    <w:lvl w:ilvl="1" w:tplc="1C090003" w:tentative="1">
      <w:start w:val="1"/>
      <w:numFmt w:val="bullet"/>
      <w:lvlText w:val="o"/>
      <w:lvlJc w:val="left"/>
      <w:pPr>
        <w:ind w:left="2357" w:hanging="360"/>
      </w:pPr>
      <w:rPr>
        <w:rFonts w:ascii="Courier New" w:hAnsi="Courier New" w:cs="Courier New" w:hint="default"/>
      </w:rPr>
    </w:lvl>
    <w:lvl w:ilvl="2" w:tplc="1C090005" w:tentative="1">
      <w:start w:val="1"/>
      <w:numFmt w:val="bullet"/>
      <w:lvlText w:val=""/>
      <w:lvlJc w:val="left"/>
      <w:pPr>
        <w:ind w:left="3077" w:hanging="360"/>
      </w:pPr>
      <w:rPr>
        <w:rFonts w:ascii="Wingdings" w:hAnsi="Wingdings" w:hint="default"/>
      </w:rPr>
    </w:lvl>
    <w:lvl w:ilvl="3" w:tplc="1C090001" w:tentative="1">
      <w:start w:val="1"/>
      <w:numFmt w:val="bullet"/>
      <w:lvlText w:val=""/>
      <w:lvlJc w:val="left"/>
      <w:pPr>
        <w:ind w:left="3797" w:hanging="360"/>
      </w:pPr>
      <w:rPr>
        <w:rFonts w:ascii="Symbol" w:hAnsi="Symbol" w:hint="default"/>
      </w:rPr>
    </w:lvl>
    <w:lvl w:ilvl="4" w:tplc="1C090003" w:tentative="1">
      <w:start w:val="1"/>
      <w:numFmt w:val="bullet"/>
      <w:lvlText w:val="o"/>
      <w:lvlJc w:val="left"/>
      <w:pPr>
        <w:ind w:left="4517" w:hanging="360"/>
      </w:pPr>
      <w:rPr>
        <w:rFonts w:ascii="Courier New" w:hAnsi="Courier New" w:cs="Courier New" w:hint="default"/>
      </w:rPr>
    </w:lvl>
    <w:lvl w:ilvl="5" w:tplc="1C090005" w:tentative="1">
      <w:start w:val="1"/>
      <w:numFmt w:val="bullet"/>
      <w:lvlText w:val=""/>
      <w:lvlJc w:val="left"/>
      <w:pPr>
        <w:ind w:left="5237" w:hanging="360"/>
      </w:pPr>
      <w:rPr>
        <w:rFonts w:ascii="Wingdings" w:hAnsi="Wingdings" w:hint="default"/>
      </w:rPr>
    </w:lvl>
    <w:lvl w:ilvl="6" w:tplc="1C090001" w:tentative="1">
      <w:start w:val="1"/>
      <w:numFmt w:val="bullet"/>
      <w:lvlText w:val=""/>
      <w:lvlJc w:val="left"/>
      <w:pPr>
        <w:ind w:left="5957" w:hanging="360"/>
      </w:pPr>
      <w:rPr>
        <w:rFonts w:ascii="Symbol" w:hAnsi="Symbol" w:hint="default"/>
      </w:rPr>
    </w:lvl>
    <w:lvl w:ilvl="7" w:tplc="1C090003" w:tentative="1">
      <w:start w:val="1"/>
      <w:numFmt w:val="bullet"/>
      <w:lvlText w:val="o"/>
      <w:lvlJc w:val="left"/>
      <w:pPr>
        <w:ind w:left="6677" w:hanging="360"/>
      </w:pPr>
      <w:rPr>
        <w:rFonts w:ascii="Courier New" w:hAnsi="Courier New" w:cs="Courier New" w:hint="default"/>
      </w:rPr>
    </w:lvl>
    <w:lvl w:ilvl="8" w:tplc="1C090005" w:tentative="1">
      <w:start w:val="1"/>
      <w:numFmt w:val="bullet"/>
      <w:lvlText w:val=""/>
      <w:lvlJc w:val="left"/>
      <w:pPr>
        <w:ind w:left="7397" w:hanging="360"/>
      </w:pPr>
      <w:rPr>
        <w:rFonts w:ascii="Wingdings" w:hAnsi="Wingdings" w:hint="default"/>
      </w:rPr>
    </w:lvl>
  </w:abstractNum>
  <w:abstractNum w:abstractNumId="4" w15:restartNumberingAfterBreak="0">
    <w:nsid w:val="321348B1"/>
    <w:multiLevelType w:val="multilevel"/>
    <w:tmpl w:val="EE585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AE4EEF"/>
    <w:multiLevelType w:val="hybridMultilevel"/>
    <w:tmpl w:val="C7DCB9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88E53BC"/>
    <w:multiLevelType w:val="hybridMultilevel"/>
    <w:tmpl w:val="53CAD568"/>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7" w15:restartNumberingAfterBreak="0">
    <w:nsid w:val="422E313B"/>
    <w:multiLevelType w:val="hybridMultilevel"/>
    <w:tmpl w:val="30EACD3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484838B9"/>
    <w:multiLevelType w:val="hybridMultilevel"/>
    <w:tmpl w:val="B448D4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D7D0CFE"/>
    <w:multiLevelType w:val="hybridMultilevel"/>
    <w:tmpl w:val="60621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290CD5"/>
    <w:multiLevelType w:val="hybridMultilevel"/>
    <w:tmpl w:val="0698321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51AA23F7"/>
    <w:multiLevelType w:val="hybridMultilevel"/>
    <w:tmpl w:val="F79E15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8057849"/>
    <w:multiLevelType w:val="multilevel"/>
    <w:tmpl w:val="D8E0A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B07558F"/>
    <w:multiLevelType w:val="multilevel"/>
    <w:tmpl w:val="1A92B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DDA3669"/>
    <w:multiLevelType w:val="hybridMultilevel"/>
    <w:tmpl w:val="00868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B846A1"/>
    <w:multiLevelType w:val="hybridMultilevel"/>
    <w:tmpl w:val="931C3FF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6" w15:restartNumberingAfterBreak="0">
    <w:nsid w:val="69CA2CC0"/>
    <w:multiLevelType w:val="hybridMultilevel"/>
    <w:tmpl w:val="FEF005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C914735"/>
    <w:multiLevelType w:val="hybridMultilevel"/>
    <w:tmpl w:val="FD3A42AE"/>
    <w:lvl w:ilvl="0" w:tplc="97646830">
      <w:start w:val="1"/>
      <w:numFmt w:val="bullet"/>
      <w:lvlText w:val="•"/>
      <w:lvlJc w:val="left"/>
      <w:pPr>
        <w:tabs>
          <w:tab w:val="num" w:pos="360"/>
        </w:tabs>
        <w:ind w:left="360" w:hanging="360"/>
      </w:pPr>
      <w:rPr>
        <w:rFonts w:ascii="Arial" w:hAnsi="Arial" w:cs="Times New Roman" w:hint="default"/>
      </w:rPr>
    </w:lvl>
    <w:lvl w:ilvl="1" w:tplc="75501668">
      <w:start w:val="1"/>
      <w:numFmt w:val="bullet"/>
      <w:lvlText w:val="•"/>
      <w:lvlJc w:val="left"/>
      <w:pPr>
        <w:tabs>
          <w:tab w:val="num" w:pos="1080"/>
        </w:tabs>
        <w:ind w:left="1080" w:hanging="360"/>
      </w:pPr>
      <w:rPr>
        <w:rFonts w:ascii="Arial" w:hAnsi="Arial" w:cs="Times New Roman" w:hint="default"/>
      </w:rPr>
    </w:lvl>
    <w:lvl w:ilvl="2" w:tplc="06624C24">
      <w:start w:val="1"/>
      <w:numFmt w:val="bullet"/>
      <w:lvlText w:val="•"/>
      <w:lvlJc w:val="left"/>
      <w:pPr>
        <w:tabs>
          <w:tab w:val="num" w:pos="1800"/>
        </w:tabs>
        <w:ind w:left="1800" w:hanging="360"/>
      </w:pPr>
      <w:rPr>
        <w:rFonts w:ascii="Arial" w:hAnsi="Arial" w:cs="Times New Roman" w:hint="default"/>
      </w:rPr>
    </w:lvl>
    <w:lvl w:ilvl="3" w:tplc="95F45C04">
      <w:start w:val="1"/>
      <w:numFmt w:val="bullet"/>
      <w:lvlText w:val="•"/>
      <w:lvlJc w:val="left"/>
      <w:pPr>
        <w:tabs>
          <w:tab w:val="num" w:pos="2520"/>
        </w:tabs>
        <w:ind w:left="2520" w:hanging="360"/>
      </w:pPr>
      <w:rPr>
        <w:rFonts w:ascii="Arial" w:hAnsi="Arial" w:cs="Times New Roman" w:hint="default"/>
      </w:rPr>
    </w:lvl>
    <w:lvl w:ilvl="4" w:tplc="77FEE268">
      <w:start w:val="1"/>
      <w:numFmt w:val="bullet"/>
      <w:lvlText w:val="•"/>
      <w:lvlJc w:val="left"/>
      <w:pPr>
        <w:tabs>
          <w:tab w:val="num" w:pos="3240"/>
        </w:tabs>
        <w:ind w:left="3240" w:hanging="360"/>
      </w:pPr>
      <w:rPr>
        <w:rFonts w:ascii="Arial" w:hAnsi="Arial" w:cs="Times New Roman" w:hint="default"/>
      </w:rPr>
    </w:lvl>
    <w:lvl w:ilvl="5" w:tplc="6C8A446E">
      <w:start w:val="1"/>
      <w:numFmt w:val="bullet"/>
      <w:lvlText w:val="•"/>
      <w:lvlJc w:val="left"/>
      <w:pPr>
        <w:tabs>
          <w:tab w:val="num" w:pos="3960"/>
        </w:tabs>
        <w:ind w:left="3960" w:hanging="360"/>
      </w:pPr>
      <w:rPr>
        <w:rFonts w:ascii="Arial" w:hAnsi="Arial" w:cs="Times New Roman" w:hint="default"/>
      </w:rPr>
    </w:lvl>
    <w:lvl w:ilvl="6" w:tplc="AC82796A">
      <w:start w:val="1"/>
      <w:numFmt w:val="bullet"/>
      <w:lvlText w:val="•"/>
      <w:lvlJc w:val="left"/>
      <w:pPr>
        <w:tabs>
          <w:tab w:val="num" w:pos="4680"/>
        </w:tabs>
        <w:ind w:left="4680" w:hanging="360"/>
      </w:pPr>
      <w:rPr>
        <w:rFonts w:ascii="Arial" w:hAnsi="Arial" w:cs="Times New Roman" w:hint="default"/>
      </w:rPr>
    </w:lvl>
    <w:lvl w:ilvl="7" w:tplc="455681DC">
      <w:start w:val="1"/>
      <w:numFmt w:val="bullet"/>
      <w:lvlText w:val="•"/>
      <w:lvlJc w:val="left"/>
      <w:pPr>
        <w:tabs>
          <w:tab w:val="num" w:pos="5400"/>
        </w:tabs>
        <w:ind w:left="5400" w:hanging="360"/>
      </w:pPr>
      <w:rPr>
        <w:rFonts w:ascii="Arial" w:hAnsi="Arial" w:cs="Times New Roman" w:hint="default"/>
      </w:rPr>
    </w:lvl>
    <w:lvl w:ilvl="8" w:tplc="575031AC">
      <w:start w:val="1"/>
      <w:numFmt w:val="bullet"/>
      <w:lvlText w:val="•"/>
      <w:lvlJc w:val="left"/>
      <w:pPr>
        <w:tabs>
          <w:tab w:val="num" w:pos="6120"/>
        </w:tabs>
        <w:ind w:left="6120" w:hanging="360"/>
      </w:pPr>
      <w:rPr>
        <w:rFonts w:ascii="Arial" w:hAnsi="Arial" w:cs="Times New Roman" w:hint="default"/>
      </w:rPr>
    </w:lvl>
  </w:abstractNum>
  <w:abstractNum w:abstractNumId="18" w15:restartNumberingAfterBreak="0">
    <w:nsid w:val="751F0882"/>
    <w:multiLevelType w:val="hybridMultilevel"/>
    <w:tmpl w:val="E586EC4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5C268EB"/>
    <w:multiLevelType w:val="hybridMultilevel"/>
    <w:tmpl w:val="370416A6"/>
    <w:lvl w:ilvl="0" w:tplc="8272AD7E">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9336670">
    <w:abstractNumId w:val="14"/>
  </w:num>
  <w:num w:numId="2" w16cid:durableId="1419867451">
    <w:abstractNumId w:val="19"/>
  </w:num>
  <w:num w:numId="3" w16cid:durableId="475999391">
    <w:abstractNumId w:val="6"/>
  </w:num>
  <w:num w:numId="4" w16cid:durableId="2130853140">
    <w:abstractNumId w:val="8"/>
  </w:num>
  <w:num w:numId="5" w16cid:durableId="394471018">
    <w:abstractNumId w:val="17"/>
  </w:num>
  <w:num w:numId="6" w16cid:durableId="1585720311">
    <w:abstractNumId w:val="18"/>
  </w:num>
  <w:num w:numId="7" w16cid:durableId="412509600">
    <w:abstractNumId w:val="5"/>
  </w:num>
  <w:num w:numId="8" w16cid:durableId="527840371">
    <w:abstractNumId w:val="3"/>
  </w:num>
  <w:num w:numId="9" w16cid:durableId="1591616835">
    <w:abstractNumId w:val="9"/>
  </w:num>
  <w:num w:numId="10" w16cid:durableId="1156071064">
    <w:abstractNumId w:val="7"/>
  </w:num>
  <w:num w:numId="11" w16cid:durableId="2031486042">
    <w:abstractNumId w:val="10"/>
  </w:num>
  <w:num w:numId="12" w16cid:durableId="1451506624">
    <w:abstractNumId w:val="16"/>
  </w:num>
  <w:num w:numId="13" w16cid:durableId="752891567">
    <w:abstractNumId w:val="11"/>
  </w:num>
  <w:num w:numId="14" w16cid:durableId="1844777219">
    <w:abstractNumId w:val="12"/>
  </w:num>
  <w:num w:numId="15" w16cid:durableId="1769495688">
    <w:abstractNumId w:val="13"/>
  </w:num>
  <w:num w:numId="16" w16cid:durableId="1381199886">
    <w:abstractNumId w:val="1"/>
  </w:num>
  <w:num w:numId="17" w16cid:durableId="337661312">
    <w:abstractNumId w:val="15"/>
  </w:num>
  <w:num w:numId="18" w16cid:durableId="801843668">
    <w:abstractNumId w:val="2"/>
  </w:num>
  <w:num w:numId="19" w16cid:durableId="1513111048">
    <w:abstractNumId w:val="4"/>
  </w:num>
  <w:num w:numId="20" w16cid:durableId="46809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CA7"/>
    <w:rsid w:val="00000A7E"/>
    <w:rsid w:val="00007C7F"/>
    <w:rsid w:val="00031D5B"/>
    <w:rsid w:val="000405AD"/>
    <w:rsid w:val="000428EB"/>
    <w:rsid w:val="00061A28"/>
    <w:rsid w:val="0006375C"/>
    <w:rsid w:val="00074039"/>
    <w:rsid w:val="000768B6"/>
    <w:rsid w:val="000867EB"/>
    <w:rsid w:val="00097260"/>
    <w:rsid w:val="000A48DF"/>
    <w:rsid w:val="000B0E1A"/>
    <w:rsid w:val="000C66F6"/>
    <w:rsid w:val="000C7A80"/>
    <w:rsid w:val="000F639A"/>
    <w:rsid w:val="0010368A"/>
    <w:rsid w:val="00117BF6"/>
    <w:rsid w:val="00133D46"/>
    <w:rsid w:val="00135A05"/>
    <w:rsid w:val="00151359"/>
    <w:rsid w:val="00155382"/>
    <w:rsid w:val="00157942"/>
    <w:rsid w:val="001639DD"/>
    <w:rsid w:val="00163E76"/>
    <w:rsid w:val="00176D7C"/>
    <w:rsid w:val="001873AC"/>
    <w:rsid w:val="00193968"/>
    <w:rsid w:val="001B04A0"/>
    <w:rsid w:val="001B52B6"/>
    <w:rsid w:val="001B5CC0"/>
    <w:rsid w:val="001C1C37"/>
    <w:rsid w:val="001D6A9B"/>
    <w:rsid w:val="001F1324"/>
    <w:rsid w:val="002151EA"/>
    <w:rsid w:val="00223019"/>
    <w:rsid w:val="00227ECA"/>
    <w:rsid w:val="00241D33"/>
    <w:rsid w:val="00245566"/>
    <w:rsid w:val="00245B76"/>
    <w:rsid w:val="002557F1"/>
    <w:rsid w:val="00256DAB"/>
    <w:rsid w:val="00262010"/>
    <w:rsid w:val="00266B16"/>
    <w:rsid w:val="00266F57"/>
    <w:rsid w:val="00272F4D"/>
    <w:rsid w:val="002754F8"/>
    <w:rsid w:val="0028081D"/>
    <w:rsid w:val="00284B91"/>
    <w:rsid w:val="00287079"/>
    <w:rsid w:val="002B44E5"/>
    <w:rsid w:val="002C40A8"/>
    <w:rsid w:val="002F2756"/>
    <w:rsid w:val="002F2E24"/>
    <w:rsid w:val="002F3109"/>
    <w:rsid w:val="002F3ADF"/>
    <w:rsid w:val="0030502E"/>
    <w:rsid w:val="003054A1"/>
    <w:rsid w:val="00316447"/>
    <w:rsid w:val="00330DD3"/>
    <w:rsid w:val="00340541"/>
    <w:rsid w:val="00342396"/>
    <w:rsid w:val="003640F6"/>
    <w:rsid w:val="00365752"/>
    <w:rsid w:val="003700A8"/>
    <w:rsid w:val="00370B02"/>
    <w:rsid w:val="00371798"/>
    <w:rsid w:val="003847CC"/>
    <w:rsid w:val="00392893"/>
    <w:rsid w:val="003E39F5"/>
    <w:rsid w:val="003F5B0D"/>
    <w:rsid w:val="00401587"/>
    <w:rsid w:val="00403D6F"/>
    <w:rsid w:val="00405742"/>
    <w:rsid w:val="00410C2C"/>
    <w:rsid w:val="00426640"/>
    <w:rsid w:val="00474063"/>
    <w:rsid w:val="00485FB3"/>
    <w:rsid w:val="0049113A"/>
    <w:rsid w:val="0049564C"/>
    <w:rsid w:val="004964FA"/>
    <w:rsid w:val="004A4D0D"/>
    <w:rsid w:val="004A74AD"/>
    <w:rsid w:val="004B1F62"/>
    <w:rsid w:val="004B22C7"/>
    <w:rsid w:val="004B50FC"/>
    <w:rsid w:val="004C127E"/>
    <w:rsid w:val="004C2D69"/>
    <w:rsid w:val="004C6FBB"/>
    <w:rsid w:val="004D2EC1"/>
    <w:rsid w:val="004E0E9F"/>
    <w:rsid w:val="004F093A"/>
    <w:rsid w:val="00502326"/>
    <w:rsid w:val="005055CA"/>
    <w:rsid w:val="00520D95"/>
    <w:rsid w:val="00523944"/>
    <w:rsid w:val="00527750"/>
    <w:rsid w:val="00530D04"/>
    <w:rsid w:val="0053142C"/>
    <w:rsid w:val="005317B1"/>
    <w:rsid w:val="00537E99"/>
    <w:rsid w:val="00552780"/>
    <w:rsid w:val="00567BA2"/>
    <w:rsid w:val="00567FC3"/>
    <w:rsid w:val="005A4334"/>
    <w:rsid w:val="005C4B95"/>
    <w:rsid w:val="005D0EFD"/>
    <w:rsid w:val="005D7B18"/>
    <w:rsid w:val="005E75B0"/>
    <w:rsid w:val="005F5309"/>
    <w:rsid w:val="00605570"/>
    <w:rsid w:val="00605AED"/>
    <w:rsid w:val="00606488"/>
    <w:rsid w:val="00616F9E"/>
    <w:rsid w:val="0062638C"/>
    <w:rsid w:val="006554D5"/>
    <w:rsid w:val="006612DA"/>
    <w:rsid w:val="006672FA"/>
    <w:rsid w:val="00670AEE"/>
    <w:rsid w:val="00686468"/>
    <w:rsid w:val="0069082F"/>
    <w:rsid w:val="00693E00"/>
    <w:rsid w:val="006C6E1C"/>
    <w:rsid w:val="006D0672"/>
    <w:rsid w:val="006D1D0D"/>
    <w:rsid w:val="006D6297"/>
    <w:rsid w:val="006E4E5F"/>
    <w:rsid w:val="006F48DA"/>
    <w:rsid w:val="007028BB"/>
    <w:rsid w:val="007165D0"/>
    <w:rsid w:val="00716F08"/>
    <w:rsid w:val="00726C59"/>
    <w:rsid w:val="007277D8"/>
    <w:rsid w:val="0073534C"/>
    <w:rsid w:val="00745CB4"/>
    <w:rsid w:val="007477A1"/>
    <w:rsid w:val="0075095C"/>
    <w:rsid w:val="00757D7C"/>
    <w:rsid w:val="00780191"/>
    <w:rsid w:val="007920DA"/>
    <w:rsid w:val="00792885"/>
    <w:rsid w:val="007A21B3"/>
    <w:rsid w:val="007B2D8D"/>
    <w:rsid w:val="007C04DB"/>
    <w:rsid w:val="007C69B3"/>
    <w:rsid w:val="007D11FC"/>
    <w:rsid w:val="007D1C00"/>
    <w:rsid w:val="007F40A4"/>
    <w:rsid w:val="00803998"/>
    <w:rsid w:val="0082681D"/>
    <w:rsid w:val="00845BD6"/>
    <w:rsid w:val="00871A69"/>
    <w:rsid w:val="00895375"/>
    <w:rsid w:val="00897159"/>
    <w:rsid w:val="008A4927"/>
    <w:rsid w:val="008A4B6D"/>
    <w:rsid w:val="008A5F59"/>
    <w:rsid w:val="008A70EA"/>
    <w:rsid w:val="008B6FB8"/>
    <w:rsid w:val="008D413C"/>
    <w:rsid w:val="008D549D"/>
    <w:rsid w:val="008D5F73"/>
    <w:rsid w:val="008D667A"/>
    <w:rsid w:val="008D7CE8"/>
    <w:rsid w:val="008E108D"/>
    <w:rsid w:val="008F3D29"/>
    <w:rsid w:val="008F58A0"/>
    <w:rsid w:val="009050C3"/>
    <w:rsid w:val="00905D57"/>
    <w:rsid w:val="0091001A"/>
    <w:rsid w:val="009116F4"/>
    <w:rsid w:val="00912A2D"/>
    <w:rsid w:val="00917E26"/>
    <w:rsid w:val="00920E9A"/>
    <w:rsid w:val="00927792"/>
    <w:rsid w:val="00940FA8"/>
    <w:rsid w:val="00954D00"/>
    <w:rsid w:val="009730E5"/>
    <w:rsid w:val="0098040D"/>
    <w:rsid w:val="0098207C"/>
    <w:rsid w:val="0099092A"/>
    <w:rsid w:val="009A1D7E"/>
    <w:rsid w:val="009B1415"/>
    <w:rsid w:val="009B3B78"/>
    <w:rsid w:val="009E6100"/>
    <w:rsid w:val="00A14025"/>
    <w:rsid w:val="00A1598B"/>
    <w:rsid w:val="00A230A2"/>
    <w:rsid w:val="00A243EC"/>
    <w:rsid w:val="00A3425E"/>
    <w:rsid w:val="00A44BB8"/>
    <w:rsid w:val="00A45D12"/>
    <w:rsid w:val="00A50A48"/>
    <w:rsid w:val="00A52D4B"/>
    <w:rsid w:val="00A544B2"/>
    <w:rsid w:val="00A6695A"/>
    <w:rsid w:val="00A76050"/>
    <w:rsid w:val="00A770E9"/>
    <w:rsid w:val="00A80A33"/>
    <w:rsid w:val="00A81C5D"/>
    <w:rsid w:val="00A83E04"/>
    <w:rsid w:val="00A83FFB"/>
    <w:rsid w:val="00AA57BB"/>
    <w:rsid w:val="00AA5F06"/>
    <w:rsid w:val="00AB2ECC"/>
    <w:rsid w:val="00AC0105"/>
    <w:rsid w:val="00AC4EF0"/>
    <w:rsid w:val="00AC72D1"/>
    <w:rsid w:val="00AE0DEE"/>
    <w:rsid w:val="00AE3577"/>
    <w:rsid w:val="00AF34FA"/>
    <w:rsid w:val="00B007DB"/>
    <w:rsid w:val="00B015E4"/>
    <w:rsid w:val="00B41A98"/>
    <w:rsid w:val="00B54F4D"/>
    <w:rsid w:val="00B60F6D"/>
    <w:rsid w:val="00B63191"/>
    <w:rsid w:val="00B71181"/>
    <w:rsid w:val="00BA55DB"/>
    <w:rsid w:val="00BB1FCF"/>
    <w:rsid w:val="00BC1EF6"/>
    <w:rsid w:val="00BD7387"/>
    <w:rsid w:val="00BE18E9"/>
    <w:rsid w:val="00BF0AE3"/>
    <w:rsid w:val="00C0047B"/>
    <w:rsid w:val="00C01493"/>
    <w:rsid w:val="00C07816"/>
    <w:rsid w:val="00C21E85"/>
    <w:rsid w:val="00C523D7"/>
    <w:rsid w:val="00C55DF1"/>
    <w:rsid w:val="00C6074E"/>
    <w:rsid w:val="00C620EA"/>
    <w:rsid w:val="00C66A18"/>
    <w:rsid w:val="00C71805"/>
    <w:rsid w:val="00C72A6A"/>
    <w:rsid w:val="00C72C94"/>
    <w:rsid w:val="00C86F82"/>
    <w:rsid w:val="00CA4B85"/>
    <w:rsid w:val="00CA6F16"/>
    <w:rsid w:val="00CA77AC"/>
    <w:rsid w:val="00CC0E17"/>
    <w:rsid w:val="00CD2611"/>
    <w:rsid w:val="00CD6BE0"/>
    <w:rsid w:val="00CE4555"/>
    <w:rsid w:val="00CF4864"/>
    <w:rsid w:val="00D04936"/>
    <w:rsid w:val="00D0696C"/>
    <w:rsid w:val="00D11A40"/>
    <w:rsid w:val="00D3571A"/>
    <w:rsid w:val="00D449C4"/>
    <w:rsid w:val="00D47891"/>
    <w:rsid w:val="00D47E28"/>
    <w:rsid w:val="00D5080E"/>
    <w:rsid w:val="00D52B74"/>
    <w:rsid w:val="00D853A8"/>
    <w:rsid w:val="00DA64EB"/>
    <w:rsid w:val="00DB084B"/>
    <w:rsid w:val="00DC14CF"/>
    <w:rsid w:val="00DE3B00"/>
    <w:rsid w:val="00DE4121"/>
    <w:rsid w:val="00DE5C1A"/>
    <w:rsid w:val="00DF1478"/>
    <w:rsid w:val="00DF56E3"/>
    <w:rsid w:val="00DF6FF2"/>
    <w:rsid w:val="00E12C6F"/>
    <w:rsid w:val="00E152C0"/>
    <w:rsid w:val="00E2178D"/>
    <w:rsid w:val="00E3229D"/>
    <w:rsid w:val="00E43E93"/>
    <w:rsid w:val="00E476F0"/>
    <w:rsid w:val="00E52473"/>
    <w:rsid w:val="00E64CA7"/>
    <w:rsid w:val="00E71E0C"/>
    <w:rsid w:val="00E83EBD"/>
    <w:rsid w:val="00E942AC"/>
    <w:rsid w:val="00E95958"/>
    <w:rsid w:val="00EC52E6"/>
    <w:rsid w:val="00EE06D9"/>
    <w:rsid w:val="00EE316C"/>
    <w:rsid w:val="00F01CB0"/>
    <w:rsid w:val="00F10E5A"/>
    <w:rsid w:val="00F17266"/>
    <w:rsid w:val="00F34AC0"/>
    <w:rsid w:val="00F43742"/>
    <w:rsid w:val="00F4615B"/>
    <w:rsid w:val="00F52B68"/>
    <w:rsid w:val="00F5605C"/>
    <w:rsid w:val="00F62F5A"/>
    <w:rsid w:val="00FA62B9"/>
    <w:rsid w:val="00FA709D"/>
    <w:rsid w:val="00FE3D5B"/>
    <w:rsid w:val="00FF16E3"/>
    <w:rsid w:val="00FF5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32156"/>
  <w15:docId w15:val="{8D3AA52C-FB2E-4DFA-922C-B939F710E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CA7"/>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4E5F"/>
    <w:pPr>
      <w:ind w:left="720"/>
      <w:contextualSpacing/>
    </w:pPr>
  </w:style>
  <w:style w:type="character" w:styleId="CommentReference">
    <w:name w:val="annotation reference"/>
    <w:uiPriority w:val="99"/>
    <w:semiHidden/>
    <w:unhideWhenUsed/>
    <w:rsid w:val="00272F4D"/>
    <w:rPr>
      <w:sz w:val="16"/>
      <w:szCs w:val="16"/>
    </w:rPr>
  </w:style>
  <w:style w:type="paragraph" w:styleId="CommentText">
    <w:name w:val="annotation text"/>
    <w:basedOn w:val="Normal"/>
    <w:link w:val="CommentTextChar"/>
    <w:uiPriority w:val="99"/>
    <w:unhideWhenUsed/>
    <w:rsid w:val="00272F4D"/>
    <w:pPr>
      <w:spacing w:line="240" w:lineRule="auto"/>
    </w:pPr>
    <w:rPr>
      <w:sz w:val="20"/>
      <w:szCs w:val="20"/>
    </w:rPr>
  </w:style>
  <w:style w:type="character" w:customStyle="1" w:styleId="CommentTextChar">
    <w:name w:val="Comment Text Char"/>
    <w:link w:val="CommentText"/>
    <w:uiPriority w:val="99"/>
    <w:rsid w:val="00272F4D"/>
    <w:rPr>
      <w:sz w:val="20"/>
      <w:szCs w:val="20"/>
    </w:rPr>
  </w:style>
  <w:style w:type="paragraph" w:styleId="CommentSubject">
    <w:name w:val="annotation subject"/>
    <w:basedOn w:val="CommentText"/>
    <w:next w:val="CommentText"/>
    <w:link w:val="CommentSubjectChar"/>
    <w:uiPriority w:val="99"/>
    <w:semiHidden/>
    <w:unhideWhenUsed/>
    <w:rsid w:val="00272F4D"/>
    <w:rPr>
      <w:b/>
      <w:bCs/>
    </w:rPr>
  </w:style>
  <w:style w:type="character" w:customStyle="1" w:styleId="CommentSubjectChar">
    <w:name w:val="Comment Subject Char"/>
    <w:link w:val="CommentSubject"/>
    <w:uiPriority w:val="99"/>
    <w:semiHidden/>
    <w:rsid w:val="00272F4D"/>
    <w:rPr>
      <w:b/>
      <w:bCs/>
      <w:sz w:val="20"/>
      <w:szCs w:val="20"/>
    </w:rPr>
  </w:style>
  <w:style w:type="paragraph" w:styleId="BalloonText">
    <w:name w:val="Balloon Text"/>
    <w:basedOn w:val="Normal"/>
    <w:link w:val="BalloonTextChar"/>
    <w:uiPriority w:val="99"/>
    <w:semiHidden/>
    <w:unhideWhenUsed/>
    <w:rsid w:val="00272F4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72F4D"/>
    <w:rPr>
      <w:rFonts w:ascii="Segoe UI" w:hAnsi="Segoe UI" w:cs="Segoe UI"/>
      <w:sz w:val="18"/>
      <w:szCs w:val="18"/>
    </w:rPr>
  </w:style>
  <w:style w:type="paragraph" w:styleId="NormalWeb">
    <w:name w:val="Normal (Web)"/>
    <w:basedOn w:val="Normal"/>
    <w:uiPriority w:val="99"/>
    <w:unhideWhenUsed/>
    <w:rsid w:val="0091001A"/>
    <w:pPr>
      <w:spacing w:before="100" w:beforeAutospacing="1" w:after="100" w:afterAutospacing="1" w:line="240" w:lineRule="auto"/>
    </w:pPr>
    <w:rPr>
      <w:rFonts w:ascii="Times New Roman" w:eastAsia="Times New Roman" w:hAnsi="Times New Roman"/>
      <w:sz w:val="24"/>
      <w:szCs w:val="24"/>
      <w:lang w:val="en-US"/>
    </w:rPr>
  </w:style>
  <w:style w:type="table" w:styleId="TableGrid">
    <w:name w:val="Table Grid"/>
    <w:basedOn w:val="TableNormal"/>
    <w:uiPriority w:val="39"/>
    <w:rsid w:val="00DE5C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40A8"/>
    <w:rPr>
      <w:sz w:val="22"/>
      <w:szCs w:val="22"/>
      <w:lang w:eastAsia="en-US"/>
    </w:rPr>
  </w:style>
  <w:style w:type="paragraph" w:styleId="HTMLPreformatted">
    <w:name w:val="HTML Preformatted"/>
    <w:basedOn w:val="Normal"/>
    <w:link w:val="HTMLPreformattedChar"/>
    <w:uiPriority w:val="99"/>
    <w:semiHidden/>
    <w:unhideWhenUsed/>
    <w:rsid w:val="008A4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de-DE" w:eastAsia="zh-CN"/>
    </w:rPr>
  </w:style>
  <w:style w:type="character" w:customStyle="1" w:styleId="HTMLPreformattedChar">
    <w:name w:val="HTML Preformatted Char"/>
    <w:link w:val="HTMLPreformatted"/>
    <w:uiPriority w:val="99"/>
    <w:semiHidden/>
    <w:rsid w:val="008A4927"/>
    <w:rPr>
      <w:rFonts w:ascii="Courier New" w:eastAsia="Times New Roman" w:hAnsi="Courier New" w:cs="Courier New"/>
      <w:sz w:val="20"/>
      <w:szCs w:val="20"/>
      <w:lang w:val="de-DE" w:eastAsia="zh-CN"/>
    </w:rPr>
  </w:style>
  <w:style w:type="character" w:styleId="Hyperlink">
    <w:name w:val="Hyperlink"/>
    <w:uiPriority w:val="99"/>
    <w:unhideWhenUsed/>
    <w:rsid w:val="008A4927"/>
    <w:rPr>
      <w:color w:val="0563C1"/>
      <w:u w:val="single"/>
    </w:rPr>
  </w:style>
  <w:style w:type="character" w:customStyle="1" w:styleId="vc">
    <w:name w:val="vc"/>
    <w:basedOn w:val="DefaultParagraphFont"/>
    <w:rsid w:val="00B54F4D"/>
  </w:style>
  <w:style w:type="paragraph" w:customStyle="1" w:styleId="vx">
    <w:name w:val="vx"/>
    <w:basedOn w:val="Normal"/>
    <w:rsid w:val="00B54F4D"/>
    <w:pPr>
      <w:spacing w:before="100" w:beforeAutospacing="1" w:after="100" w:afterAutospacing="1" w:line="240" w:lineRule="auto"/>
    </w:pPr>
    <w:rPr>
      <w:rFonts w:ascii="Times New Roman" w:eastAsia="Times New Roman" w:hAnsi="Times New Roman"/>
      <w:sz w:val="24"/>
      <w:szCs w:val="24"/>
      <w:lang w:val="en-ZA" w:eastAsia="en-ZA"/>
    </w:rPr>
  </w:style>
  <w:style w:type="paragraph" w:customStyle="1" w:styleId="vy">
    <w:name w:val="vy"/>
    <w:basedOn w:val="Normal"/>
    <w:rsid w:val="00B54F4D"/>
    <w:pPr>
      <w:spacing w:before="100" w:beforeAutospacing="1" w:after="100" w:afterAutospacing="1" w:line="240" w:lineRule="auto"/>
    </w:pPr>
    <w:rPr>
      <w:rFonts w:ascii="Times New Roman" w:eastAsia="Times New Roman" w:hAnsi="Times New Roman"/>
      <w:sz w:val="24"/>
      <w:szCs w:val="24"/>
      <w:lang w:val="en-ZA" w:eastAsia="en-ZA"/>
    </w:rPr>
  </w:style>
  <w:style w:type="paragraph" w:customStyle="1" w:styleId="vz">
    <w:name w:val="vz"/>
    <w:basedOn w:val="Normal"/>
    <w:rsid w:val="00B54F4D"/>
    <w:pPr>
      <w:spacing w:before="100" w:beforeAutospacing="1" w:after="100" w:afterAutospacing="1" w:line="240" w:lineRule="auto"/>
    </w:pPr>
    <w:rPr>
      <w:rFonts w:ascii="Times New Roman" w:eastAsia="Times New Roman" w:hAnsi="Times New Roman"/>
      <w:sz w:val="24"/>
      <w:szCs w:val="24"/>
      <w:lang w:val="en-ZA" w:eastAsia="en-ZA"/>
    </w:rPr>
  </w:style>
  <w:style w:type="character" w:customStyle="1" w:styleId="uy">
    <w:name w:val="uy"/>
    <w:basedOn w:val="DefaultParagraphFont"/>
    <w:rsid w:val="00B54F4D"/>
  </w:style>
  <w:style w:type="character" w:styleId="UnresolvedMention">
    <w:name w:val="Unresolved Mention"/>
    <w:basedOn w:val="DefaultParagraphFont"/>
    <w:uiPriority w:val="99"/>
    <w:semiHidden/>
    <w:unhideWhenUsed/>
    <w:rsid w:val="00A83F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9745">
      <w:bodyDiv w:val="1"/>
      <w:marLeft w:val="0"/>
      <w:marRight w:val="0"/>
      <w:marTop w:val="0"/>
      <w:marBottom w:val="0"/>
      <w:divBdr>
        <w:top w:val="none" w:sz="0" w:space="0" w:color="auto"/>
        <w:left w:val="none" w:sz="0" w:space="0" w:color="auto"/>
        <w:bottom w:val="none" w:sz="0" w:space="0" w:color="auto"/>
        <w:right w:val="none" w:sz="0" w:space="0" w:color="auto"/>
      </w:divBdr>
    </w:div>
    <w:div w:id="143199619">
      <w:bodyDiv w:val="1"/>
      <w:marLeft w:val="0"/>
      <w:marRight w:val="0"/>
      <w:marTop w:val="0"/>
      <w:marBottom w:val="0"/>
      <w:divBdr>
        <w:top w:val="none" w:sz="0" w:space="0" w:color="auto"/>
        <w:left w:val="none" w:sz="0" w:space="0" w:color="auto"/>
        <w:bottom w:val="none" w:sz="0" w:space="0" w:color="auto"/>
        <w:right w:val="none" w:sz="0" w:space="0" w:color="auto"/>
      </w:divBdr>
    </w:div>
    <w:div w:id="461728569">
      <w:bodyDiv w:val="1"/>
      <w:marLeft w:val="0"/>
      <w:marRight w:val="0"/>
      <w:marTop w:val="0"/>
      <w:marBottom w:val="0"/>
      <w:divBdr>
        <w:top w:val="none" w:sz="0" w:space="0" w:color="auto"/>
        <w:left w:val="none" w:sz="0" w:space="0" w:color="auto"/>
        <w:bottom w:val="none" w:sz="0" w:space="0" w:color="auto"/>
        <w:right w:val="none" w:sz="0" w:space="0" w:color="auto"/>
      </w:divBdr>
      <w:divsChild>
        <w:div w:id="244611049">
          <w:marLeft w:val="0"/>
          <w:marRight w:val="0"/>
          <w:marTop w:val="0"/>
          <w:marBottom w:val="0"/>
          <w:divBdr>
            <w:top w:val="none" w:sz="0" w:space="0" w:color="auto"/>
            <w:left w:val="none" w:sz="0" w:space="0" w:color="auto"/>
            <w:bottom w:val="none" w:sz="0" w:space="0" w:color="auto"/>
            <w:right w:val="none" w:sz="0" w:space="0" w:color="auto"/>
          </w:divBdr>
        </w:div>
        <w:div w:id="1066338453">
          <w:marLeft w:val="0"/>
          <w:marRight w:val="0"/>
          <w:marTop w:val="0"/>
          <w:marBottom w:val="0"/>
          <w:divBdr>
            <w:top w:val="none" w:sz="0" w:space="0" w:color="auto"/>
            <w:left w:val="none" w:sz="0" w:space="0" w:color="auto"/>
            <w:bottom w:val="none" w:sz="0" w:space="0" w:color="auto"/>
            <w:right w:val="none" w:sz="0" w:space="0" w:color="auto"/>
          </w:divBdr>
        </w:div>
        <w:div w:id="1199969779">
          <w:marLeft w:val="0"/>
          <w:marRight w:val="0"/>
          <w:marTop w:val="0"/>
          <w:marBottom w:val="0"/>
          <w:divBdr>
            <w:top w:val="none" w:sz="0" w:space="0" w:color="auto"/>
            <w:left w:val="none" w:sz="0" w:space="0" w:color="auto"/>
            <w:bottom w:val="none" w:sz="0" w:space="0" w:color="auto"/>
            <w:right w:val="none" w:sz="0" w:space="0" w:color="auto"/>
          </w:divBdr>
        </w:div>
        <w:div w:id="194194984">
          <w:marLeft w:val="0"/>
          <w:marRight w:val="0"/>
          <w:marTop w:val="0"/>
          <w:marBottom w:val="0"/>
          <w:divBdr>
            <w:top w:val="none" w:sz="0" w:space="0" w:color="auto"/>
            <w:left w:val="none" w:sz="0" w:space="0" w:color="auto"/>
            <w:bottom w:val="none" w:sz="0" w:space="0" w:color="auto"/>
            <w:right w:val="none" w:sz="0" w:space="0" w:color="auto"/>
          </w:divBdr>
        </w:div>
        <w:div w:id="1511063658">
          <w:marLeft w:val="0"/>
          <w:marRight w:val="0"/>
          <w:marTop w:val="0"/>
          <w:marBottom w:val="0"/>
          <w:divBdr>
            <w:top w:val="none" w:sz="0" w:space="0" w:color="auto"/>
            <w:left w:val="none" w:sz="0" w:space="0" w:color="auto"/>
            <w:bottom w:val="none" w:sz="0" w:space="0" w:color="auto"/>
            <w:right w:val="none" w:sz="0" w:space="0" w:color="auto"/>
          </w:divBdr>
        </w:div>
        <w:div w:id="1295217806">
          <w:marLeft w:val="0"/>
          <w:marRight w:val="0"/>
          <w:marTop w:val="0"/>
          <w:marBottom w:val="0"/>
          <w:divBdr>
            <w:top w:val="none" w:sz="0" w:space="0" w:color="auto"/>
            <w:left w:val="none" w:sz="0" w:space="0" w:color="auto"/>
            <w:bottom w:val="none" w:sz="0" w:space="0" w:color="auto"/>
            <w:right w:val="none" w:sz="0" w:space="0" w:color="auto"/>
          </w:divBdr>
        </w:div>
        <w:div w:id="248081025">
          <w:marLeft w:val="0"/>
          <w:marRight w:val="0"/>
          <w:marTop w:val="0"/>
          <w:marBottom w:val="0"/>
          <w:divBdr>
            <w:top w:val="none" w:sz="0" w:space="0" w:color="auto"/>
            <w:left w:val="none" w:sz="0" w:space="0" w:color="auto"/>
            <w:bottom w:val="none" w:sz="0" w:space="0" w:color="auto"/>
            <w:right w:val="none" w:sz="0" w:space="0" w:color="auto"/>
          </w:divBdr>
        </w:div>
        <w:div w:id="83890242">
          <w:marLeft w:val="0"/>
          <w:marRight w:val="0"/>
          <w:marTop w:val="0"/>
          <w:marBottom w:val="0"/>
          <w:divBdr>
            <w:top w:val="none" w:sz="0" w:space="0" w:color="auto"/>
            <w:left w:val="none" w:sz="0" w:space="0" w:color="auto"/>
            <w:bottom w:val="none" w:sz="0" w:space="0" w:color="auto"/>
            <w:right w:val="none" w:sz="0" w:space="0" w:color="auto"/>
          </w:divBdr>
        </w:div>
        <w:div w:id="936986417">
          <w:marLeft w:val="0"/>
          <w:marRight w:val="0"/>
          <w:marTop w:val="0"/>
          <w:marBottom w:val="0"/>
          <w:divBdr>
            <w:top w:val="none" w:sz="0" w:space="0" w:color="auto"/>
            <w:left w:val="none" w:sz="0" w:space="0" w:color="auto"/>
            <w:bottom w:val="none" w:sz="0" w:space="0" w:color="auto"/>
            <w:right w:val="none" w:sz="0" w:space="0" w:color="auto"/>
          </w:divBdr>
        </w:div>
        <w:div w:id="1070230559">
          <w:marLeft w:val="0"/>
          <w:marRight w:val="0"/>
          <w:marTop w:val="0"/>
          <w:marBottom w:val="0"/>
          <w:divBdr>
            <w:top w:val="none" w:sz="0" w:space="0" w:color="auto"/>
            <w:left w:val="none" w:sz="0" w:space="0" w:color="auto"/>
            <w:bottom w:val="none" w:sz="0" w:space="0" w:color="auto"/>
            <w:right w:val="none" w:sz="0" w:space="0" w:color="auto"/>
          </w:divBdr>
        </w:div>
      </w:divsChild>
    </w:div>
    <w:div w:id="648750384">
      <w:bodyDiv w:val="1"/>
      <w:marLeft w:val="0"/>
      <w:marRight w:val="0"/>
      <w:marTop w:val="0"/>
      <w:marBottom w:val="0"/>
      <w:divBdr>
        <w:top w:val="none" w:sz="0" w:space="0" w:color="auto"/>
        <w:left w:val="none" w:sz="0" w:space="0" w:color="auto"/>
        <w:bottom w:val="none" w:sz="0" w:space="0" w:color="auto"/>
        <w:right w:val="none" w:sz="0" w:space="0" w:color="auto"/>
      </w:divBdr>
    </w:div>
    <w:div w:id="830411910">
      <w:bodyDiv w:val="1"/>
      <w:marLeft w:val="0"/>
      <w:marRight w:val="0"/>
      <w:marTop w:val="0"/>
      <w:marBottom w:val="0"/>
      <w:divBdr>
        <w:top w:val="none" w:sz="0" w:space="0" w:color="auto"/>
        <w:left w:val="none" w:sz="0" w:space="0" w:color="auto"/>
        <w:bottom w:val="none" w:sz="0" w:space="0" w:color="auto"/>
        <w:right w:val="none" w:sz="0" w:space="0" w:color="auto"/>
      </w:divBdr>
    </w:div>
    <w:div w:id="967049625">
      <w:bodyDiv w:val="1"/>
      <w:marLeft w:val="0"/>
      <w:marRight w:val="0"/>
      <w:marTop w:val="0"/>
      <w:marBottom w:val="0"/>
      <w:divBdr>
        <w:top w:val="none" w:sz="0" w:space="0" w:color="auto"/>
        <w:left w:val="none" w:sz="0" w:space="0" w:color="auto"/>
        <w:bottom w:val="none" w:sz="0" w:space="0" w:color="auto"/>
        <w:right w:val="none" w:sz="0" w:space="0" w:color="auto"/>
      </w:divBdr>
      <w:divsChild>
        <w:div w:id="706298562">
          <w:marLeft w:val="0"/>
          <w:marRight w:val="0"/>
          <w:marTop w:val="0"/>
          <w:marBottom w:val="0"/>
          <w:divBdr>
            <w:top w:val="none" w:sz="0" w:space="0" w:color="auto"/>
            <w:left w:val="none" w:sz="0" w:space="0" w:color="auto"/>
            <w:bottom w:val="none" w:sz="0" w:space="0" w:color="auto"/>
            <w:right w:val="none" w:sz="0" w:space="0" w:color="auto"/>
          </w:divBdr>
        </w:div>
      </w:divsChild>
    </w:div>
    <w:div w:id="1022587161">
      <w:bodyDiv w:val="1"/>
      <w:marLeft w:val="0"/>
      <w:marRight w:val="0"/>
      <w:marTop w:val="0"/>
      <w:marBottom w:val="0"/>
      <w:divBdr>
        <w:top w:val="none" w:sz="0" w:space="0" w:color="auto"/>
        <w:left w:val="none" w:sz="0" w:space="0" w:color="auto"/>
        <w:bottom w:val="none" w:sz="0" w:space="0" w:color="auto"/>
        <w:right w:val="none" w:sz="0" w:space="0" w:color="auto"/>
      </w:divBdr>
    </w:div>
    <w:div w:id="1132673413">
      <w:bodyDiv w:val="1"/>
      <w:marLeft w:val="0"/>
      <w:marRight w:val="0"/>
      <w:marTop w:val="0"/>
      <w:marBottom w:val="0"/>
      <w:divBdr>
        <w:top w:val="none" w:sz="0" w:space="0" w:color="auto"/>
        <w:left w:val="none" w:sz="0" w:space="0" w:color="auto"/>
        <w:bottom w:val="none" w:sz="0" w:space="0" w:color="auto"/>
        <w:right w:val="none" w:sz="0" w:space="0" w:color="auto"/>
      </w:divBdr>
    </w:div>
    <w:div w:id="1146236499">
      <w:bodyDiv w:val="1"/>
      <w:marLeft w:val="0"/>
      <w:marRight w:val="0"/>
      <w:marTop w:val="0"/>
      <w:marBottom w:val="0"/>
      <w:divBdr>
        <w:top w:val="none" w:sz="0" w:space="0" w:color="auto"/>
        <w:left w:val="none" w:sz="0" w:space="0" w:color="auto"/>
        <w:bottom w:val="none" w:sz="0" w:space="0" w:color="auto"/>
        <w:right w:val="none" w:sz="0" w:space="0" w:color="auto"/>
      </w:divBdr>
    </w:div>
    <w:div w:id="1307510011">
      <w:bodyDiv w:val="1"/>
      <w:marLeft w:val="0"/>
      <w:marRight w:val="0"/>
      <w:marTop w:val="0"/>
      <w:marBottom w:val="0"/>
      <w:divBdr>
        <w:top w:val="none" w:sz="0" w:space="0" w:color="auto"/>
        <w:left w:val="none" w:sz="0" w:space="0" w:color="auto"/>
        <w:bottom w:val="none" w:sz="0" w:space="0" w:color="auto"/>
        <w:right w:val="none" w:sz="0" w:space="0" w:color="auto"/>
      </w:divBdr>
      <w:divsChild>
        <w:div w:id="113014687">
          <w:marLeft w:val="0"/>
          <w:marRight w:val="0"/>
          <w:marTop w:val="0"/>
          <w:marBottom w:val="0"/>
          <w:divBdr>
            <w:top w:val="none" w:sz="0" w:space="0" w:color="auto"/>
            <w:left w:val="none" w:sz="0" w:space="0" w:color="auto"/>
            <w:bottom w:val="none" w:sz="0" w:space="0" w:color="auto"/>
            <w:right w:val="none" w:sz="0" w:space="0" w:color="auto"/>
          </w:divBdr>
        </w:div>
        <w:div w:id="1148741573">
          <w:marLeft w:val="0"/>
          <w:marRight w:val="0"/>
          <w:marTop w:val="0"/>
          <w:marBottom w:val="0"/>
          <w:divBdr>
            <w:top w:val="none" w:sz="0" w:space="0" w:color="auto"/>
            <w:left w:val="none" w:sz="0" w:space="0" w:color="auto"/>
            <w:bottom w:val="none" w:sz="0" w:space="0" w:color="auto"/>
            <w:right w:val="none" w:sz="0" w:space="0" w:color="auto"/>
          </w:divBdr>
        </w:div>
        <w:div w:id="266161891">
          <w:marLeft w:val="0"/>
          <w:marRight w:val="0"/>
          <w:marTop w:val="0"/>
          <w:marBottom w:val="0"/>
          <w:divBdr>
            <w:top w:val="none" w:sz="0" w:space="0" w:color="auto"/>
            <w:left w:val="none" w:sz="0" w:space="0" w:color="auto"/>
            <w:bottom w:val="none" w:sz="0" w:space="0" w:color="auto"/>
            <w:right w:val="none" w:sz="0" w:space="0" w:color="auto"/>
          </w:divBdr>
        </w:div>
        <w:div w:id="1988585821">
          <w:marLeft w:val="0"/>
          <w:marRight w:val="0"/>
          <w:marTop w:val="0"/>
          <w:marBottom w:val="0"/>
          <w:divBdr>
            <w:top w:val="none" w:sz="0" w:space="0" w:color="auto"/>
            <w:left w:val="none" w:sz="0" w:space="0" w:color="auto"/>
            <w:bottom w:val="none" w:sz="0" w:space="0" w:color="auto"/>
            <w:right w:val="none" w:sz="0" w:space="0" w:color="auto"/>
          </w:divBdr>
        </w:div>
        <w:div w:id="2039893705">
          <w:marLeft w:val="0"/>
          <w:marRight w:val="0"/>
          <w:marTop w:val="0"/>
          <w:marBottom w:val="0"/>
          <w:divBdr>
            <w:top w:val="none" w:sz="0" w:space="0" w:color="auto"/>
            <w:left w:val="none" w:sz="0" w:space="0" w:color="auto"/>
            <w:bottom w:val="none" w:sz="0" w:space="0" w:color="auto"/>
            <w:right w:val="none" w:sz="0" w:space="0" w:color="auto"/>
          </w:divBdr>
        </w:div>
        <w:div w:id="615983524">
          <w:marLeft w:val="0"/>
          <w:marRight w:val="0"/>
          <w:marTop w:val="0"/>
          <w:marBottom w:val="0"/>
          <w:divBdr>
            <w:top w:val="none" w:sz="0" w:space="0" w:color="auto"/>
            <w:left w:val="none" w:sz="0" w:space="0" w:color="auto"/>
            <w:bottom w:val="none" w:sz="0" w:space="0" w:color="auto"/>
            <w:right w:val="none" w:sz="0" w:space="0" w:color="auto"/>
          </w:divBdr>
        </w:div>
        <w:div w:id="202400494">
          <w:marLeft w:val="0"/>
          <w:marRight w:val="0"/>
          <w:marTop w:val="0"/>
          <w:marBottom w:val="0"/>
          <w:divBdr>
            <w:top w:val="none" w:sz="0" w:space="0" w:color="auto"/>
            <w:left w:val="none" w:sz="0" w:space="0" w:color="auto"/>
            <w:bottom w:val="none" w:sz="0" w:space="0" w:color="auto"/>
            <w:right w:val="none" w:sz="0" w:space="0" w:color="auto"/>
          </w:divBdr>
        </w:div>
        <w:div w:id="2064325707">
          <w:marLeft w:val="0"/>
          <w:marRight w:val="0"/>
          <w:marTop w:val="0"/>
          <w:marBottom w:val="0"/>
          <w:divBdr>
            <w:top w:val="none" w:sz="0" w:space="0" w:color="auto"/>
            <w:left w:val="none" w:sz="0" w:space="0" w:color="auto"/>
            <w:bottom w:val="none" w:sz="0" w:space="0" w:color="auto"/>
            <w:right w:val="none" w:sz="0" w:space="0" w:color="auto"/>
          </w:divBdr>
        </w:div>
        <w:div w:id="2014993928">
          <w:marLeft w:val="0"/>
          <w:marRight w:val="0"/>
          <w:marTop w:val="0"/>
          <w:marBottom w:val="0"/>
          <w:divBdr>
            <w:top w:val="none" w:sz="0" w:space="0" w:color="auto"/>
            <w:left w:val="none" w:sz="0" w:space="0" w:color="auto"/>
            <w:bottom w:val="none" w:sz="0" w:space="0" w:color="auto"/>
            <w:right w:val="none" w:sz="0" w:space="0" w:color="auto"/>
          </w:divBdr>
        </w:div>
        <w:div w:id="1466295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0EC14-A530-49AF-B219-8930C6BC2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2125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The Nasdaq OMX Group, Inc.</Company>
  <LinksUpToDate>false</LinksUpToDate>
  <CharactersWithSpaces>2493</CharactersWithSpaces>
  <SharedDoc>false</SharedDoc>
  <HLinks>
    <vt:vector size="6" baseType="variant">
      <vt:variant>
        <vt:i4>2359332</vt:i4>
      </vt:variant>
      <vt:variant>
        <vt:i4>0</vt:i4>
      </vt:variant>
      <vt:variant>
        <vt:i4>0</vt:i4>
      </vt:variant>
      <vt:variant>
        <vt:i4>5</vt:i4>
      </vt:variant>
      <vt:variant>
        <vt:lpwstr>http://www.dxs-systems.com/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maxine jordan</dc:creator>
  <cp:keywords/>
  <cp:lastModifiedBy>Claire Noyce</cp:lastModifiedBy>
  <cp:revision>2</cp:revision>
  <cp:lastPrinted>2024-01-30T10:49:00Z</cp:lastPrinted>
  <dcterms:created xsi:type="dcterms:W3CDTF">2025-07-09T12:16:00Z</dcterms:created>
  <dcterms:modified xsi:type="dcterms:W3CDTF">2025-07-09T12:16:00Z</dcterms:modified>
</cp:coreProperties>
</file>