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1951DA55"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Registered seat address</w:t>
            </w:r>
            <w:r w:rsidR="00D952DD" w:rsidRPr="00C737C7">
              <w:rPr>
                <w:rFonts w:ascii="Tahoma" w:hAnsi="Tahoma" w:cs="Tahoma"/>
                <w:sz w:val="20"/>
                <w:szCs w:val="20"/>
                <w:shd w:val="clear" w:color="auto" w:fill="FFFFFF"/>
                <w:lang w:val="en-US"/>
              </w:rPr>
              <w:t xml:space="preserve"> </w:t>
            </w:r>
            <w:r w:rsidR="005B6343" w:rsidRPr="00C737C7">
              <w:rPr>
                <w:rFonts w:ascii="Tahoma" w:hAnsi="Tahoma" w:cs="Tahoma"/>
                <w:sz w:val="20"/>
                <w:szCs w:val="20"/>
                <w:shd w:val="clear" w:color="auto" w:fill="FFFFFF"/>
                <w:lang w:val="en-US"/>
              </w:rPr>
              <w:t>Viršuliškių skg. 99B, Vilnius,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ata on the company are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r w:rsidR="005C3513" w:rsidRPr="00C737C7">
              <w:rPr>
                <w:rFonts w:ascii="Tahoma" w:hAnsi="Tahoma" w:cs="Tahoma"/>
                <w:b w:val="0"/>
                <w:color w:val="000000"/>
                <w:sz w:val="20"/>
                <w:shd w:val="clear" w:color="auto" w:fill="FFFFFF"/>
                <w:lang w:val="en-US"/>
              </w:rPr>
              <w:t>hereinafter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14F08160"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002C496C">
        <w:rPr>
          <w:rFonts w:ascii="Tahoma" w:hAnsi="Tahoma" w:cs="Tahoma"/>
          <w:b/>
          <w:bCs/>
          <w:sz w:val="20"/>
          <w:szCs w:val="20"/>
          <w:lang w:val="en-US"/>
        </w:rPr>
        <w:t>EXTRA</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7D11FC">
        <w:rPr>
          <w:rFonts w:ascii="Tahoma" w:hAnsi="Tahoma" w:cs="Tahoma"/>
          <w:b/>
          <w:bCs/>
          <w:sz w:val="20"/>
          <w:szCs w:val="20"/>
          <w:lang w:val="en-US"/>
        </w:rPr>
        <w:t>1 DECEMBER</w:t>
      </w:r>
      <w:r w:rsidR="008F2176">
        <w:rPr>
          <w:rFonts w:ascii="Tahoma" w:hAnsi="Tahoma" w:cs="Tahoma"/>
          <w:b/>
          <w:bCs/>
          <w:sz w:val="20"/>
          <w:szCs w:val="20"/>
          <w:lang w:val="en-US"/>
        </w:rPr>
        <w:t xml:space="preserve"> </w:t>
      </w:r>
      <w:r w:rsidRPr="00C737C7">
        <w:rPr>
          <w:rFonts w:ascii="Tahoma" w:hAnsi="Tahoma" w:cs="Tahoma"/>
          <w:b/>
          <w:bCs/>
          <w:sz w:val="20"/>
          <w:szCs w:val="20"/>
          <w:lang w:val="en-US"/>
        </w:rPr>
        <w:t>202</w:t>
      </w:r>
      <w:r w:rsidR="001027C3">
        <w:rPr>
          <w:rFonts w:ascii="Tahoma" w:hAnsi="Tahoma" w:cs="Tahoma"/>
          <w:b/>
          <w:bCs/>
          <w:sz w:val="20"/>
          <w:szCs w:val="20"/>
          <w:lang w:val="en-US"/>
        </w:rPr>
        <w:t>1</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data about the voting shareholder in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To elect the following person as the chair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1A435B"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1A435B"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1A435B"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1A435B"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1A435B"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1A435B"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45DBE1CF"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xml:space="preserve">. </w:t>
      </w:r>
    </w:p>
    <w:tbl>
      <w:tblPr>
        <w:tblW w:w="99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5245"/>
        <w:gridCol w:w="1134"/>
        <w:gridCol w:w="1421"/>
      </w:tblGrid>
      <w:tr w:rsidR="00CE0CFB" w:rsidRPr="00C737C7" w14:paraId="0C3F764C" w14:textId="77777777" w:rsidTr="007D11FC">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1418"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5245" w:type="dxa"/>
            <w:vAlign w:val="center"/>
          </w:tcPr>
          <w:p w14:paraId="613F54AE" w14:textId="713FFC09" w:rsidR="00CE0CFB" w:rsidRPr="007D11FC" w:rsidRDefault="00592D90" w:rsidP="002B31D2">
            <w:pPr>
              <w:spacing w:before="40" w:after="40" w:line="240" w:lineRule="exact"/>
              <w:jc w:val="center"/>
              <w:rPr>
                <w:rFonts w:ascii="Tahoma" w:hAnsi="Tahoma" w:cs="Tahoma"/>
                <w:b/>
                <w:bCs/>
                <w:sz w:val="20"/>
                <w:szCs w:val="20"/>
                <w:lang w:val="en-US"/>
              </w:rPr>
            </w:pPr>
            <w:r w:rsidRPr="007D11FC">
              <w:rPr>
                <w:rFonts w:ascii="Tahoma" w:hAnsi="Tahoma" w:cs="Tahoma"/>
                <w:b/>
                <w:bCs/>
                <w:sz w:val="20"/>
                <w:szCs w:val="20"/>
                <w:lang w:val="en-US"/>
              </w:rPr>
              <w:t>Proposed draft decisions</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5B6343" w:rsidRPr="00C737C7" w14:paraId="536B7A74" w14:textId="77777777" w:rsidTr="007D11FC">
        <w:trPr>
          <w:trHeight w:val="668"/>
        </w:trPr>
        <w:tc>
          <w:tcPr>
            <w:tcW w:w="709" w:type="dxa"/>
            <w:vAlign w:val="center"/>
          </w:tcPr>
          <w:p w14:paraId="7124DA86" w14:textId="77777777"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1418" w:type="dxa"/>
            <w:vAlign w:val="center"/>
          </w:tcPr>
          <w:p w14:paraId="07BB8894" w14:textId="5BF9C7B2" w:rsidR="008F2176" w:rsidRPr="008F2176" w:rsidRDefault="008F2176" w:rsidP="008F2176">
            <w:pPr>
              <w:rPr>
                <w:rFonts w:ascii="Tahoma" w:hAnsi="Tahoma" w:cs="Tahoma"/>
                <w:b/>
                <w:bCs/>
                <w:color w:val="000000"/>
                <w:sz w:val="20"/>
                <w:szCs w:val="20"/>
                <w:lang w:val="en-US"/>
              </w:rPr>
            </w:pPr>
            <w:r w:rsidRPr="008F2176">
              <w:rPr>
                <w:rStyle w:val="Strong"/>
                <w:rFonts w:ascii="Tahoma" w:hAnsi="Tahoma" w:cs="Tahoma"/>
                <w:b w:val="0"/>
                <w:bCs w:val="0"/>
                <w:color w:val="000000"/>
                <w:sz w:val="20"/>
                <w:szCs w:val="20"/>
                <w:lang w:val="en-US"/>
              </w:rPr>
              <w:t xml:space="preserve">Regarding approval of LITGRID AB Board’s decision No. </w:t>
            </w:r>
            <w:r w:rsidR="007D11FC">
              <w:rPr>
                <w:rStyle w:val="Strong"/>
                <w:rFonts w:ascii="Tahoma" w:hAnsi="Tahoma" w:cs="Tahoma"/>
                <w:b w:val="0"/>
                <w:bCs w:val="0"/>
                <w:color w:val="000000"/>
                <w:sz w:val="20"/>
                <w:szCs w:val="20"/>
                <w:lang w:val="en-US"/>
              </w:rPr>
              <w:t>1</w:t>
            </w:r>
            <w:r w:rsidRPr="008F2176">
              <w:rPr>
                <w:rStyle w:val="Strong"/>
                <w:rFonts w:ascii="Tahoma" w:hAnsi="Tahoma" w:cs="Tahoma"/>
                <w:b w:val="0"/>
                <w:bCs w:val="0"/>
                <w:sz w:val="20"/>
                <w:szCs w:val="20"/>
              </w:rPr>
              <w:t xml:space="preserve"> </w:t>
            </w:r>
            <w:r w:rsidRPr="008F2176">
              <w:rPr>
                <w:rStyle w:val="Strong"/>
                <w:rFonts w:ascii="Tahoma" w:hAnsi="Tahoma" w:cs="Tahoma"/>
                <w:b w:val="0"/>
                <w:bCs w:val="0"/>
                <w:color w:val="000000"/>
                <w:sz w:val="20"/>
                <w:szCs w:val="20"/>
                <w:lang w:val="en-US"/>
              </w:rPr>
              <w:t xml:space="preserve">of </w:t>
            </w:r>
            <w:r w:rsidR="007D11FC">
              <w:rPr>
                <w:rStyle w:val="Strong"/>
                <w:rFonts w:ascii="Tahoma" w:hAnsi="Tahoma" w:cs="Tahoma"/>
                <w:b w:val="0"/>
                <w:bCs w:val="0"/>
                <w:color w:val="000000"/>
                <w:sz w:val="20"/>
                <w:szCs w:val="20"/>
                <w:lang w:val="en-US"/>
              </w:rPr>
              <w:t>3</w:t>
            </w:r>
            <w:r w:rsidRPr="008F2176">
              <w:rPr>
                <w:rStyle w:val="Strong"/>
                <w:rFonts w:ascii="Tahoma" w:hAnsi="Tahoma" w:cs="Tahoma"/>
                <w:b w:val="0"/>
                <w:bCs w:val="0"/>
                <w:color w:val="000000"/>
                <w:sz w:val="20"/>
                <w:szCs w:val="20"/>
                <w:lang w:val="en-US"/>
              </w:rPr>
              <w:t xml:space="preserve"> </w:t>
            </w:r>
            <w:r w:rsidR="007D11FC">
              <w:rPr>
                <w:rStyle w:val="Strong"/>
                <w:rFonts w:ascii="Tahoma" w:hAnsi="Tahoma" w:cs="Tahoma"/>
                <w:b w:val="0"/>
                <w:bCs w:val="0"/>
                <w:color w:val="000000"/>
                <w:sz w:val="20"/>
                <w:szCs w:val="20"/>
                <w:lang w:val="en-US"/>
              </w:rPr>
              <w:t>November</w:t>
            </w:r>
            <w:r w:rsidRPr="008F2176">
              <w:rPr>
                <w:rStyle w:val="Strong"/>
                <w:rFonts w:ascii="Tahoma" w:hAnsi="Tahoma" w:cs="Tahoma"/>
                <w:b w:val="0"/>
                <w:bCs w:val="0"/>
                <w:color w:val="000000"/>
                <w:sz w:val="20"/>
                <w:szCs w:val="20"/>
                <w:lang w:val="en-US"/>
              </w:rPr>
              <w:t xml:space="preserve"> 2021 (minutes No. 2</w:t>
            </w:r>
            <w:r w:rsidR="007D11FC">
              <w:rPr>
                <w:rStyle w:val="Strong"/>
                <w:rFonts w:ascii="Tahoma" w:hAnsi="Tahoma" w:cs="Tahoma"/>
                <w:b w:val="0"/>
                <w:bCs w:val="0"/>
                <w:color w:val="000000"/>
                <w:sz w:val="20"/>
                <w:szCs w:val="20"/>
                <w:lang w:val="en-US"/>
              </w:rPr>
              <w:t>6</w:t>
            </w:r>
            <w:r w:rsidRPr="008F2176">
              <w:rPr>
                <w:rStyle w:val="Strong"/>
                <w:rFonts w:ascii="Tahoma" w:hAnsi="Tahoma" w:cs="Tahoma"/>
                <w:b w:val="0"/>
                <w:bCs w:val="0"/>
                <w:color w:val="000000"/>
                <w:sz w:val="20"/>
                <w:szCs w:val="20"/>
                <w:lang w:val="en-US"/>
              </w:rPr>
              <w:t>)</w:t>
            </w:r>
          </w:p>
          <w:p w14:paraId="2DE02E4F" w14:textId="363057E2" w:rsidR="00D40AFB" w:rsidRPr="00C737C7" w:rsidRDefault="00D40AFB" w:rsidP="00D40AFB">
            <w:pPr>
              <w:spacing w:before="40" w:after="40" w:line="240" w:lineRule="exact"/>
              <w:jc w:val="both"/>
              <w:rPr>
                <w:rFonts w:ascii="Tahoma" w:hAnsi="Tahoma" w:cs="Tahoma"/>
                <w:sz w:val="20"/>
                <w:szCs w:val="20"/>
                <w:lang w:val="en-US"/>
              </w:rPr>
            </w:pPr>
          </w:p>
        </w:tc>
        <w:tc>
          <w:tcPr>
            <w:tcW w:w="5245" w:type="dxa"/>
            <w:vAlign w:val="center"/>
          </w:tcPr>
          <w:p w14:paraId="186EE330" w14:textId="00C9749A" w:rsidR="007D11FC" w:rsidRPr="007D11FC" w:rsidRDefault="007D11FC" w:rsidP="007D11FC">
            <w:pPr>
              <w:pStyle w:val="NormalWeb"/>
              <w:numPr>
                <w:ilvl w:val="0"/>
                <w:numId w:val="7"/>
              </w:numPr>
              <w:tabs>
                <w:tab w:val="left" w:pos="454"/>
              </w:tabs>
              <w:spacing w:before="0" w:beforeAutospacing="0" w:after="0" w:afterAutospacing="0"/>
              <w:ind w:left="0" w:firstLine="0"/>
              <w:jc w:val="both"/>
              <w:rPr>
                <w:rFonts w:ascii="Tahoma" w:hAnsi="Tahoma" w:cs="Tahoma"/>
                <w:color w:val="000000"/>
                <w:sz w:val="20"/>
                <w:szCs w:val="20"/>
                <w:lang w:val="en-US"/>
              </w:rPr>
            </w:pPr>
            <w:r w:rsidRPr="007D11FC">
              <w:rPr>
                <w:rFonts w:ascii="Tahoma" w:hAnsi="Tahoma" w:cs="Tahoma"/>
                <w:color w:val="000000"/>
                <w:sz w:val="20"/>
                <w:szCs w:val="20"/>
                <w:lang w:val="en-US"/>
              </w:rPr>
              <w:t xml:space="preserve">To approve the creation of </w:t>
            </w:r>
            <w:r w:rsidRPr="007D11FC">
              <w:rPr>
                <w:rFonts w:ascii="Tahoma" w:hAnsi="Tahoma" w:cs="Tahoma"/>
                <w:color w:val="000000"/>
                <w:sz w:val="20"/>
                <w:szCs w:val="20"/>
                <w:shd w:val="clear" w:color="auto" w:fill="FFFFFF"/>
              </w:rPr>
              <w:t xml:space="preserve">non-current </w:t>
            </w:r>
            <w:r w:rsidRPr="007D11FC">
              <w:rPr>
                <w:rFonts w:ascii="Tahoma" w:hAnsi="Tahoma" w:cs="Tahoma"/>
                <w:color w:val="000000"/>
                <w:sz w:val="20"/>
                <w:szCs w:val="20"/>
                <w:lang w:val="en-US"/>
              </w:rPr>
              <w:t xml:space="preserve">assets by entering into </w:t>
            </w:r>
            <w:r>
              <w:rPr>
                <w:rFonts w:ascii="Tahoma" w:hAnsi="Tahoma" w:cs="Tahoma"/>
                <w:color w:val="000000"/>
                <w:sz w:val="20"/>
                <w:szCs w:val="20"/>
                <w:lang w:val="en-US"/>
              </w:rPr>
              <w:t xml:space="preserve">“New synchronous condensers instalment works in the Lithuanian electric power system” </w:t>
            </w:r>
            <w:r w:rsidRPr="007D11FC">
              <w:rPr>
                <w:rFonts w:ascii="Tahoma" w:hAnsi="Tahoma" w:cs="Tahoma"/>
                <w:color w:val="000000"/>
                <w:sz w:val="20"/>
                <w:szCs w:val="20"/>
                <w:lang w:val="en-US"/>
              </w:rPr>
              <w:t>design, production and installation works contract with the Lithuanian branch of Siemens Energy Oy, legal entity code 305427888, with its registered office is at J. Jasinskio str. 16C, 03163, Vilnius, Lithuania and Siemens Energy Global GmbH &amp; Co KG, legal entity code HRA111200, with its registered office at Freyesleben str. 1, 91058, Erlangen, Germany (group of suppliers operating under a joint venture agreement).</w:t>
            </w:r>
          </w:p>
          <w:p w14:paraId="710E7503" w14:textId="77777777" w:rsidR="007D11FC" w:rsidRPr="007D11FC" w:rsidRDefault="007D11FC" w:rsidP="007D11FC">
            <w:pPr>
              <w:pStyle w:val="NormalWeb"/>
              <w:spacing w:before="0" w:beforeAutospacing="0" w:after="0" w:afterAutospacing="0"/>
              <w:ind w:left="454" w:hanging="454"/>
              <w:jc w:val="both"/>
              <w:rPr>
                <w:rFonts w:ascii="Tahoma" w:hAnsi="Tahoma" w:cs="Tahoma"/>
                <w:color w:val="000000"/>
                <w:sz w:val="20"/>
                <w:szCs w:val="20"/>
                <w:lang w:val="en-US"/>
              </w:rPr>
            </w:pPr>
          </w:p>
          <w:p w14:paraId="52ABE65B" w14:textId="77777777" w:rsidR="007D11FC" w:rsidRPr="007D11FC" w:rsidRDefault="007D11FC" w:rsidP="007D11FC">
            <w:pPr>
              <w:pStyle w:val="NormalWeb"/>
              <w:numPr>
                <w:ilvl w:val="0"/>
                <w:numId w:val="7"/>
              </w:numPr>
              <w:tabs>
                <w:tab w:val="left" w:pos="454"/>
              </w:tabs>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color w:val="000000"/>
                <w:sz w:val="20"/>
                <w:szCs w:val="20"/>
                <w:lang w:val="en-US"/>
              </w:rPr>
              <w:t xml:space="preserve">To approve the essential terms and conditions of the Contract (according to the FédIC Internationale des Ingénieurs-Conceils, FIDIC) Terms and conditions of the </w:t>
            </w:r>
            <w:r w:rsidRPr="007D11FC">
              <w:rPr>
                <w:rFonts w:ascii="Tahoma" w:hAnsi="Tahoma" w:cs="Tahoma"/>
                <w:color w:val="000000"/>
                <w:sz w:val="20"/>
                <w:szCs w:val="20"/>
                <w:lang w:val="en-US"/>
              </w:rPr>
              <w:lastRenderedPageBreak/>
              <w:t>construction and equipment contract (Yellow Book), first edition 1999 (second revised edition in Lithuanian, 2007):</w:t>
            </w:r>
          </w:p>
          <w:p w14:paraId="27B10B0D"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p>
          <w:p w14:paraId="4E01AAF8" w14:textId="77777777" w:rsidR="007D11FC" w:rsidRPr="007D11FC" w:rsidRDefault="007D11FC" w:rsidP="007D11FC">
            <w:pPr>
              <w:pStyle w:val="NormalWeb"/>
              <w:numPr>
                <w:ilvl w:val="1"/>
                <w:numId w:val="7"/>
              </w:numPr>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b/>
                <w:bCs/>
                <w:color w:val="000000"/>
                <w:sz w:val="20"/>
                <w:szCs w:val="20"/>
                <w:lang w:val="en-US"/>
              </w:rPr>
              <w:t>Parties of the Contract</w:t>
            </w:r>
            <w:r w:rsidRPr="007D11FC">
              <w:rPr>
                <w:rFonts w:ascii="Tahoma" w:hAnsi="Tahoma" w:cs="Tahoma"/>
                <w:color w:val="000000"/>
                <w:sz w:val="20"/>
                <w:szCs w:val="20"/>
                <w:lang w:val="en-US"/>
              </w:rPr>
              <w:t xml:space="preserve"> – LITGRID AB, a company established and operating in accordance with the laws of the Republic of Lithuania, legal entity code 302564383, whose registered office is at Karlo Gustavo Emilio Manerheimo str. 8, LT-05131, Vilnius, data about the company is collected and stored in the Register of Legal Entities of the Republic of Lithuania, on the one hand, and</w:t>
            </w:r>
          </w:p>
          <w:p w14:paraId="3108BD3E"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color w:val="000000"/>
                <w:sz w:val="20"/>
                <w:szCs w:val="20"/>
                <w:lang w:val="en-US"/>
              </w:rPr>
              <w:t>• Siemens Energy Oy Lithuanian branch, legal entity code 305427888, with its registered office at J. Jasinskio str. 16C, 03163, Vilnius, Lithuania;</w:t>
            </w:r>
          </w:p>
          <w:p w14:paraId="3750C280"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color w:val="000000"/>
                <w:sz w:val="20"/>
                <w:szCs w:val="20"/>
                <w:lang w:val="en-US"/>
              </w:rPr>
              <w:t>• Siemens Energy Global GmbH &amp; Co KG, legal entity code HRA111200, with its registered office at Freyesleben str. 1, 91058, Erlangen, Germany;</w:t>
            </w:r>
          </w:p>
          <w:p w14:paraId="30426D36"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p>
          <w:p w14:paraId="7F6479BE" w14:textId="4D0354FD" w:rsidR="007D11FC" w:rsidRPr="007D11FC" w:rsidRDefault="007D11FC" w:rsidP="007D11FC">
            <w:pPr>
              <w:pStyle w:val="NormalWeb"/>
              <w:numPr>
                <w:ilvl w:val="1"/>
                <w:numId w:val="7"/>
              </w:numPr>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b/>
                <w:bCs/>
                <w:color w:val="000000"/>
                <w:sz w:val="20"/>
                <w:szCs w:val="20"/>
                <w:lang w:val="en-US"/>
              </w:rPr>
              <w:t>The object of the Contract</w:t>
            </w:r>
            <w:r w:rsidRPr="007D11FC">
              <w:rPr>
                <w:rFonts w:ascii="Tahoma" w:hAnsi="Tahoma" w:cs="Tahoma"/>
                <w:color w:val="000000"/>
                <w:sz w:val="20"/>
                <w:szCs w:val="20"/>
                <w:lang w:val="en-US"/>
              </w:rPr>
              <w:t xml:space="preserve"> Design, production and installation of new synchronous </w:t>
            </w:r>
            <w:r w:rsidR="007D4D8F">
              <w:rPr>
                <w:rFonts w:ascii="Tahoma" w:hAnsi="Tahoma" w:cs="Tahoma"/>
                <w:color w:val="000000"/>
                <w:sz w:val="20"/>
                <w:szCs w:val="20"/>
                <w:lang w:val="en-US"/>
              </w:rPr>
              <w:t>condensers in the</w:t>
            </w:r>
            <w:r w:rsidRPr="007D11FC">
              <w:rPr>
                <w:rFonts w:ascii="Tahoma" w:hAnsi="Tahoma" w:cs="Tahoma"/>
                <w:color w:val="000000"/>
                <w:sz w:val="20"/>
                <w:szCs w:val="20"/>
                <w:lang w:val="en-US"/>
              </w:rPr>
              <w:t xml:space="preserve"> Lithuanian </w:t>
            </w:r>
            <w:r w:rsidR="007D4D8F">
              <w:rPr>
                <w:rFonts w:ascii="Tahoma" w:hAnsi="Tahoma" w:cs="Tahoma"/>
                <w:color w:val="000000"/>
                <w:sz w:val="20"/>
                <w:szCs w:val="20"/>
                <w:lang w:val="en-US"/>
              </w:rPr>
              <w:t>electric power system</w:t>
            </w:r>
            <w:r w:rsidRPr="007D11FC">
              <w:rPr>
                <w:rFonts w:ascii="Tahoma" w:hAnsi="Tahoma" w:cs="Tahoma"/>
                <w:color w:val="000000"/>
                <w:sz w:val="20"/>
                <w:szCs w:val="20"/>
                <w:lang w:val="en-US"/>
              </w:rPr>
              <w:t>.</w:t>
            </w:r>
          </w:p>
          <w:p w14:paraId="4C9F7904" w14:textId="77777777" w:rsidR="007D11FC" w:rsidRPr="007D11FC" w:rsidRDefault="007D11FC" w:rsidP="007D11FC">
            <w:pPr>
              <w:pStyle w:val="NormalWeb"/>
              <w:numPr>
                <w:ilvl w:val="1"/>
                <w:numId w:val="7"/>
              </w:numPr>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b/>
                <w:bCs/>
                <w:color w:val="000000"/>
                <w:sz w:val="20"/>
                <w:szCs w:val="20"/>
                <w:lang w:val="en-US"/>
              </w:rPr>
              <w:t>The term of the Contract</w:t>
            </w:r>
            <w:r w:rsidRPr="007D11FC">
              <w:rPr>
                <w:rFonts w:ascii="Tahoma" w:hAnsi="Tahoma" w:cs="Tahoma"/>
                <w:color w:val="000000"/>
                <w:sz w:val="20"/>
                <w:szCs w:val="20"/>
                <w:lang w:val="en-US"/>
              </w:rPr>
              <w:t xml:space="preserve"> is until the completion of the works or termination of the Contract;</w:t>
            </w:r>
          </w:p>
          <w:p w14:paraId="1CF26632"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color w:val="000000"/>
                <w:sz w:val="20"/>
                <w:szCs w:val="20"/>
                <w:lang w:val="en-US"/>
              </w:rPr>
              <w:t>Terms of work performance:</w:t>
            </w:r>
          </w:p>
          <w:p w14:paraId="1A475A8B"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color w:val="000000"/>
                <w:sz w:val="20"/>
                <w:szCs w:val="20"/>
                <w:lang w:val="en-US"/>
              </w:rPr>
              <w:t>(a) Alytus TP – 22 months from the signing of the Contract;</w:t>
            </w:r>
          </w:p>
          <w:p w14:paraId="3E6939D3"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color w:val="000000"/>
                <w:sz w:val="20"/>
                <w:szCs w:val="20"/>
                <w:lang w:val="en-US"/>
              </w:rPr>
              <w:t>(b) Telšiai TP – 22 months from the signing of the Contract;</w:t>
            </w:r>
          </w:p>
          <w:p w14:paraId="65DC1763"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color w:val="000000"/>
                <w:sz w:val="20"/>
                <w:szCs w:val="20"/>
                <w:lang w:val="en-US"/>
              </w:rPr>
              <w:t>(c) Neries TP – 2024-11-30.</w:t>
            </w:r>
          </w:p>
          <w:p w14:paraId="477A1299"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color w:val="000000"/>
                <w:sz w:val="20"/>
                <w:szCs w:val="20"/>
                <w:lang w:val="en-US"/>
              </w:rPr>
              <w:t>(d) The Contract shall provide for the possibility of extending the time limits referred to in points (a), (b), (c) (12 months) if a full environmental impact assessment is required.</w:t>
            </w:r>
          </w:p>
          <w:p w14:paraId="3128450F"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color w:val="000000"/>
                <w:sz w:val="20"/>
                <w:szCs w:val="20"/>
                <w:lang w:val="en-US"/>
              </w:rPr>
              <w:t xml:space="preserve">2.4. </w:t>
            </w:r>
            <w:r w:rsidRPr="007D11FC">
              <w:rPr>
                <w:rFonts w:ascii="Tahoma" w:hAnsi="Tahoma" w:cs="Tahoma"/>
                <w:b/>
                <w:bCs/>
                <w:color w:val="000000"/>
                <w:sz w:val="20"/>
                <w:szCs w:val="20"/>
                <w:lang w:val="en-US"/>
              </w:rPr>
              <w:t>Contract price</w:t>
            </w:r>
            <w:r w:rsidRPr="007D11FC">
              <w:rPr>
                <w:rFonts w:ascii="Tahoma" w:hAnsi="Tahoma" w:cs="Tahoma"/>
                <w:color w:val="000000"/>
                <w:sz w:val="20"/>
                <w:szCs w:val="20"/>
                <w:lang w:val="en-US"/>
              </w:rPr>
              <w:t>: SK installation contract - 87,749,947 Eur without VAT;</w:t>
            </w:r>
          </w:p>
          <w:p w14:paraId="70EE233E"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color w:val="000000"/>
                <w:sz w:val="20"/>
                <w:szCs w:val="20"/>
                <w:lang w:val="en-US"/>
              </w:rPr>
              <w:t xml:space="preserve">• </w:t>
            </w:r>
            <w:r w:rsidRPr="007D11FC">
              <w:rPr>
                <w:rFonts w:ascii="Tahoma" w:hAnsi="Tahoma" w:cs="Tahoma"/>
                <w:b/>
                <w:bCs/>
                <w:color w:val="000000"/>
                <w:sz w:val="20"/>
                <w:szCs w:val="20"/>
                <w:lang w:val="en-US"/>
              </w:rPr>
              <w:t>Contract pricing</w:t>
            </w:r>
            <w:r w:rsidRPr="007D11FC">
              <w:rPr>
                <w:rFonts w:ascii="Tahoma" w:hAnsi="Tahoma" w:cs="Tahoma"/>
                <w:color w:val="000000"/>
                <w:sz w:val="20"/>
                <w:szCs w:val="20"/>
                <w:lang w:val="en-US"/>
              </w:rPr>
              <w:t xml:space="preserve"> – fixed price with review.</w:t>
            </w:r>
          </w:p>
          <w:p w14:paraId="7ACAF6B5"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color w:val="000000"/>
                <w:sz w:val="20"/>
                <w:szCs w:val="20"/>
                <w:lang w:val="en-US"/>
              </w:rPr>
              <w:t xml:space="preserve">• </w:t>
            </w:r>
            <w:r w:rsidRPr="007D11FC">
              <w:rPr>
                <w:rFonts w:ascii="Tahoma" w:hAnsi="Tahoma" w:cs="Tahoma"/>
                <w:b/>
                <w:bCs/>
                <w:color w:val="000000"/>
                <w:sz w:val="20"/>
                <w:szCs w:val="20"/>
                <w:lang w:val="en-US"/>
              </w:rPr>
              <w:t>Payment procedure</w:t>
            </w:r>
            <w:r w:rsidRPr="007D11FC">
              <w:rPr>
                <w:rFonts w:ascii="Tahoma" w:hAnsi="Tahoma" w:cs="Tahoma"/>
                <w:color w:val="000000"/>
                <w:sz w:val="20"/>
                <w:szCs w:val="20"/>
                <w:lang w:val="en-US"/>
              </w:rPr>
              <w:t>: the advance is paid within 30 days of receipt of the advance payment guarantee. Other payments are made within 30 days of a properly submitted invoice. Will be paid in stages. The amount of each installment will be determined as a percentage of the contract price. Payments are made only for the completed stages of work:</w:t>
            </w:r>
          </w:p>
          <w:p w14:paraId="57678141"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p>
          <w:p w14:paraId="38D66C10" w14:textId="137A07F5" w:rsidR="007D11FC" w:rsidRPr="007D11FC" w:rsidRDefault="00287C63" w:rsidP="007D11FC">
            <w:pPr>
              <w:pStyle w:val="NormalWeb"/>
              <w:spacing w:before="0" w:beforeAutospacing="0" w:after="0" w:afterAutospacing="0"/>
              <w:ind w:left="29" w:hanging="29"/>
              <w:jc w:val="both"/>
              <w:rPr>
                <w:rFonts w:ascii="Tahoma" w:hAnsi="Tahoma" w:cs="Tahoma"/>
                <w:color w:val="000000"/>
                <w:sz w:val="20"/>
                <w:szCs w:val="20"/>
                <w:lang w:val="en-US"/>
              </w:rPr>
            </w:pPr>
            <w:r>
              <w:object w:dxaOrig="7410" w:dyaOrig="6825" w14:anchorId="1B68A3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25pt;height:231pt" o:ole="">
                  <v:imagedata r:id="rId11" o:title=""/>
                </v:shape>
                <o:OLEObject Type="Embed" ProgID="PBrush" ShapeID="_x0000_i1025" DrawAspect="Content" ObjectID="_1697450910" r:id="rId12"/>
              </w:object>
            </w:r>
          </w:p>
          <w:p w14:paraId="14FC664D"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p>
          <w:p w14:paraId="31ED4C33"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color w:val="000000"/>
                <w:sz w:val="20"/>
                <w:szCs w:val="20"/>
                <w:lang w:val="en-US"/>
              </w:rPr>
              <w:t xml:space="preserve">• </w:t>
            </w:r>
            <w:r w:rsidRPr="007D11FC">
              <w:rPr>
                <w:rFonts w:ascii="Tahoma" w:hAnsi="Tahoma" w:cs="Tahoma"/>
                <w:b/>
                <w:bCs/>
                <w:color w:val="000000"/>
                <w:sz w:val="20"/>
                <w:szCs w:val="20"/>
                <w:lang w:val="en-US"/>
              </w:rPr>
              <w:t>Reserve</w:t>
            </w:r>
            <w:r w:rsidRPr="007D11FC">
              <w:rPr>
                <w:rFonts w:ascii="Tahoma" w:hAnsi="Tahoma" w:cs="Tahoma"/>
                <w:color w:val="000000"/>
                <w:sz w:val="20"/>
                <w:szCs w:val="20"/>
                <w:lang w:val="en-US"/>
              </w:rPr>
              <w:t xml:space="preserve"> – not applicable;</w:t>
            </w:r>
          </w:p>
          <w:p w14:paraId="77910B27" w14:textId="77777777" w:rsidR="007D11FC" w:rsidRPr="007D11FC" w:rsidRDefault="007D11FC" w:rsidP="007D11FC">
            <w:pPr>
              <w:pStyle w:val="NormalWeb"/>
              <w:spacing w:before="0" w:beforeAutospacing="0" w:after="0" w:afterAutospacing="0"/>
              <w:ind w:left="29" w:hanging="29"/>
              <w:jc w:val="both"/>
              <w:rPr>
                <w:rFonts w:ascii="Tahoma" w:hAnsi="Tahoma" w:cs="Tahoma"/>
                <w:color w:val="000000"/>
                <w:sz w:val="20"/>
                <w:szCs w:val="20"/>
                <w:lang w:val="en-US"/>
              </w:rPr>
            </w:pPr>
            <w:r w:rsidRPr="007D11FC">
              <w:rPr>
                <w:rFonts w:ascii="Tahoma" w:hAnsi="Tahoma" w:cs="Tahoma"/>
                <w:color w:val="000000"/>
                <w:sz w:val="20"/>
                <w:szCs w:val="20"/>
                <w:lang w:val="en-US"/>
              </w:rPr>
              <w:t xml:space="preserve">• </w:t>
            </w:r>
            <w:r w:rsidRPr="007D11FC">
              <w:rPr>
                <w:rFonts w:ascii="Tahoma" w:hAnsi="Tahoma" w:cs="Tahoma"/>
                <w:b/>
                <w:bCs/>
                <w:color w:val="000000"/>
                <w:sz w:val="20"/>
                <w:szCs w:val="20"/>
                <w:lang w:val="en-US"/>
              </w:rPr>
              <w:t>Pricing Rules</w:t>
            </w:r>
            <w:r w:rsidRPr="007D11FC">
              <w:rPr>
                <w:rFonts w:ascii="Tahoma" w:hAnsi="Tahoma" w:cs="Tahoma"/>
                <w:color w:val="000000"/>
                <w:sz w:val="20"/>
                <w:szCs w:val="20"/>
                <w:lang w:val="en-US"/>
              </w:rPr>
              <w:t xml:space="preserve"> Annex 2 to the SK Installation Contract: “are intended to calculate the price of Additional Works and waived works, to adjust the Contract Price accordingly after making the Amendment, as well as to recalculate the Contract Price in accordance with the Law Amendments (Clause 13.7 [Amendments and changes in the Contract Price (Clause 13.8 [Adjustments on Price Change] of the Contract Terms) ”;</w:t>
            </w:r>
          </w:p>
          <w:p w14:paraId="1265D414"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 xml:space="preserve">2.5. </w:t>
            </w:r>
            <w:r w:rsidRPr="007D11FC">
              <w:rPr>
                <w:rFonts w:ascii="Tahoma" w:hAnsi="Tahoma" w:cs="Tahoma"/>
                <w:b/>
                <w:bCs/>
                <w:color w:val="000000"/>
                <w:sz w:val="20"/>
                <w:szCs w:val="20"/>
                <w:lang w:val="en-US"/>
              </w:rPr>
              <w:t>Liabilities security</w:t>
            </w:r>
            <w:r w:rsidRPr="007D11FC">
              <w:rPr>
                <w:rFonts w:ascii="Tahoma" w:hAnsi="Tahoma" w:cs="Tahoma"/>
                <w:color w:val="000000"/>
                <w:sz w:val="20"/>
                <w:szCs w:val="20"/>
                <w:lang w:val="en-US"/>
              </w:rPr>
              <w:t xml:space="preserve"> – Execution of the Contract is secured by the Bank's acceptable first call, unconditional and irrevocable guarantees:</w:t>
            </w:r>
          </w:p>
          <w:p w14:paraId="6785AEF2"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(a) an advance payment guarantee equal to the amount of the advance payment (10% of the contract price).</w:t>
            </w:r>
          </w:p>
          <w:p w14:paraId="0E957626"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(b) Contract performance guarantee – 10% from the Contract price without VAT.</w:t>
            </w:r>
          </w:p>
          <w:p w14:paraId="16E2496D"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(c) guarantee period guarantee:</w:t>
            </w:r>
          </w:p>
          <w:p w14:paraId="0227A83A"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in the first year – 10% from the Contract price without VAT;</w:t>
            </w:r>
          </w:p>
          <w:p w14:paraId="466D7370"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in the second and third years – 5% from the Contract price without VAT.</w:t>
            </w:r>
          </w:p>
          <w:p w14:paraId="6FF27CA2"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p>
          <w:p w14:paraId="44A447BD"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 xml:space="preserve">2.6. </w:t>
            </w:r>
            <w:r w:rsidRPr="007D11FC">
              <w:rPr>
                <w:rFonts w:ascii="Tahoma" w:hAnsi="Tahoma" w:cs="Tahoma"/>
                <w:b/>
                <w:bCs/>
                <w:color w:val="000000"/>
                <w:sz w:val="20"/>
                <w:szCs w:val="20"/>
                <w:lang w:val="en-US"/>
              </w:rPr>
              <w:t>Penalties (interest and fines) and losses</w:t>
            </w:r>
            <w:r w:rsidRPr="007D11FC">
              <w:rPr>
                <w:rFonts w:ascii="Tahoma" w:hAnsi="Tahoma" w:cs="Tahoma"/>
                <w:color w:val="000000"/>
                <w:sz w:val="20"/>
                <w:szCs w:val="20"/>
                <w:lang w:val="en-US"/>
              </w:rPr>
              <w:t>:</w:t>
            </w:r>
          </w:p>
          <w:p w14:paraId="6D610549"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(a) Penalties for delays in remedying defects in the quality of work: EUR 1 000 interest for each day of delay, calculated separately for each case of infringement;</w:t>
            </w:r>
          </w:p>
          <w:p w14:paraId="3E14A360"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(b) Penalties for disconnection of electrical equipment or change of the planned time of disconnection due to the fault of the contractor: a fine of EUR 10,000 for each such case for each disconnected equipment;</w:t>
            </w:r>
          </w:p>
          <w:p w14:paraId="38CC7C68"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(c) Maximum amount of the fine for non-compliance with the obligations regarding the availability of the system: 10% of the Contract amount (excluding VAT);</w:t>
            </w:r>
          </w:p>
          <w:p w14:paraId="17CD7627"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(d) Maximum amount of the penalty for non-compliance with the obligations for guaranteed system losses: 10% of the Contract amount (excluding VAT);</w:t>
            </w:r>
          </w:p>
          <w:p w14:paraId="403A7DE0"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(e) Penalties for non-compliance with the obligation to hold teleconferences and live meetings: a fine of EUR 1,000 for each breach;</w:t>
            </w:r>
          </w:p>
          <w:p w14:paraId="1EFBCDB3"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lastRenderedPageBreak/>
              <w:t>(f) Penalties for non-compliance with road dust obligations: a fine of EUR 1,000 for each infringement;</w:t>
            </w:r>
          </w:p>
          <w:p w14:paraId="3D0EFEE7"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(g) Penalties for non-submission and / or non-compliance with the progress report: EUR 1,000 interest for each day of delay;</w:t>
            </w:r>
          </w:p>
          <w:p w14:paraId="0355CA93"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(h) Penalties for non-compliance with obligations relating to alcoholic beverages and drugs: a fine of EUR 1,500 for each case of non-compliance;</w:t>
            </w:r>
          </w:p>
          <w:p w14:paraId="0D491709"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(i) Penalties for late submission of the program: a fine of EUR 10,000 for late submission of the initial program. Interest of EUR 1 000 for each day of delay in submitting the updated program. The total liability for a delay in submitting a program or an updated program may not exceed EUR 50 000;</w:t>
            </w:r>
          </w:p>
          <w:p w14:paraId="48057F7F" w14:textId="77777777" w:rsidR="007D11FC" w:rsidRPr="007D11FC" w:rsidRDefault="007D11FC" w:rsidP="007D11FC">
            <w:pPr>
              <w:pStyle w:val="NormalWeb"/>
              <w:spacing w:before="0" w:beforeAutospacing="0" w:after="0" w:afterAutospacing="0"/>
              <w:ind w:firstLine="29"/>
              <w:jc w:val="both"/>
              <w:rPr>
                <w:rFonts w:ascii="Tahoma" w:hAnsi="Tahoma" w:cs="Tahoma"/>
                <w:color w:val="000000"/>
                <w:sz w:val="20"/>
                <w:szCs w:val="20"/>
                <w:lang w:val="en-US"/>
              </w:rPr>
            </w:pPr>
            <w:r w:rsidRPr="007D11FC">
              <w:rPr>
                <w:rFonts w:ascii="Tahoma" w:hAnsi="Tahoma" w:cs="Tahoma"/>
                <w:color w:val="000000"/>
                <w:sz w:val="20"/>
                <w:szCs w:val="20"/>
                <w:lang w:val="en-US"/>
              </w:rPr>
              <w:t>(j) Compensation for Delays: Penalties for missing the deadlines for the completion of the Works (Completion Time) at each substation – 0.04% of the price of the Works without VAT for each substation for each day; Penalties for failure to meet the deadlines for the performance of the Works (except for the deadlines for the completion of the final works) – 0.01% of the price of the Works without VAT for each substation for each day; the maximum amount of compensation for delay is 10% of the Contract price excluding VAT 10% of the Contract price (excluding VAT), calculated by summing up all compensation for delays;</w:t>
            </w:r>
          </w:p>
          <w:p w14:paraId="15F91311" w14:textId="77777777" w:rsidR="007D11FC" w:rsidRPr="007D11FC" w:rsidRDefault="007D11FC" w:rsidP="007D11FC">
            <w:pPr>
              <w:pStyle w:val="NormalWeb"/>
              <w:spacing w:before="0" w:beforeAutospacing="0" w:after="0" w:afterAutospacing="0"/>
              <w:ind w:left="29"/>
              <w:jc w:val="both"/>
              <w:rPr>
                <w:rFonts w:ascii="Tahoma" w:hAnsi="Tahoma" w:cs="Tahoma"/>
                <w:color w:val="000000"/>
                <w:sz w:val="20"/>
                <w:szCs w:val="20"/>
                <w:lang w:val="en-US"/>
              </w:rPr>
            </w:pPr>
            <w:r w:rsidRPr="007D11FC">
              <w:rPr>
                <w:rFonts w:ascii="Tahoma" w:hAnsi="Tahoma" w:cs="Tahoma"/>
                <w:color w:val="000000"/>
                <w:sz w:val="20"/>
                <w:szCs w:val="20"/>
                <w:lang w:val="en-US"/>
              </w:rPr>
              <w:t>(k) Penalties for delay in completing minor work in progress and / or rectifying defects: EUR 1 000 interest for each day, calculated separately for each breach;</w:t>
            </w:r>
          </w:p>
          <w:p w14:paraId="0F5D242F" w14:textId="77777777" w:rsidR="007D11FC" w:rsidRPr="007D11FC" w:rsidRDefault="007D11FC" w:rsidP="007D11FC">
            <w:pPr>
              <w:pStyle w:val="NormalWeb"/>
              <w:spacing w:before="0" w:beforeAutospacing="0" w:after="0" w:afterAutospacing="0"/>
              <w:ind w:left="29"/>
              <w:jc w:val="both"/>
              <w:rPr>
                <w:rFonts w:ascii="Tahoma" w:hAnsi="Tahoma" w:cs="Tahoma"/>
                <w:color w:val="000000"/>
                <w:sz w:val="20"/>
                <w:szCs w:val="20"/>
                <w:lang w:val="en-US"/>
              </w:rPr>
            </w:pPr>
            <w:r w:rsidRPr="007D11FC">
              <w:rPr>
                <w:rFonts w:ascii="Tahoma" w:hAnsi="Tahoma" w:cs="Tahoma"/>
                <w:color w:val="000000"/>
                <w:sz w:val="20"/>
                <w:szCs w:val="20"/>
                <w:lang w:val="en-US"/>
              </w:rPr>
              <w:t>(l) Penalties for delay in correcting defects within the time of Defect Notification: EUR 1,000 interest for each day, calculated separately for each case of violation;</w:t>
            </w:r>
          </w:p>
          <w:p w14:paraId="0341CA9D" w14:textId="77777777" w:rsidR="007D11FC" w:rsidRPr="007D11FC" w:rsidRDefault="007D11FC" w:rsidP="007D11FC">
            <w:pPr>
              <w:pStyle w:val="NormalWeb"/>
              <w:spacing w:before="0" w:beforeAutospacing="0" w:after="0" w:afterAutospacing="0"/>
              <w:ind w:left="29"/>
              <w:jc w:val="both"/>
              <w:rPr>
                <w:rFonts w:ascii="Tahoma" w:hAnsi="Tahoma" w:cs="Tahoma"/>
                <w:color w:val="000000"/>
                <w:sz w:val="20"/>
                <w:szCs w:val="20"/>
                <w:lang w:val="en-US"/>
              </w:rPr>
            </w:pPr>
            <w:r w:rsidRPr="007D11FC">
              <w:rPr>
                <w:rFonts w:ascii="Tahoma" w:hAnsi="Tahoma" w:cs="Tahoma"/>
                <w:color w:val="000000"/>
                <w:sz w:val="20"/>
                <w:szCs w:val="20"/>
                <w:lang w:val="en-US"/>
              </w:rPr>
              <w:t>(m) Interest on late payments: 0.04% of the amount due for each day of delay.</w:t>
            </w:r>
          </w:p>
          <w:p w14:paraId="0E068A9B" w14:textId="77777777" w:rsidR="007D11FC" w:rsidRPr="007D11FC" w:rsidRDefault="007D11FC" w:rsidP="007D11FC">
            <w:pPr>
              <w:pStyle w:val="NormalWeb"/>
              <w:spacing w:before="0" w:beforeAutospacing="0" w:after="0" w:afterAutospacing="0"/>
              <w:ind w:left="29"/>
              <w:jc w:val="both"/>
              <w:rPr>
                <w:rFonts w:ascii="Tahoma" w:hAnsi="Tahoma" w:cs="Tahoma"/>
                <w:color w:val="000000"/>
                <w:sz w:val="20"/>
                <w:szCs w:val="20"/>
                <w:lang w:val="en-US"/>
              </w:rPr>
            </w:pPr>
            <w:r w:rsidRPr="007D11FC">
              <w:rPr>
                <w:rFonts w:ascii="Tahoma" w:hAnsi="Tahoma" w:cs="Tahoma"/>
                <w:color w:val="000000"/>
                <w:sz w:val="20"/>
                <w:szCs w:val="20"/>
                <w:lang w:val="en-US"/>
              </w:rPr>
              <w:t>(n) Under the Contract, the Parties shall be liable only for direct losses incurred by the other Party and shall not be liable for indirect losses, including losses due to lost profits, lost profits or lost business opportunities, except as provided in the FIDIC Yellow Book.</w:t>
            </w:r>
          </w:p>
          <w:p w14:paraId="2C001E2D" w14:textId="77777777" w:rsidR="007D11FC" w:rsidRPr="007D11FC" w:rsidRDefault="007D11FC" w:rsidP="007D11FC">
            <w:pPr>
              <w:pStyle w:val="NormalWeb"/>
              <w:spacing w:before="0" w:beforeAutospacing="0" w:after="0" w:afterAutospacing="0"/>
              <w:ind w:left="29"/>
              <w:jc w:val="both"/>
              <w:rPr>
                <w:rFonts w:ascii="Tahoma" w:hAnsi="Tahoma" w:cs="Tahoma"/>
                <w:color w:val="000000"/>
                <w:sz w:val="20"/>
                <w:szCs w:val="20"/>
                <w:lang w:val="en-US"/>
              </w:rPr>
            </w:pPr>
            <w:r w:rsidRPr="007D11FC">
              <w:rPr>
                <w:rFonts w:ascii="Tahoma" w:hAnsi="Tahoma" w:cs="Tahoma"/>
                <w:color w:val="000000"/>
                <w:sz w:val="20"/>
                <w:szCs w:val="20"/>
                <w:lang w:val="en-US"/>
              </w:rPr>
              <w:t>(o) Limits on the parties' liability for direct damages under the Contract: the total liability of the Contractor will not exceed 100% of the Contract price; the total liability of the Customer will not exceed 100% of the Contract price.</w:t>
            </w:r>
          </w:p>
          <w:p w14:paraId="1B9261DE" w14:textId="77777777" w:rsidR="007D11FC" w:rsidRPr="007D11FC" w:rsidRDefault="007D11FC" w:rsidP="007D11FC">
            <w:pPr>
              <w:pStyle w:val="NormalWeb"/>
              <w:spacing w:before="0" w:beforeAutospacing="0" w:after="0" w:afterAutospacing="0"/>
              <w:jc w:val="both"/>
              <w:rPr>
                <w:rFonts w:ascii="Tahoma" w:hAnsi="Tahoma" w:cs="Tahoma"/>
                <w:color w:val="000000"/>
                <w:sz w:val="20"/>
                <w:szCs w:val="20"/>
                <w:lang w:val="en-US"/>
              </w:rPr>
            </w:pPr>
          </w:p>
          <w:p w14:paraId="59C139FE" w14:textId="77777777" w:rsidR="007D11FC" w:rsidRPr="007D11FC" w:rsidRDefault="007D11FC" w:rsidP="007D11FC">
            <w:pPr>
              <w:pStyle w:val="NormalWeb"/>
              <w:spacing w:before="0" w:beforeAutospacing="0" w:after="0" w:afterAutospacing="0"/>
              <w:jc w:val="both"/>
              <w:rPr>
                <w:rFonts w:ascii="Tahoma" w:hAnsi="Tahoma" w:cs="Tahoma"/>
                <w:color w:val="000000"/>
                <w:sz w:val="20"/>
                <w:szCs w:val="20"/>
                <w:lang w:val="en-US"/>
              </w:rPr>
            </w:pPr>
            <w:r w:rsidRPr="007D11FC">
              <w:rPr>
                <w:rFonts w:ascii="Tahoma" w:hAnsi="Tahoma" w:cs="Tahoma"/>
                <w:color w:val="000000"/>
                <w:sz w:val="20"/>
                <w:szCs w:val="20"/>
                <w:lang w:val="en-US"/>
              </w:rPr>
              <w:t xml:space="preserve">3. </w:t>
            </w:r>
            <w:r w:rsidRPr="007D11FC">
              <w:rPr>
                <w:rFonts w:ascii="Tahoma" w:hAnsi="Tahoma" w:cs="Tahoma"/>
                <w:b/>
                <w:bCs/>
                <w:color w:val="000000"/>
                <w:sz w:val="20"/>
                <w:szCs w:val="20"/>
                <w:lang w:val="en-US"/>
              </w:rPr>
              <w:t>Amounts of additional remuneration</w:t>
            </w:r>
            <w:r w:rsidRPr="007D11FC">
              <w:rPr>
                <w:rFonts w:ascii="Tahoma" w:hAnsi="Tahoma" w:cs="Tahoma"/>
                <w:color w:val="000000"/>
                <w:sz w:val="20"/>
                <w:szCs w:val="20"/>
                <w:lang w:val="en-US"/>
              </w:rPr>
              <w:t>: upon proper performance of the Contractor and completion and transfer to the Customer in accordance with the Contract according to the Takeover Certificate of Alytus TP and Telšiai TP Group Works, as well as receipt of construction works of these two Groups time), the Client shall pay to the Contractor an additional remuneration of the amount specified in this paragraph for each full previous month of performance of the Works (from the date when the Contractor received both deeds of completion of the Works until the Contract performance deadline (Completion Time)): but not more than 4 months.</w:t>
            </w:r>
          </w:p>
          <w:p w14:paraId="64DAB5E4" w14:textId="77777777" w:rsidR="007D11FC" w:rsidRPr="007D11FC" w:rsidRDefault="007D11FC" w:rsidP="007D11FC">
            <w:pPr>
              <w:pStyle w:val="NormalWeb"/>
              <w:spacing w:before="0" w:beforeAutospacing="0" w:after="0" w:afterAutospacing="0"/>
              <w:jc w:val="both"/>
              <w:rPr>
                <w:rFonts w:ascii="Tahoma" w:hAnsi="Tahoma" w:cs="Tahoma"/>
                <w:color w:val="000000"/>
                <w:sz w:val="20"/>
                <w:szCs w:val="20"/>
                <w:lang w:val="en-US"/>
              </w:rPr>
            </w:pPr>
            <w:r w:rsidRPr="007D11FC">
              <w:rPr>
                <w:rFonts w:ascii="Tahoma" w:hAnsi="Tahoma" w:cs="Tahoma"/>
                <w:color w:val="000000"/>
                <w:sz w:val="20"/>
                <w:szCs w:val="20"/>
                <w:lang w:val="en-US"/>
              </w:rPr>
              <w:t>(a) after performing the Works 1 (one) month earlier – EUR 500,000.00;</w:t>
            </w:r>
          </w:p>
          <w:p w14:paraId="3580C5E5" w14:textId="77777777" w:rsidR="007D11FC" w:rsidRPr="007D11FC" w:rsidRDefault="007D11FC" w:rsidP="007D11FC">
            <w:pPr>
              <w:pStyle w:val="NormalWeb"/>
              <w:spacing w:before="0" w:beforeAutospacing="0" w:after="0" w:afterAutospacing="0"/>
              <w:jc w:val="both"/>
              <w:rPr>
                <w:rFonts w:ascii="Tahoma" w:hAnsi="Tahoma" w:cs="Tahoma"/>
                <w:color w:val="000000"/>
                <w:sz w:val="20"/>
                <w:szCs w:val="20"/>
                <w:lang w:val="en-US"/>
              </w:rPr>
            </w:pPr>
            <w:r w:rsidRPr="007D11FC">
              <w:rPr>
                <w:rFonts w:ascii="Tahoma" w:hAnsi="Tahoma" w:cs="Tahoma"/>
                <w:color w:val="000000"/>
                <w:sz w:val="20"/>
                <w:szCs w:val="20"/>
                <w:lang w:val="en-US"/>
              </w:rPr>
              <w:lastRenderedPageBreak/>
              <w:t>(b) after performing the Works 2 (two) months earlier – EUR 1,000,000.00;</w:t>
            </w:r>
          </w:p>
          <w:p w14:paraId="2834A268" w14:textId="77777777" w:rsidR="007D11FC" w:rsidRPr="007D11FC" w:rsidRDefault="007D11FC" w:rsidP="007D11FC">
            <w:pPr>
              <w:pStyle w:val="NormalWeb"/>
              <w:spacing w:before="0" w:beforeAutospacing="0" w:after="0" w:afterAutospacing="0"/>
              <w:jc w:val="both"/>
              <w:rPr>
                <w:rFonts w:ascii="Tahoma" w:hAnsi="Tahoma" w:cs="Tahoma"/>
                <w:color w:val="000000"/>
                <w:sz w:val="20"/>
                <w:szCs w:val="20"/>
                <w:lang w:val="en-US"/>
              </w:rPr>
            </w:pPr>
            <w:r w:rsidRPr="007D11FC">
              <w:rPr>
                <w:rFonts w:ascii="Tahoma" w:hAnsi="Tahoma" w:cs="Tahoma"/>
                <w:color w:val="000000"/>
                <w:sz w:val="20"/>
                <w:szCs w:val="20"/>
                <w:lang w:val="en-US"/>
              </w:rPr>
              <w:t>(c) after performing the Works 3 (three) months earlier – EUR 1,500,000.00;</w:t>
            </w:r>
          </w:p>
          <w:p w14:paraId="06473CD0" w14:textId="77777777" w:rsidR="007D11FC" w:rsidRPr="007D11FC" w:rsidRDefault="007D11FC" w:rsidP="007D11FC">
            <w:pPr>
              <w:pStyle w:val="NormalWeb"/>
              <w:spacing w:before="0" w:beforeAutospacing="0" w:after="0" w:afterAutospacing="0"/>
              <w:jc w:val="both"/>
              <w:rPr>
                <w:rFonts w:ascii="Tahoma" w:hAnsi="Tahoma" w:cs="Tahoma"/>
                <w:color w:val="000000"/>
                <w:sz w:val="20"/>
                <w:szCs w:val="20"/>
                <w:lang w:val="en-US"/>
              </w:rPr>
            </w:pPr>
            <w:r w:rsidRPr="007D11FC">
              <w:rPr>
                <w:rFonts w:ascii="Tahoma" w:hAnsi="Tahoma" w:cs="Tahoma"/>
                <w:color w:val="000000"/>
                <w:sz w:val="20"/>
                <w:szCs w:val="20"/>
                <w:lang w:val="en-US"/>
              </w:rPr>
              <w:t>(d) after performing the Works 4 (four) months earlier – EUR 2,000,000.00.</w:t>
            </w:r>
          </w:p>
          <w:p w14:paraId="75F4A08C" w14:textId="77777777" w:rsidR="007D11FC" w:rsidRPr="007D11FC" w:rsidRDefault="007D11FC" w:rsidP="007D11FC">
            <w:pPr>
              <w:pStyle w:val="NormalWeb"/>
              <w:spacing w:before="0" w:beforeAutospacing="0" w:after="0" w:afterAutospacing="0"/>
              <w:jc w:val="both"/>
              <w:rPr>
                <w:rFonts w:ascii="Tahoma" w:hAnsi="Tahoma" w:cs="Tahoma"/>
                <w:color w:val="000000"/>
                <w:sz w:val="20"/>
                <w:szCs w:val="20"/>
                <w:lang w:val="en-US"/>
              </w:rPr>
            </w:pPr>
          </w:p>
          <w:p w14:paraId="44C00269" w14:textId="2816483B" w:rsidR="007D11FC" w:rsidRPr="007D11FC" w:rsidRDefault="007D4D8F" w:rsidP="007D11FC">
            <w:pPr>
              <w:pStyle w:val="NormalWeb"/>
              <w:spacing w:before="0" w:beforeAutospacing="0" w:after="0" w:afterAutospacing="0"/>
              <w:jc w:val="both"/>
              <w:rPr>
                <w:rFonts w:ascii="Tahoma" w:hAnsi="Tahoma" w:cs="Tahoma"/>
                <w:sz w:val="20"/>
                <w:szCs w:val="20"/>
                <w:lang w:val="en-US"/>
              </w:rPr>
            </w:pPr>
            <w:r>
              <w:rPr>
                <w:rFonts w:ascii="Tahoma" w:hAnsi="Tahoma" w:cs="Tahoma"/>
                <w:sz w:val="20"/>
                <w:szCs w:val="20"/>
                <w:lang w:val="en-US"/>
              </w:rPr>
              <w:t>4</w:t>
            </w:r>
            <w:r w:rsidR="007D11FC" w:rsidRPr="007D11FC">
              <w:rPr>
                <w:rFonts w:ascii="Tahoma" w:hAnsi="Tahoma" w:cs="Tahoma"/>
                <w:sz w:val="20"/>
                <w:szCs w:val="20"/>
                <w:lang w:val="en-US"/>
              </w:rPr>
              <w:t xml:space="preserve">. To authorize the General Director of LITGRID AB without a separate decision of the Board of LITGRID AB to make decisions on changing the essential term of the Contract – Contract price - by reducing the price without any restrictions or increasing the price by concluding additional works agreements, if the total amount of all additional works </w:t>
            </w:r>
            <w:r w:rsidR="007D11FC" w:rsidRPr="007D11FC">
              <w:rPr>
                <w:rFonts w:ascii="Tahoma" w:hAnsi="Tahoma" w:cs="Tahoma"/>
                <w:color w:val="000000"/>
                <w:sz w:val="20"/>
                <w:szCs w:val="20"/>
              </w:rPr>
              <w:t xml:space="preserve">4% (t.y. 3509997,88 Eur be PVM) </w:t>
            </w:r>
            <w:r w:rsidR="007D11FC" w:rsidRPr="007D11FC">
              <w:rPr>
                <w:rFonts w:ascii="Tahoma" w:hAnsi="Tahoma" w:cs="Tahoma"/>
                <w:sz w:val="20"/>
                <w:szCs w:val="20"/>
                <w:lang w:val="en-US"/>
              </w:rPr>
              <w:t>of the original Contract price.</w:t>
            </w:r>
          </w:p>
          <w:p w14:paraId="1529512F" w14:textId="77777777" w:rsidR="007D11FC" w:rsidRPr="007D11FC" w:rsidRDefault="007D11FC" w:rsidP="007D11FC">
            <w:pPr>
              <w:pStyle w:val="NormalWeb"/>
              <w:spacing w:before="0" w:beforeAutospacing="0" w:after="0" w:afterAutospacing="0"/>
              <w:ind w:left="720"/>
              <w:jc w:val="both"/>
              <w:rPr>
                <w:rFonts w:ascii="Tahoma" w:hAnsi="Tahoma" w:cs="Tahoma"/>
                <w:sz w:val="20"/>
                <w:szCs w:val="20"/>
                <w:lang w:val="en-US"/>
              </w:rPr>
            </w:pPr>
          </w:p>
          <w:p w14:paraId="6D1C4626" w14:textId="2A958652" w:rsidR="007D11FC" w:rsidRPr="007D11FC" w:rsidRDefault="007D4D8F" w:rsidP="007D11FC">
            <w:pPr>
              <w:pStyle w:val="NormalWeb"/>
              <w:spacing w:before="0" w:beforeAutospacing="0" w:after="0" w:afterAutospacing="0"/>
              <w:jc w:val="both"/>
              <w:rPr>
                <w:rFonts w:ascii="Tahoma" w:hAnsi="Tahoma" w:cs="Tahoma"/>
                <w:color w:val="000000"/>
                <w:sz w:val="20"/>
                <w:szCs w:val="20"/>
                <w:lang w:val="en-US"/>
              </w:rPr>
            </w:pPr>
            <w:r>
              <w:rPr>
                <w:rFonts w:ascii="Tahoma" w:hAnsi="Tahoma" w:cs="Tahoma"/>
                <w:sz w:val="20"/>
                <w:szCs w:val="20"/>
                <w:lang w:val="en-US"/>
              </w:rPr>
              <w:t>5</w:t>
            </w:r>
            <w:r w:rsidR="007D11FC" w:rsidRPr="007D11FC">
              <w:rPr>
                <w:rFonts w:ascii="Tahoma" w:hAnsi="Tahoma" w:cs="Tahoma"/>
                <w:sz w:val="20"/>
                <w:szCs w:val="20"/>
                <w:lang w:val="en-US"/>
              </w:rPr>
              <w:t xml:space="preserve">. To oblige the General Director of LITGRID AB to inform the Board about the decisions made in paragraph </w:t>
            </w:r>
            <w:r>
              <w:rPr>
                <w:rFonts w:ascii="Tahoma" w:hAnsi="Tahoma" w:cs="Tahoma"/>
                <w:sz w:val="20"/>
                <w:szCs w:val="20"/>
                <w:lang w:val="en-US"/>
              </w:rPr>
              <w:t>4</w:t>
            </w:r>
            <w:r w:rsidR="007D11FC" w:rsidRPr="007D11FC">
              <w:rPr>
                <w:rFonts w:ascii="Tahoma" w:hAnsi="Tahoma" w:cs="Tahoma"/>
                <w:sz w:val="20"/>
                <w:szCs w:val="20"/>
                <w:lang w:val="en-US"/>
              </w:rPr>
              <w:t xml:space="preserve"> of this decision regarding the change of the essential term of the Contract before making such a decision by e-mail letter.</w:t>
            </w:r>
          </w:p>
          <w:p w14:paraId="0C5D4845" w14:textId="0C6D2321" w:rsidR="005B6343" w:rsidRPr="007D11FC" w:rsidRDefault="005B6343" w:rsidP="008F2176">
            <w:pPr>
              <w:pStyle w:val="NormalWeb"/>
              <w:spacing w:before="0" w:beforeAutospacing="0" w:after="0" w:afterAutospacing="0"/>
              <w:jc w:val="both"/>
              <w:rPr>
                <w:rFonts w:ascii="Tahoma" w:hAnsi="Tahoma" w:cs="Tahoma"/>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14:paraId="71AA420D" w14:textId="2CC47ADD" w:rsidR="005B6343" w:rsidRPr="00C737C7" w:rsidRDefault="001A435B"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89091359"/>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MS Gothic" w:eastAsia="MS Gothic" w:hAnsi="MS Gothic" w:cs="Tahoma"/>
                    <w:b/>
                    <w:lang w:val="en-US"/>
                  </w:rPr>
                  <w:t>☐</w:t>
                </w:r>
              </w:sdtContent>
            </w:sdt>
            <w:r w:rsidR="005B6343"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2BB4D566" w14:textId="08AA31DA" w:rsidR="005B6343" w:rsidRPr="00C737C7" w:rsidRDefault="001A435B"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3514162"/>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Segoe UI Symbol" w:eastAsia="MS Gothic" w:hAnsi="Segoe UI Symbol" w:cs="Segoe UI Symbol"/>
                    <w:b/>
                    <w:lang w:val="en-US"/>
                  </w:rPr>
                  <w:t>☐</w:t>
                </w:r>
              </w:sdtContent>
            </w:sdt>
            <w:r w:rsidR="005B6343" w:rsidRPr="00C737C7">
              <w:rPr>
                <w:rStyle w:val="FontStyle13"/>
                <w:rFonts w:ascii="Tahoma" w:hAnsi="Tahoma" w:cs="Tahoma"/>
                <w:b/>
                <w:lang w:val="en-US"/>
              </w:rPr>
              <w:t xml:space="preserve"> AGAINST</w:t>
            </w:r>
          </w:p>
        </w:tc>
      </w:tr>
    </w:tbl>
    <w:p w14:paraId="2816FE2B" w14:textId="0120E625" w:rsidR="00D0669E" w:rsidRPr="00C737C7" w:rsidRDefault="00D0669E" w:rsidP="008B0369">
      <w:pPr>
        <w:spacing w:line="240" w:lineRule="exact"/>
        <w:jc w:val="both"/>
        <w:rPr>
          <w:rFonts w:ascii="Tahoma" w:hAnsi="Tahoma" w:cs="Tahoma"/>
          <w:sz w:val="20"/>
          <w:szCs w:val="20"/>
          <w:lang w:val="en-US"/>
        </w:rPr>
      </w:pPr>
    </w:p>
    <w:tbl>
      <w:tblPr>
        <w:tblW w:w="9924" w:type="dxa"/>
        <w:tblInd w:w="-434" w:type="dxa"/>
        <w:tblLayout w:type="fixed"/>
        <w:tblCellMar>
          <w:left w:w="40" w:type="dxa"/>
          <w:right w:w="40" w:type="dxa"/>
        </w:tblCellMar>
        <w:tblLook w:val="0000" w:firstRow="0" w:lastRow="0" w:firstColumn="0" w:lastColumn="0" w:noHBand="0" w:noVBand="0"/>
      </w:tblPr>
      <w:tblGrid>
        <w:gridCol w:w="7372"/>
        <w:gridCol w:w="1276"/>
        <w:gridCol w:w="1276"/>
      </w:tblGrid>
      <w:tr w:rsidR="00E926FD" w:rsidRPr="00C737C7" w14:paraId="03052453" w14:textId="77777777" w:rsidTr="00A26A24">
        <w:tc>
          <w:tcPr>
            <w:tcW w:w="7372" w:type="dxa"/>
            <w:tcBorders>
              <w:top w:val="single" w:sz="6" w:space="0" w:color="auto"/>
              <w:left w:val="single" w:sz="6" w:space="0" w:color="auto"/>
              <w:bottom w:val="single" w:sz="6" w:space="0" w:color="auto"/>
              <w:right w:val="single" w:sz="6" w:space="0" w:color="auto"/>
            </w:tcBorders>
          </w:tcPr>
          <w:p w14:paraId="6D95BA4F" w14:textId="2EB11A5C" w:rsidR="00E926FD" w:rsidRPr="00C737C7" w:rsidRDefault="000930F6" w:rsidP="00E926FD">
            <w:pPr>
              <w:pStyle w:val="Default"/>
              <w:spacing w:before="40" w:after="40"/>
              <w:jc w:val="both"/>
              <w:rPr>
                <w:sz w:val="16"/>
                <w:szCs w:val="16"/>
              </w:rPr>
            </w:pPr>
            <w:r w:rsidRPr="00C737C7">
              <w:rPr>
                <w:rFonts w:ascii="Tahoma" w:hAnsi="Tahoma" w:cs="Tahoma"/>
                <w:color w:val="auto"/>
                <w:sz w:val="20"/>
                <w:szCs w:val="20"/>
              </w:rPr>
              <w:t>Regarding any other new draft decisions that have not been indicated above</w:t>
            </w:r>
            <w:r w:rsidR="00FD1065" w:rsidRPr="00C737C7">
              <w:rPr>
                <w:rFonts w:ascii="Tahoma" w:hAnsi="Tahoma" w:cs="Tahoma"/>
                <w:color w:val="auto"/>
                <w:sz w:val="20"/>
                <w:szCs w:val="20"/>
              </w:rPr>
              <w:t>,</w:t>
            </w:r>
            <w:r w:rsidRPr="00C737C7">
              <w:rPr>
                <w:rFonts w:ascii="Tahoma" w:hAnsi="Tahoma" w:cs="Tahoma"/>
                <w:color w:val="auto"/>
                <w:sz w:val="20"/>
                <w:szCs w:val="20"/>
              </w:rPr>
              <w:t xml:space="preserve"> we cast all </w:t>
            </w:r>
            <w:r w:rsidR="00DE595B" w:rsidRPr="00C737C7">
              <w:rPr>
                <w:rFonts w:ascii="Tahoma" w:hAnsi="Tahoma" w:cs="Tahoma"/>
                <w:color w:val="auto"/>
                <w:sz w:val="20"/>
                <w:szCs w:val="20"/>
              </w:rPr>
              <w:t>votes we hold</w:t>
            </w:r>
            <w:r w:rsidR="00E926FD" w:rsidRPr="00C737C7">
              <w:rPr>
                <w:rFonts w:ascii="Tahoma" w:hAnsi="Tahoma" w:cs="Tahoma"/>
                <w:color w:val="auto"/>
                <w:sz w:val="20"/>
                <w:szCs w:val="20"/>
              </w:rPr>
              <w:t>:</w:t>
            </w:r>
          </w:p>
        </w:tc>
        <w:tc>
          <w:tcPr>
            <w:tcW w:w="1276" w:type="dxa"/>
            <w:tcBorders>
              <w:top w:val="single" w:sz="6" w:space="0" w:color="auto"/>
              <w:left w:val="single" w:sz="6" w:space="0" w:color="auto"/>
              <w:bottom w:val="single" w:sz="6" w:space="0" w:color="auto"/>
              <w:right w:val="single" w:sz="6" w:space="0" w:color="auto"/>
            </w:tcBorders>
            <w:vAlign w:val="center"/>
          </w:tcPr>
          <w:p w14:paraId="241950C7" w14:textId="169A35E8" w:rsidR="00E926FD" w:rsidRPr="00C737C7" w:rsidRDefault="001A435B" w:rsidP="00E926FD">
            <w:pPr>
              <w:pStyle w:val="Style3"/>
              <w:widowControl/>
              <w:spacing w:before="40" w:after="40"/>
              <w:jc w:val="center"/>
              <w:rPr>
                <w:rStyle w:val="FontStyle13"/>
                <w:sz w:val="16"/>
                <w:szCs w:val="16"/>
                <w:lang w:val="en-US"/>
              </w:rPr>
            </w:pPr>
            <w:sdt>
              <w:sdtPr>
                <w:rPr>
                  <w:rStyle w:val="FontStyle13"/>
                  <w:rFonts w:ascii="Tahoma" w:hAnsi="Tahoma" w:cs="Tahoma"/>
                  <w:b/>
                  <w:lang w:val="en-US"/>
                </w:rPr>
                <w:id w:val="-1799447207"/>
                <w14:checkbox>
                  <w14:checked w14:val="0"/>
                  <w14:checkedState w14:val="2612" w14:font="MS Gothic"/>
                  <w14:uncheckedState w14:val="2610" w14:font="MS Gothic"/>
                </w14:checkbox>
              </w:sdtPr>
              <w:sdtEndPr>
                <w:rPr>
                  <w:rStyle w:val="FontStyle13"/>
                </w:rPr>
              </w:sdtEndPr>
              <w:sdtContent>
                <w:r w:rsidR="00E926FD" w:rsidRPr="00C737C7">
                  <w:rPr>
                    <w:rStyle w:val="FontStyle13"/>
                    <w:rFonts w:ascii="MS Gothic" w:eastAsia="MS Gothic" w:hAnsi="MS Gothic" w:cs="Tahoma"/>
                    <w:b/>
                    <w:lang w:val="en-US"/>
                  </w:rPr>
                  <w:t>☐</w:t>
                </w:r>
              </w:sdtContent>
            </w:sdt>
            <w:r w:rsidR="00E926FD" w:rsidRPr="00C737C7">
              <w:rPr>
                <w:rStyle w:val="FontStyle13"/>
                <w:rFonts w:ascii="Tahoma" w:hAnsi="Tahoma" w:cs="Tahoma"/>
                <w:b/>
                <w:lang w:val="en-US"/>
              </w:rPr>
              <w:t xml:space="preserve"> </w:t>
            </w:r>
            <w:r w:rsidR="00262DF9" w:rsidRPr="00C737C7">
              <w:rPr>
                <w:rStyle w:val="FontStyle13"/>
                <w:rFonts w:ascii="Tahoma" w:hAnsi="Tahoma" w:cs="Tahoma"/>
                <w:b/>
                <w:lang w:val="en-US"/>
              </w:rPr>
              <w:t>FOR</w:t>
            </w:r>
          </w:p>
        </w:tc>
        <w:tc>
          <w:tcPr>
            <w:tcW w:w="1276" w:type="dxa"/>
            <w:tcBorders>
              <w:top w:val="single" w:sz="6" w:space="0" w:color="auto"/>
              <w:left w:val="single" w:sz="6" w:space="0" w:color="auto"/>
              <w:bottom w:val="single" w:sz="6" w:space="0" w:color="auto"/>
              <w:right w:val="single" w:sz="6" w:space="0" w:color="auto"/>
            </w:tcBorders>
            <w:vAlign w:val="center"/>
          </w:tcPr>
          <w:p w14:paraId="7A3CA14E" w14:textId="55E0F040" w:rsidR="00E926FD" w:rsidRPr="00C737C7" w:rsidRDefault="001A435B" w:rsidP="00E926FD">
            <w:pPr>
              <w:pStyle w:val="Style3"/>
              <w:widowControl/>
              <w:spacing w:before="40" w:after="40"/>
              <w:jc w:val="center"/>
              <w:rPr>
                <w:rStyle w:val="FontStyle13"/>
                <w:sz w:val="16"/>
                <w:szCs w:val="16"/>
                <w:lang w:val="en-US"/>
              </w:rPr>
            </w:pPr>
            <w:sdt>
              <w:sdtPr>
                <w:rPr>
                  <w:rStyle w:val="FontStyle13"/>
                  <w:rFonts w:ascii="Tahoma" w:hAnsi="Tahoma" w:cs="Tahoma"/>
                  <w:b/>
                  <w:lang w:val="en-US"/>
                </w:rPr>
                <w:id w:val="-1250651432"/>
                <w14:checkbox>
                  <w14:checked w14:val="0"/>
                  <w14:checkedState w14:val="2612" w14:font="MS Gothic"/>
                  <w14:uncheckedState w14:val="2610" w14:font="MS Gothic"/>
                </w14:checkbox>
              </w:sdtPr>
              <w:sdtEndPr>
                <w:rPr>
                  <w:rStyle w:val="FontStyle13"/>
                </w:rPr>
              </w:sdtEndPr>
              <w:sdtContent>
                <w:r w:rsidR="00E926FD" w:rsidRPr="00C737C7">
                  <w:rPr>
                    <w:rStyle w:val="FontStyle13"/>
                    <w:rFonts w:ascii="Segoe UI Symbol" w:eastAsia="MS Gothic" w:hAnsi="Segoe UI Symbol" w:cs="Segoe UI Symbol"/>
                    <w:b/>
                    <w:lang w:val="en-US"/>
                  </w:rPr>
                  <w:t>☐</w:t>
                </w:r>
              </w:sdtContent>
            </w:sdt>
            <w:r w:rsidR="00E926FD" w:rsidRPr="00C737C7">
              <w:rPr>
                <w:rStyle w:val="FontStyle13"/>
                <w:rFonts w:ascii="Tahoma" w:hAnsi="Tahoma" w:cs="Tahoma"/>
                <w:b/>
                <w:lang w:val="en-US"/>
              </w:rPr>
              <w:t xml:space="preserve"> </w:t>
            </w:r>
            <w:r w:rsidR="00262DF9" w:rsidRPr="00C737C7">
              <w:rPr>
                <w:rStyle w:val="FontStyle13"/>
                <w:rFonts w:ascii="Tahoma" w:hAnsi="Tahoma" w:cs="Tahoma"/>
                <w:b/>
                <w:lang w:val="en-US"/>
              </w:rPr>
              <w:t>AGAINST</w:t>
            </w:r>
          </w:p>
        </w:tc>
      </w:tr>
    </w:tbl>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itle, date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r w:rsidR="00DA5A7F" w:rsidRPr="00C737C7">
        <w:rPr>
          <w:rFonts w:ascii="Tahoma" w:hAnsi="Tahoma" w:cs="Tahoma"/>
          <w:sz w:val="20"/>
          <w:szCs w:val="20"/>
          <w:lang w:val="en-US"/>
        </w:rPr>
        <w:t>if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7D233852"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_______________</w:t>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00262DF9" w:rsidRPr="00C737C7">
        <w:rPr>
          <w:rFonts w:ascii="Tahoma" w:hAnsi="Tahoma" w:cs="Tahoma"/>
          <w:sz w:val="20"/>
          <w:szCs w:val="20"/>
          <w:lang w:val="en-US" w:eastAsia="ar-SA"/>
        </w:rPr>
        <w:t>Name, surname</w:t>
      </w:r>
    </w:p>
    <w:sectPr w:rsidR="00AF57A2" w:rsidRPr="00C737C7"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BFEB4" w14:textId="77777777" w:rsidR="001A435B" w:rsidRDefault="001A435B">
      <w:pPr>
        <w:pStyle w:val="antraste"/>
      </w:pPr>
      <w:r>
        <w:separator/>
      </w:r>
    </w:p>
  </w:endnote>
  <w:endnote w:type="continuationSeparator" w:id="0">
    <w:p w14:paraId="6C3B376F" w14:textId="77777777" w:rsidR="001A435B" w:rsidRDefault="001A435B">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altName w:val="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123F1" w14:textId="77777777" w:rsidR="001A435B" w:rsidRDefault="001A435B">
      <w:pPr>
        <w:pStyle w:val="antraste"/>
      </w:pPr>
      <w:r>
        <w:separator/>
      </w:r>
    </w:p>
  </w:footnote>
  <w:footnote w:type="continuationSeparator" w:id="0">
    <w:p w14:paraId="11491CE4" w14:textId="77777777" w:rsidR="001A435B" w:rsidRDefault="001A435B">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918"/>
    <w:multiLevelType w:val="multilevel"/>
    <w:tmpl w:val="C61E22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06673CD"/>
    <w:multiLevelType w:val="multilevel"/>
    <w:tmpl w:val="C1F6B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042AD8"/>
    <w:multiLevelType w:val="multilevel"/>
    <w:tmpl w:val="C7188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24380C"/>
    <w:multiLevelType w:val="multilevel"/>
    <w:tmpl w:val="A5DC937A"/>
    <w:lvl w:ilvl="0">
      <w:start w:val="1"/>
      <w:numFmt w:val="decimal"/>
      <w:lvlText w:val="%1."/>
      <w:lvlJc w:val="left"/>
      <w:pPr>
        <w:ind w:left="720" w:hanging="360"/>
      </w:pPr>
      <w:rPr>
        <w:rFonts w:ascii="Arial" w:hAnsi="Arial" w:cs="Arial" w:hint="default"/>
        <w:i w:val="0"/>
        <w:color w:val="000000"/>
        <w:sz w:val="22"/>
      </w:rPr>
    </w:lvl>
    <w:lvl w:ilvl="1">
      <w:start w:val="1"/>
      <w:numFmt w:val="decimal"/>
      <w:isLgl/>
      <w:lvlText w:val="%1.%2."/>
      <w:lvlJc w:val="left"/>
      <w:pPr>
        <w:ind w:left="1080" w:hanging="360"/>
      </w:pPr>
      <w:rPr>
        <w:rFonts w:hint="default"/>
        <w:b w:val="0"/>
        <w:bCs w:val="0"/>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7F376B5"/>
    <w:multiLevelType w:val="multilevel"/>
    <w:tmpl w:val="BB3C6344"/>
    <w:lvl w:ilvl="0">
      <w:start w:val="1"/>
      <w:numFmt w:val="decimal"/>
      <w:lvlText w:val="%1."/>
      <w:lvlJc w:val="left"/>
      <w:pPr>
        <w:ind w:left="360" w:hanging="360"/>
      </w:pPr>
      <w:rPr>
        <w:rFonts w:hint="default"/>
        <w:b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4A3B05D9"/>
    <w:multiLevelType w:val="multilevel"/>
    <w:tmpl w:val="19D0BF7A"/>
    <w:lvl w:ilvl="0">
      <w:start w:val="1"/>
      <w:numFmt w:val="decimal"/>
      <w:lvlText w:val="%1."/>
      <w:lvlJc w:val="left"/>
      <w:pPr>
        <w:ind w:left="1230" w:hanging="1230"/>
      </w:pPr>
      <w:rPr>
        <w:rFonts w:hint="default"/>
      </w:rPr>
    </w:lvl>
    <w:lvl w:ilvl="1">
      <w:start w:val="1"/>
      <w:numFmt w:val="decimal"/>
      <w:lvlText w:val="%1.%2."/>
      <w:lvlJc w:val="left"/>
      <w:pPr>
        <w:ind w:left="1230" w:hanging="1230"/>
      </w:pPr>
      <w:rPr>
        <w:rFonts w:hint="default"/>
      </w:rPr>
    </w:lvl>
    <w:lvl w:ilvl="2">
      <w:start w:val="1"/>
      <w:numFmt w:val="decimal"/>
      <w:lvlText w:val="%1.%2.%3."/>
      <w:lvlJc w:val="left"/>
      <w:pPr>
        <w:ind w:left="1230" w:hanging="1230"/>
      </w:pPr>
      <w:rPr>
        <w:rFonts w:hint="default"/>
      </w:rPr>
    </w:lvl>
    <w:lvl w:ilvl="3">
      <w:start w:val="1"/>
      <w:numFmt w:val="decimal"/>
      <w:lvlText w:val="%1.%2.%3.%4."/>
      <w:lvlJc w:val="left"/>
      <w:pPr>
        <w:ind w:left="1230" w:hanging="1230"/>
      </w:pPr>
      <w:rPr>
        <w:rFonts w:hint="default"/>
      </w:rPr>
    </w:lvl>
    <w:lvl w:ilvl="4">
      <w:start w:val="1"/>
      <w:numFmt w:val="decimal"/>
      <w:lvlText w:val="%1.%2.%3.%4.%5."/>
      <w:lvlJc w:val="left"/>
      <w:pPr>
        <w:ind w:left="1230" w:hanging="123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5"/>
  </w:num>
  <w:num w:numId="3">
    <w:abstractNumId w:val="2"/>
  </w:num>
  <w:num w:numId="4">
    <w:abstractNumId w:val="6"/>
  </w:num>
  <w:num w:numId="5">
    <w:abstractNumId w:val="3"/>
  </w:num>
  <w:num w:numId="6">
    <w:abstractNumId w:val="4"/>
  </w:num>
  <w:num w:numId="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E35"/>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642"/>
    <w:rsid w:val="000347B3"/>
    <w:rsid w:val="00034D05"/>
    <w:rsid w:val="00035B17"/>
    <w:rsid w:val="0003783E"/>
    <w:rsid w:val="00037C6A"/>
    <w:rsid w:val="000407E7"/>
    <w:rsid w:val="0004115E"/>
    <w:rsid w:val="000421CA"/>
    <w:rsid w:val="00042AA3"/>
    <w:rsid w:val="00042B79"/>
    <w:rsid w:val="000444B0"/>
    <w:rsid w:val="0004460D"/>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879AC"/>
    <w:rsid w:val="000907B4"/>
    <w:rsid w:val="00090A8F"/>
    <w:rsid w:val="00091EC6"/>
    <w:rsid w:val="000922B3"/>
    <w:rsid w:val="00092C37"/>
    <w:rsid w:val="000930F6"/>
    <w:rsid w:val="000948D9"/>
    <w:rsid w:val="00095631"/>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81"/>
    <w:rsid w:val="000D49F5"/>
    <w:rsid w:val="000D4C8D"/>
    <w:rsid w:val="000D7259"/>
    <w:rsid w:val="000E0AEF"/>
    <w:rsid w:val="000E0AFA"/>
    <w:rsid w:val="000E183D"/>
    <w:rsid w:val="000E3791"/>
    <w:rsid w:val="000E3EF9"/>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7C3"/>
    <w:rsid w:val="00102DBA"/>
    <w:rsid w:val="00102FCF"/>
    <w:rsid w:val="001034CD"/>
    <w:rsid w:val="001048CC"/>
    <w:rsid w:val="00105B3A"/>
    <w:rsid w:val="001067C2"/>
    <w:rsid w:val="00106B94"/>
    <w:rsid w:val="00106CFD"/>
    <w:rsid w:val="00110E40"/>
    <w:rsid w:val="00111EA5"/>
    <w:rsid w:val="00113F9D"/>
    <w:rsid w:val="00114A41"/>
    <w:rsid w:val="00115308"/>
    <w:rsid w:val="001155E6"/>
    <w:rsid w:val="0011699F"/>
    <w:rsid w:val="00116A14"/>
    <w:rsid w:val="00116C6F"/>
    <w:rsid w:val="001171BB"/>
    <w:rsid w:val="00117956"/>
    <w:rsid w:val="00117A62"/>
    <w:rsid w:val="00120A2E"/>
    <w:rsid w:val="00120CBB"/>
    <w:rsid w:val="00124EB0"/>
    <w:rsid w:val="00124F99"/>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5B"/>
    <w:rsid w:val="001A43A4"/>
    <w:rsid w:val="001A459F"/>
    <w:rsid w:val="001A52C3"/>
    <w:rsid w:val="001A5721"/>
    <w:rsid w:val="001A5B14"/>
    <w:rsid w:val="001A5FE7"/>
    <w:rsid w:val="001A6532"/>
    <w:rsid w:val="001A71C9"/>
    <w:rsid w:val="001A751A"/>
    <w:rsid w:val="001B172D"/>
    <w:rsid w:val="001B274C"/>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60A6"/>
    <w:rsid w:val="001D6373"/>
    <w:rsid w:val="001D687F"/>
    <w:rsid w:val="001D7470"/>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2DF9"/>
    <w:rsid w:val="00263105"/>
    <w:rsid w:val="00263C38"/>
    <w:rsid w:val="00265B72"/>
    <w:rsid w:val="00265D2C"/>
    <w:rsid w:val="002678F7"/>
    <w:rsid w:val="00267BFE"/>
    <w:rsid w:val="00267C25"/>
    <w:rsid w:val="00267C4A"/>
    <w:rsid w:val="00270015"/>
    <w:rsid w:val="00270B6C"/>
    <w:rsid w:val="0027135D"/>
    <w:rsid w:val="00271586"/>
    <w:rsid w:val="00271EB5"/>
    <w:rsid w:val="00272ADB"/>
    <w:rsid w:val="00272DC7"/>
    <w:rsid w:val="002732FE"/>
    <w:rsid w:val="00274201"/>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87C63"/>
    <w:rsid w:val="00290D0F"/>
    <w:rsid w:val="0029102E"/>
    <w:rsid w:val="00291115"/>
    <w:rsid w:val="0029198C"/>
    <w:rsid w:val="00291B49"/>
    <w:rsid w:val="00291FEE"/>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96C"/>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399"/>
    <w:rsid w:val="0039344F"/>
    <w:rsid w:val="00393475"/>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E1C"/>
    <w:rsid w:val="00581284"/>
    <w:rsid w:val="00581DE2"/>
    <w:rsid w:val="0058206F"/>
    <w:rsid w:val="00584770"/>
    <w:rsid w:val="00584885"/>
    <w:rsid w:val="00586170"/>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7AC"/>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79B"/>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11FC"/>
    <w:rsid w:val="007D25DE"/>
    <w:rsid w:val="007D30B3"/>
    <w:rsid w:val="007D48B4"/>
    <w:rsid w:val="007D4D8F"/>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8C9"/>
    <w:rsid w:val="008B5FF9"/>
    <w:rsid w:val="008B63EF"/>
    <w:rsid w:val="008C113E"/>
    <w:rsid w:val="008C2BC1"/>
    <w:rsid w:val="008C48F1"/>
    <w:rsid w:val="008C4FBB"/>
    <w:rsid w:val="008C6A69"/>
    <w:rsid w:val="008C7977"/>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176"/>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34EA"/>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2E8"/>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11E9"/>
    <w:rsid w:val="00B5316B"/>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15BF"/>
    <w:rsid w:val="00BE1AB2"/>
    <w:rsid w:val="00BE1BF0"/>
    <w:rsid w:val="00BE1F1D"/>
    <w:rsid w:val="00BE3099"/>
    <w:rsid w:val="00BE389E"/>
    <w:rsid w:val="00BE393B"/>
    <w:rsid w:val="00BE406C"/>
    <w:rsid w:val="00BE4247"/>
    <w:rsid w:val="00BE4458"/>
    <w:rsid w:val="00BE484E"/>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6D3D"/>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0AFB"/>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3A1"/>
    <w:rsid w:val="00D914B4"/>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87264"/>
    <w:rsid w:val="00E90A84"/>
    <w:rsid w:val="00E917D4"/>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18F8"/>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34"/>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iPriority w:val="99"/>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altName w:val="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21050"/>
    <w:rsid w:val="00034345"/>
    <w:rsid w:val="000731EE"/>
    <w:rsid w:val="000E6572"/>
    <w:rsid w:val="000F2682"/>
    <w:rsid w:val="00131EE3"/>
    <w:rsid w:val="00154EA0"/>
    <w:rsid w:val="001869AD"/>
    <w:rsid w:val="001C7ED2"/>
    <w:rsid w:val="002357EE"/>
    <w:rsid w:val="00290853"/>
    <w:rsid w:val="00326647"/>
    <w:rsid w:val="003532FE"/>
    <w:rsid w:val="0037073B"/>
    <w:rsid w:val="0042762B"/>
    <w:rsid w:val="004D691E"/>
    <w:rsid w:val="00530858"/>
    <w:rsid w:val="005575E8"/>
    <w:rsid w:val="005D7E1C"/>
    <w:rsid w:val="005E4E93"/>
    <w:rsid w:val="005F0E44"/>
    <w:rsid w:val="0061001B"/>
    <w:rsid w:val="006D0D44"/>
    <w:rsid w:val="0079634A"/>
    <w:rsid w:val="007E3BE8"/>
    <w:rsid w:val="00840D5B"/>
    <w:rsid w:val="0087368A"/>
    <w:rsid w:val="00980E27"/>
    <w:rsid w:val="009D490B"/>
    <w:rsid w:val="009E3691"/>
    <w:rsid w:val="00A25D69"/>
    <w:rsid w:val="00B70730"/>
    <w:rsid w:val="00B969A9"/>
    <w:rsid w:val="00BA4069"/>
    <w:rsid w:val="00BE6FE5"/>
    <w:rsid w:val="00C11546"/>
    <w:rsid w:val="00C11FE7"/>
    <w:rsid w:val="00C14644"/>
    <w:rsid w:val="00C95D2E"/>
    <w:rsid w:val="00CA1549"/>
    <w:rsid w:val="00CA5776"/>
    <w:rsid w:val="00D07869"/>
    <w:rsid w:val="00EC24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D79DDF-DE86-4EA3-9EE2-A48C8B89D9D2}">
  <ds:schemaRefs>
    <ds:schemaRef ds:uri="http://schemas.openxmlformats.org/officeDocument/2006/bibliography"/>
  </ds:schemaRefs>
</ds:datastoreItem>
</file>

<file path=customXml/itemProps2.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3.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1</TotalTime>
  <Pages>5</Pages>
  <Words>6759</Words>
  <Characters>3853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lastModifiedBy>Simona Putrimienė</cp:lastModifiedBy>
  <cp:revision>3</cp:revision>
  <cp:lastPrinted>2014-03-14T08:41:00Z</cp:lastPrinted>
  <dcterms:created xsi:type="dcterms:W3CDTF">2021-11-03T10:17:00Z</dcterms:created>
  <dcterms:modified xsi:type="dcterms:W3CDTF">2021-11-03T11:21:00Z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Sensitivity">
    <vt:lpwstr>Vieša informacija</vt:lpwstr>
  </property>
</Properties>
</file>