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247E3" w14:textId="21F4771E" w:rsidR="009502A2" w:rsidRPr="009502A2" w:rsidRDefault="009502A2" w:rsidP="009502A2">
      <w:pPr>
        <w:spacing w:after="0"/>
        <w:jc w:val="center"/>
        <w:rPr>
          <w:rFonts w:ascii="Arial" w:hAnsi="Arial" w:cs="Arial"/>
          <w:noProof/>
          <w:color w:val="0070EF"/>
          <w:sz w:val="32"/>
          <w:szCs w:val="32"/>
          <w:lang w:val="fr-FR"/>
        </w:rPr>
      </w:pPr>
      <w:r w:rsidRPr="009502A2">
        <w:rPr>
          <w:rFonts w:ascii="Arial" w:hAnsi="Arial" w:cs="Arial"/>
          <w:noProof/>
          <w:color w:val="0070EF"/>
          <w:sz w:val="32"/>
          <w:szCs w:val="32"/>
          <w:lang w:val="fr-FR"/>
        </w:rPr>
        <w:t>Technip Energies nomme Marco Tiziano Barone</w:t>
      </w:r>
    </w:p>
    <w:p w14:paraId="7AFA86E4" w14:textId="2C9CB1C6" w:rsidR="009502A2" w:rsidRDefault="009502A2" w:rsidP="009502A2">
      <w:pPr>
        <w:spacing w:after="0"/>
        <w:jc w:val="center"/>
        <w:rPr>
          <w:rFonts w:ascii="Arial" w:hAnsi="Arial" w:cs="Arial"/>
          <w:noProof/>
          <w:color w:val="0070EF"/>
          <w:sz w:val="32"/>
          <w:szCs w:val="32"/>
          <w:lang w:val="fr-FR"/>
        </w:rPr>
      </w:pPr>
      <w:r w:rsidRPr="009502A2">
        <w:rPr>
          <w:rFonts w:ascii="Arial" w:hAnsi="Arial" w:cs="Arial"/>
          <w:noProof/>
          <w:color w:val="0070EF"/>
          <w:sz w:val="32"/>
          <w:szCs w:val="32"/>
          <w:lang w:val="fr-FR"/>
        </w:rPr>
        <w:t>au poste de Directeur Juridique</w:t>
      </w:r>
    </w:p>
    <w:p w14:paraId="6E02917B" w14:textId="77777777" w:rsidR="009502A2" w:rsidRPr="009502A2" w:rsidRDefault="009502A2" w:rsidP="009502A2">
      <w:pPr>
        <w:spacing w:after="0"/>
        <w:jc w:val="center"/>
        <w:rPr>
          <w:rFonts w:ascii="Arial" w:hAnsi="Arial" w:cs="Arial"/>
          <w:lang w:val="fr-FR"/>
        </w:rPr>
      </w:pPr>
    </w:p>
    <w:p w14:paraId="7815D043" w14:textId="7B42859E" w:rsidR="009502A2" w:rsidRPr="009502A2" w:rsidRDefault="009502A2" w:rsidP="009502A2">
      <w:pPr>
        <w:spacing w:after="0"/>
        <w:jc w:val="both"/>
        <w:rPr>
          <w:rFonts w:ascii="Arial" w:hAnsi="Arial" w:cs="Arial"/>
          <w:lang w:val="fr-FR"/>
        </w:rPr>
      </w:pPr>
      <w:r w:rsidRPr="7F209AD0">
        <w:rPr>
          <w:rFonts w:ascii="Arial" w:hAnsi="Arial" w:cs="Arial"/>
          <w:lang w:val="fr-FR"/>
        </w:rPr>
        <w:t xml:space="preserve">Technip Energies annonce la nomination de Marco </w:t>
      </w:r>
      <w:proofErr w:type="spellStart"/>
      <w:r w:rsidRPr="7F209AD0">
        <w:rPr>
          <w:rFonts w:ascii="Arial" w:hAnsi="Arial" w:cs="Arial"/>
          <w:lang w:val="fr-FR"/>
        </w:rPr>
        <w:t>Tiziano</w:t>
      </w:r>
      <w:proofErr w:type="spellEnd"/>
      <w:r w:rsidRPr="7F209AD0">
        <w:rPr>
          <w:rFonts w:ascii="Arial" w:hAnsi="Arial" w:cs="Arial"/>
          <w:lang w:val="fr-FR"/>
        </w:rPr>
        <w:t xml:space="preserve"> Barone en tant que Directeur Juridique et membre du Comité Exécutif du Groupe. A ce titre, il supervisera la fonction Juridique, Contrats et </w:t>
      </w:r>
      <w:r w:rsidR="238EBB70" w:rsidRPr="7F209AD0">
        <w:rPr>
          <w:rFonts w:ascii="Arial" w:hAnsi="Arial" w:cs="Arial"/>
          <w:lang w:val="fr-FR"/>
        </w:rPr>
        <w:t xml:space="preserve">Conformité </w:t>
      </w:r>
      <w:r w:rsidRPr="7F209AD0">
        <w:rPr>
          <w:rFonts w:ascii="Arial" w:hAnsi="Arial" w:cs="Arial"/>
          <w:lang w:val="fr-FR"/>
        </w:rPr>
        <w:t xml:space="preserve">du Groupe. Il succède à Michael McGuinty, qui a décidé de prendre sa retraite. </w:t>
      </w:r>
    </w:p>
    <w:p w14:paraId="5C6FC4C2" w14:textId="3DB0E572" w:rsidR="009502A2" w:rsidRPr="009502A2" w:rsidRDefault="009502A2" w:rsidP="009502A2">
      <w:pPr>
        <w:spacing w:after="0"/>
        <w:jc w:val="both"/>
        <w:rPr>
          <w:rFonts w:ascii="Arial" w:hAnsi="Arial" w:cs="Arial"/>
          <w:lang w:val="fr-FR"/>
        </w:rPr>
      </w:pPr>
    </w:p>
    <w:p w14:paraId="46DC324C" w14:textId="3FA6EB57" w:rsidR="009502A2" w:rsidRPr="009502A2" w:rsidRDefault="009502A2" w:rsidP="009502A2">
      <w:pPr>
        <w:spacing w:after="0"/>
        <w:jc w:val="both"/>
        <w:rPr>
          <w:rFonts w:ascii="Arial" w:hAnsi="Arial" w:cs="Arial"/>
          <w:lang w:val="fr-FR"/>
        </w:rPr>
      </w:pPr>
      <w:r w:rsidRPr="7F209AD0">
        <w:rPr>
          <w:rFonts w:ascii="Arial" w:hAnsi="Arial" w:cs="Arial"/>
          <w:lang w:val="fr-FR"/>
        </w:rPr>
        <w:t xml:space="preserve">Marco </w:t>
      </w:r>
      <w:proofErr w:type="spellStart"/>
      <w:r w:rsidRPr="7F209AD0">
        <w:rPr>
          <w:rFonts w:ascii="Arial" w:hAnsi="Arial" w:cs="Arial"/>
          <w:lang w:val="fr-FR"/>
        </w:rPr>
        <w:t>Tiziano</w:t>
      </w:r>
      <w:proofErr w:type="spellEnd"/>
      <w:r w:rsidRPr="7F209AD0">
        <w:rPr>
          <w:rFonts w:ascii="Arial" w:hAnsi="Arial" w:cs="Arial"/>
          <w:lang w:val="fr-FR"/>
        </w:rPr>
        <w:t xml:space="preserve"> Barone </w:t>
      </w:r>
      <w:r w:rsidR="00956DCB" w:rsidRPr="7F209AD0">
        <w:rPr>
          <w:rFonts w:ascii="Arial" w:hAnsi="Arial" w:cs="Arial"/>
          <w:lang w:val="fr-FR"/>
        </w:rPr>
        <w:t>possède</w:t>
      </w:r>
      <w:r w:rsidRPr="7F209AD0">
        <w:rPr>
          <w:rFonts w:ascii="Arial" w:hAnsi="Arial" w:cs="Arial"/>
          <w:lang w:val="fr-FR"/>
        </w:rPr>
        <w:t xml:space="preserve"> près de 20 ans d'expérience internationale dans le domaine juridique, </w:t>
      </w:r>
      <w:r w:rsidR="00960322" w:rsidRPr="7F209AD0">
        <w:rPr>
          <w:rFonts w:ascii="Arial" w:hAnsi="Arial" w:cs="Arial"/>
          <w:lang w:val="fr-FR"/>
        </w:rPr>
        <w:t>les</w:t>
      </w:r>
      <w:r w:rsidRPr="7F209AD0">
        <w:rPr>
          <w:rFonts w:ascii="Arial" w:hAnsi="Arial" w:cs="Arial"/>
          <w:lang w:val="fr-FR"/>
        </w:rPr>
        <w:t xml:space="preserve"> contrats et </w:t>
      </w:r>
      <w:r w:rsidR="00960322" w:rsidRPr="7F209AD0">
        <w:rPr>
          <w:rFonts w:ascii="Arial" w:hAnsi="Arial" w:cs="Arial"/>
          <w:lang w:val="fr-FR"/>
        </w:rPr>
        <w:t>la c</w:t>
      </w:r>
      <w:r w:rsidR="2F07EA26" w:rsidRPr="7F209AD0">
        <w:rPr>
          <w:rFonts w:ascii="Arial" w:hAnsi="Arial" w:cs="Arial"/>
          <w:lang w:val="fr-FR"/>
        </w:rPr>
        <w:t>onformité</w:t>
      </w:r>
      <w:r w:rsidRPr="7F209AD0">
        <w:rPr>
          <w:rFonts w:ascii="Arial" w:hAnsi="Arial" w:cs="Arial"/>
          <w:lang w:val="fr-FR"/>
        </w:rPr>
        <w:t xml:space="preserve">, dont 12 ans au sein de Technip Energies. </w:t>
      </w:r>
    </w:p>
    <w:p w14:paraId="380755D9" w14:textId="4946DA18" w:rsidR="009502A2" w:rsidRPr="009502A2" w:rsidRDefault="009502A2" w:rsidP="009502A2">
      <w:pPr>
        <w:spacing w:after="0"/>
        <w:jc w:val="both"/>
        <w:rPr>
          <w:rFonts w:ascii="Arial" w:hAnsi="Arial" w:cs="Arial"/>
          <w:lang w:val="fr-FR"/>
        </w:rPr>
      </w:pPr>
    </w:p>
    <w:p w14:paraId="0C753064" w14:textId="022C7BC8" w:rsidR="009502A2" w:rsidRPr="009502A2" w:rsidRDefault="009502A2" w:rsidP="009502A2">
      <w:pPr>
        <w:spacing w:after="0"/>
        <w:jc w:val="both"/>
        <w:rPr>
          <w:rFonts w:ascii="Arial" w:hAnsi="Arial" w:cs="Arial"/>
          <w:lang w:val="fr-FR"/>
        </w:rPr>
      </w:pPr>
      <w:r w:rsidRPr="1D5696A6">
        <w:rPr>
          <w:rFonts w:ascii="Arial" w:hAnsi="Arial" w:cs="Arial"/>
          <w:lang w:val="fr-FR"/>
        </w:rPr>
        <w:t xml:space="preserve">Depuis 2023, Marco occupe le poste de </w:t>
      </w:r>
      <w:r w:rsidR="00EA2AB5" w:rsidRPr="1D5696A6">
        <w:rPr>
          <w:rFonts w:ascii="Arial" w:hAnsi="Arial" w:cs="Arial"/>
          <w:lang w:val="fr-FR"/>
        </w:rPr>
        <w:t>Vice-</w:t>
      </w:r>
      <w:r w:rsidR="00063B63" w:rsidRPr="1D5696A6">
        <w:rPr>
          <w:rFonts w:ascii="Arial" w:hAnsi="Arial" w:cs="Arial"/>
          <w:lang w:val="fr-FR"/>
        </w:rPr>
        <w:t>p</w:t>
      </w:r>
      <w:r w:rsidR="00EA2AB5" w:rsidRPr="1D5696A6">
        <w:rPr>
          <w:rFonts w:ascii="Arial" w:hAnsi="Arial" w:cs="Arial"/>
          <w:lang w:val="fr-FR"/>
        </w:rPr>
        <w:t>résident</w:t>
      </w:r>
      <w:r w:rsidRPr="1D5696A6">
        <w:rPr>
          <w:rFonts w:ascii="Arial" w:hAnsi="Arial" w:cs="Arial"/>
          <w:lang w:val="fr-FR"/>
        </w:rPr>
        <w:t xml:space="preserve"> Juridique et Secrétaire Général, supervisant la gouvernance d'entreprise, les valeurs mobilières</w:t>
      </w:r>
      <w:r w:rsidR="00EB0466" w:rsidRPr="1D5696A6">
        <w:rPr>
          <w:rFonts w:ascii="Arial" w:hAnsi="Arial" w:cs="Arial"/>
          <w:lang w:val="fr-FR"/>
        </w:rPr>
        <w:t xml:space="preserve"> </w:t>
      </w:r>
      <w:r w:rsidR="00EB0466" w:rsidRPr="1D5696A6">
        <w:rPr>
          <w:rFonts w:ascii="Arial" w:hAnsi="Arial" w:cs="Arial"/>
          <w:i/>
          <w:iCs/>
          <w:lang w:val="fr-FR"/>
        </w:rPr>
        <w:t>(</w:t>
      </w:r>
      <w:proofErr w:type="spellStart"/>
      <w:r w:rsidR="00EB0466" w:rsidRPr="1D5696A6">
        <w:rPr>
          <w:rFonts w:ascii="Arial" w:hAnsi="Arial" w:cs="Arial"/>
          <w:i/>
          <w:iCs/>
          <w:lang w:val="fr-FR"/>
        </w:rPr>
        <w:t>securities</w:t>
      </w:r>
      <w:proofErr w:type="spellEnd"/>
      <w:r w:rsidR="00EB0466" w:rsidRPr="1D5696A6">
        <w:rPr>
          <w:rFonts w:ascii="Arial" w:hAnsi="Arial" w:cs="Arial"/>
          <w:i/>
          <w:iCs/>
          <w:lang w:val="fr-FR"/>
        </w:rPr>
        <w:t>)</w:t>
      </w:r>
      <w:r w:rsidRPr="1D5696A6">
        <w:rPr>
          <w:rFonts w:ascii="Arial" w:hAnsi="Arial" w:cs="Arial"/>
          <w:lang w:val="fr-FR"/>
        </w:rPr>
        <w:t xml:space="preserve"> et le </w:t>
      </w:r>
      <w:proofErr w:type="spellStart"/>
      <w:r w:rsidRPr="1D5696A6">
        <w:rPr>
          <w:rFonts w:ascii="Arial" w:hAnsi="Arial" w:cs="Arial"/>
          <w:lang w:val="fr-FR"/>
        </w:rPr>
        <w:t>reporting</w:t>
      </w:r>
      <w:proofErr w:type="spellEnd"/>
      <w:r w:rsidRPr="1D5696A6">
        <w:rPr>
          <w:rFonts w:ascii="Arial" w:hAnsi="Arial" w:cs="Arial"/>
          <w:lang w:val="fr-FR"/>
        </w:rPr>
        <w:t xml:space="preserve"> réglementaire. Auparavant, il était Vice-président juridique </w:t>
      </w:r>
      <w:r w:rsidR="00FB6280" w:rsidRPr="1D5696A6">
        <w:rPr>
          <w:rFonts w:ascii="Arial" w:hAnsi="Arial" w:cs="Arial"/>
          <w:lang w:val="fr-FR"/>
        </w:rPr>
        <w:t>de l’activité</w:t>
      </w:r>
      <w:r w:rsidRPr="1D5696A6">
        <w:rPr>
          <w:rFonts w:ascii="Arial" w:hAnsi="Arial" w:cs="Arial"/>
          <w:lang w:val="fr-FR"/>
        </w:rPr>
        <w:t xml:space="preserve"> Gaz et </w:t>
      </w:r>
      <w:r w:rsidR="00FB6280" w:rsidRPr="1D5696A6">
        <w:rPr>
          <w:rFonts w:ascii="Arial" w:hAnsi="Arial" w:cs="Arial"/>
          <w:lang w:val="fr-FR"/>
        </w:rPr>
        <w:t>énergies bas-carbone</w:t>
      </w:r>
      <w:r w:rsidRPr="1D5696A6">
        <w:rPr>
          <w:rFonts w:ascii="Arial" w:hAnsi="Arial" w:cs="Arial"/>
          <w:lang w:val="fr-FR"/>
        </w:rPr>
        <w:t xml:space="preserve"> de Technip Energies, gérant les aspects juridiques des principaux contrats commerciaux et partenariats stratégiques. </w:t>
      </w:r>
    </w:p>
    <w:p w14:paraId="1829F099" w14:textId="6B793545" w:rsidR="009502A2" w:rsidRPr="009502A2" w:rsidRDefault="009502A2" w:rsidP="009502A2">
      <w:pPr>
        <w:spacing w:after="0"/>
        <w:jc w:val="both"/>
        <w:rPr>
          <w:rFonts w:ascii="Arial" w:hAnsi="Arial" w:cs="Arial"/>
          <w:lang w:val="fr-FR"/>
        </w:rPr>
      </w:pPr>
    </w:p>
    <w:p w14:paraId="36D4E089" w14:textId="2580236C" w:rsidR="009502A2" w:rsidRPr="009502A2" w:rsidRDefault="009502A2" w:rsidP="009502A2">
      <w:pPr>
        <w:spacing w:after="0"/>
        <w:jc w:val="both"/>
        <w:rPr>
          <w:rFonts w:ascii="Arial" w:hAnsi="Arial" w:cs="Arial"/>
          <w:lang w:val="fr-FR"/>
        </w:rPr>
      </w:pPr>
      <w:r w:rsidRPr="7F209AD0">
        <w:rPr>
          <w:rFonts w:ascii="Arial" w:hAnsi="Arial" w:cs="Arial"/>
          <w:lang w:val="fr-FR"/>
        </w:rPr>
        <w:t xml:space="preserve">Marco a rejoint Technip Energies en 2013 en tant que responsable juridique </w:t>
      </w:r>
      <w:r w:rsidR="414C1E9D" w:rsidRPr="7F209AD0">
        <w:rPr>
          <w:rFonts w:ascii="Arial" w:hAnsi="Arial" w:cs="Arial"/>
          <w:lang w:val="fr-FR"/>
        </w:rPr>
        <w:t xml:space="preserve">du </w:t>
      </w:r>
      <w:r w:rsidRPr="7F209AD0">
        <w:rPr>
          <w:rFonts w:ascii="Arial" w:hAnsi="Arial" w:cs="Arial"/>
          <w:lang w:val="fr-FR"/>
        </w:rPr>
        <w:t xml:space="preserve">projet </w:t>
      </w:r>
      <w:proofErr w:type="spellStart"/>
      <w:r w:rsidRPr="7F209AD0">
        <w:rPr>
          <w:rFonts w:ascii="Arial" w:hAnsi="Arial" w:cs="Arial"/>
          <w:lang w:val="fr-FR"/>
        </w:rPr>
        <w:t>Yamal</w:t>
      </w:r>
      <w:proofErr w:type="spellEnd"/>
      <w:r w:rsidRPr="7F209AD0">
        <w:rPr>
          <w:rFonts w:ascii="Arial" w:hAnsi="Arial" w:cs="Arial"/>
          <w:lang w:val="fr-FR"/>
        </w:rPr>
        <w:t xml:space="preserve"> LNG. Avant de rejoindre Technip Energies, il a passé 7 ans chez </w:t>
      </w:r>
      <w:proofErr w:type="spellStart"/>
      <w:r w:rsidRPr="7F209AD0">
        <w:rPr>
          <w:rFonts w:ascii="Arial" w:hAnsi="Arial" w:cs="Arial"/>
          <w:lang w:val="fr-FR"/>
        </w:rPr>
        <w:t>Saipem</w:t>
      </w:r>
      <w:proofErr w:type="spellEnd"/>
      <w:r w:rsidRPr="7F209AD0">
        <w:rPr>
          <w:rFonts w:ascii="Arial" w:hAnsi="Arial" w:cs="Arial"/>
          <w:lang w:val="fr-FR"/>
        </w:rPr>
        <w:t xml:space="preserve">, où il a occupé différents postes en Italie, à Singapour, en Norvège, au Luxembourg et en France. </w:t>
      </w:r>
    </w:p>
    <w:p w14:paraId="1FB6AE34" w14:textId="77777777" w:rsidR="009502A2" w:rsidRPr="009502A2" w:rsidRDefault="009502A2" w:rsidP="009502A2">
      <w:pPr>
        <w:spacing w:after="0"/>
        <w:jc w:val="both"/>
        <w:rPr>
          <w:rFonts w:ascii="Arial" w:hAnsi="Arial" w:cs="Arial"/>
          <w:lang w:val="fr-FR"/>
        </w:rPr>
      </w:pPr>
    </w:p>
    <w:p w14:paraId="3E45D0D7" w14:textId="231D2985" w:rsidR="009502A2" w:rsidRPr="009502A2" w:rsidRDefault="009502A2" w:rsidP="009502A2">
      <w:pPr>
        <w:spacing w:after="0"/>
        <w:jc w:val="both"/>
        <w:rPr>
          <w:rFonts w:ascii="Arial" w:hAnsi="Arial" w:cs="Arial"/>
          <w:lang w:val="fr-FR"/>
        </w:rPr>
      </w:pPr>
      <w:r w:rsidRPr="009502A2">
        <w:rPr>
          <w:rFonts w:ascii="Arial" w:hAnsi="Arial" w:cs="Arial"/>
          <w:lang w:val="fr-FR"/>
        </w:rPr>
        <w:t xml:space="preserve">Marco est titulaire d'une licence en droit de l'université Federico II de Naples et d'un master en </w:t>
      </w:r>
      <w:r w:rsidR="00F1247B">
        <w:rPr>
          <w:rFonts w:ascii="Arial" w:hAnsi="Arial" w:cs="Arial"/>
          <w:lang w:val="fr-FR"/>
        </w:rPr>
        <w:t>management</w:t>
      </w:r>
      <w:r w:rsidRPr="009502A2">
        <w:rPr>
          <w:rFonts w:ascii="Arial" w:hAnsi="Arial" w:cs="Arial"/>
          <w:lang w:val="fr-FR"/>
        </w:rPr>
        <w:t xml:space="preserve"> de l'école </w:t>
      </w:r>
      <w:proofErr w:type="spellStart"/>
      <w:r w:rsidRPr="009502A2">
        <w:rPr>
          <w:rFonts w:ascii="Arial" w:hAnsi="Arial" w:cs="Arial"/>
          <w:lang w:val="fr-FR"/>
        </w:rPr>
        <w:t>Bocconi</w:t>
      </w:r>
      <w:proofErr w:type="spellEnd"/>
      <w:r w:rsidRPr="009502A2">
        <w:rPr>
          <w:rFonts w:ascii="Arial" w:hAnsi="Arial" w:cs="Arial"/>
          <w:lang w:val="fr-FR"/>
        </w:rPr>
        <w:t xml:space="preserve"> de Milan. </w:t>
      </w:r>
    </w:p>
    <w:p w14:paraId="79343E7C" w14:textId="3A1A3338" w:rsidR="009502A2" w:rsidRPr="009502A2" w:rsidRDefault="009502A2" w:rsidP="009502A2">
      <w:pPr>
        <w:spacing w:after="0"/>
        <w:jc w:val="both"/>
        <w:rPr>
          <w:rFonts w:ascii="Arial" w:hAnsi="Arial" w:cs="Arial"/>
          <w:lang w:val="fr-FR"/>
        </w:rPr>
      </w:pPr>
    </w:p>
    <w:p w14:paraId="5CD844B0" w14:textId="17DB5041" w:rsidR="00E66C36" w:rsidRPr="00E66C36" w:rsidRDefault="009502A2" w:rsidP="7F209AD0">
      <w:pPr>
        <w:spacing w:after="0"/>
        <w:jc w:val="both"/>
        <w:rPr>
          <w:rFonts w:ascii="Arial" w:hAnsi="Arial" w:cs="Arial"/>
          <w:i/>
          <w:iCs/>
          <w:lang w:val="fr-FR"/>
        </w:rPr>
      </w:pPr>
      <w:r w:rsidRPr="7F209AD0">
        <w:rPr>
          <w:rFonts w:ascii="Arial" w:hAnsi="Arial" w:cs="Arial"/>
          <w:b/>
          <w:bCs/>
          <w:lang w:val="fr-FR"/>
        </w:rPr>
        <w:t xml:space="preserve">Arnaud Pieton, Directeur </w:t>
      </w:r>
      <w:r w:rsidR="005A278B" w:rsidRPr="7F209AD0">
        <w:rPr>
          <w:rFonts w:ascii="Arial" w:hAnsi="Arial" w:cs="Arial"/>
          <w:b/>
          <w:bCs/>
          <w:lang w:val="fr-FR"/>
        </w:rPr>
        <w:t>g</w:t>
      </w:r>
      <w:r w:rsidRPr="7F209AD0">
        <w:rPr>
          <w:rFonts w:ascii="Arial" w:hAnsi="Arial" w:cs="Arial"/>
          <w:b/>
          <w:bCs/>
          <w:lang w:val="fr-FR"/>
        </w:rPr>
        <w:t>énéral de Technip Energies</w:t>
      </w:r>
      <w:r w:rsidRPr="7F209AD0">
        <w:rPr>
          <w:rFonts w:ascii="Arial" w:hAnsi="Arial" w:cs="Arial"/>
          <w:lang w:val="fr-FR"/>
        </w:rPr>
        <w:t xml:space="preserve">, a commenté : </w:t>
      </w:r>
      <w:r w:rsidR="005A278B" w:rsidRPr="7F209AD0">
        <w:rPr>
          <w:rFonts w:ascii="Arial" w:hAnsi="Arial" w:cs="Arial"/>
          <w:i/>
          <w:iCs/>
          <w:lang w:val="fr-FR"/>
        </w:rPr>
        <w:t>« </w:t>
      </w:r>
      <w:r w:rsidR="00E66C36" w:rsidRPr="7F209AD0">
        <w:rPr>
          <w:rFonts w:ascii="Arial" w:hAnsi="Arial" w:cs="Arial"/>
          <w:i/>
          <w:iCs/>
          <w:lang w:val="fr-FR"/>
        </w:rPr>
        <w:t xml:space="preserve">Nous avons le plaisir de nommer Marco </w:t>
      </w:r>
      <w:proofErr w:type="spellStart"/>
      <w:r w:rsidR="00E66C36" w:rsidRPr="7F209AD0">
        <w:rPr>
          <w:rFonts w:ascii="Arial" w:hAnsi="Arial" w:cs="Arial"/>
          <w:i/>
          <w:iCs/>
          <w:lang w:val="fr-FR"/>
        </w:rPr>
        <w:t>Tiziano</w:t>
      </w:r>
      <w:proofErr w:type="spellEnd"/>
      <w:r w:rsidR="00E66C36" w:rsidRPr="7F209AD0">
        <w:rPr>
          <w:rFonts w:ascii="Arial" w:hAnsi="Arial" w:cs="Arial"/>
          <w:i/>
          <w:iCs/>
          <w:lang w:val="fr-FR"/>
        </w:rPr>
        <w:t xml:space="preserve"> Barone au poste de directeur juridique</w:t>
      </w:r>
      <w:r w:rsidR="009B533B" w:rsidRPr="7F209AD0">
        <w:rPr>
          <w:rFonts w:ascii="Arial" w:hAnsi="Arial" w:cs="Arial"/>
          <w:i/>
          <w:iCs/>
          <w:lang w:val="fr-FR"/>
        </w:rPr>
        <w:t>, rejoignant ainsi le</w:t>
      </w:r>
      <w:r w:rsidR="00E66C36" w:rsidRPr="7F209AD0">
        <w:rPr>
          <w:rFonts w:ascii="Arial" w:hAnsi="Arial" w:cs="Arial"/>
          <w:i/>
          <w:iCs/>
          <w:lang w:val="fr-FR"/>
        </w:rPr>
        <w:t xml:space="preserve"> comité exécutif. Sa longue expérience au sein de Technip Energies et son expertise juridique globale seront </w:t>
      </w:r>
      <w:r w:rsidR="73ECBE36" w:rsidRPr="7F209AD0">
        <w:rPr>
          <w:rFonts w:ascii="Arial" w:hAnsi="Arial" w:cs="Arial"/>
          <w:i/>
          <w:iCs/>
          <w:lang w:val="fr-FR"/>
        </w:rPr>
        <w:t>déterminantes</w:t>
      </w:r>
      <w:r w:rsidR="169CB45A" w:rsidRPr="7F209AD0">
        <w:rPr>
          <w:rFonts w:ascii="Arial" w:hAnsi="Arial" w:cs="Arial"/>
          <w:i/>
          <w:iCs/>
          <w:lang w:val="fr-FR"/>
        </w:rPr>
        <w:t xml:space="preserve"> pou</w:t>
      </w:r>
      <w:r w:rsidR="4C213E2E" w:rsidRPr="7F209AD0">
        <w:rPr>
          <w:rFonts w:ascii="Arial" w:hAnsi="Arial" w:cs="Arial"/>
          <w:i/>
          <w:iCs/>
          <w:lang w:val="fr-FR"/>
        </w:rPr>
        <w:t>r</w:t>
      </w:r>
      <w:r w:rsidRPr="7F209AD0">
        <w:rPr>
          <w:rFonts w:ascii="Arial" w:hAnsi="Arial" w:cs="Arial"/>
          <w:i/>
          <w:iCs/>
          <w:lang w:val="fr-FR"/>
        </w:rPr>
        <w:t xml:space="preserve"> poursuivre le</w:t>
      </w:r>
      <w:r w:rsidR="00E66C36" w:rsidRPr="7F209AD0">
        <w:rPr>
          <w:rFonts w:ascii="Arial" w:hAnsi="Arial" w:cs="Arial"/>
          <w:i/>
          <w:iCs/>
          <w:lang w:val="fr-FR"/>
        </w:rPr>
        <w:t xml:space="preserve"> succès de notre entreprise. Je tiens à remercier chaleureusement Michael McGuinty pour sa grande contribution depuis la création de Technip Energies. »</w:t>
      </w:r>
    </w:p>
    <w:p w14:paraId="3D5D9C89" w14:textId="77777777" w:rsidR="00F25B19" w:rsidRPr="00D1176A" w:rsidRDefault="00F25B19" w:rsidP="00204A11">
      <w:pPr>
        <w:spacing w:after="0"/>
        <w:rPr>
          <w:rFonts w:ascii="Arial" w:hAnsi="Arial" w:cs="Arial"/>
          <w:b/>
          <w:szCs w:val="20"/>
          <w:lang w:val="fr-FR"/>
        </w:rPr>
      </w:pPr>
    </w:p>
    <w:p w14:paraId="4B4B15ED" w14:textId="77777777" w:rsidR="00F25B19" w:rsidRPr="00D1176A" w:rsidRDefault="00F25B19" w:rsidP="00204A11">
      <w:pPr>
        <w:spacing w:after="0"/>
        <w:rPr>
          <w:rFonts w:ascii="Arial" w:hAnsi="Arial" w:cs="Arial"/>
          <w:b/>
          <w:szCs w:val="20"/>
          <w:lang w:val="fr-FR"/>
        </w:rPr>
      </w:pPr>
      <w:r w:rsidRPr="00117545">
        <w:rPr>
          <w:rFonts w:ascii="Arial" w:hAnsi="Arial" w:cs="Arial"/>
          <w:noProof/>
          <w:color w:val="EE7766"/>
          <w:sz w:val="36"/>
          <w:szCs w:val="36"/>
          <w:shd w:val="clear" w:color="auto" w:fill="FFFFFF"/>
        </w:rPr>
        <mc:AlternateContent>
          <mc:Choice Requires="wps">
            <w:drawing>
              <wp:anchor distT="0" distB="0" distL="114300" distR="114300" simplePos="0" relativeHeight="251658240" behindDoc="0" locked="0" layoutInCell="1" allowOverlap="1" wp14:anchorId="18873938" wp14:editId="16AAE865">
                <wp:simplePos x="0" y="0"/>
                <wp:positionH relativeFrom="margin">
                  <wp:align>center</wp:align>
                </wp:positionH>
                <wp:positionV relativeFrom="paragraph">
                  <wp:posOffset>22783</wp:posOffset>
                </wp:positionV>
                <wp:extent cx="252000" cy="0"/>
                <wp:effectExtent l="19050" t="19050" r="34290" b="38100"/>
                <wp:wrapTopAndBottom/>
                <wp:docPr id="27"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000" cy="0"/>
                        </a:xfrm>
                        <a:prstGeom prst="line">
                          <a:avLst/>
                        </a:prstGeom>
                        <a:ln w="19050" cap="sq">
                          <a:gradFill>
                            <a:gsLst>
                              <a:gs pos="10000">
                                <a:srgbClr val="0070EF"/>
                              </a:gs>
                              <a:gs pos="88000">
                                <a:srgbClr val="80C7A0"/>
                              </a:gs>
                            </a:gsLst>
                            <a:lin ang="0" scaled="0"/>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7AC975A1">
              <v:line id="Connecteur droit 10" style="position:absolute;z-index:251663360;visibility:visible;mso-wrap-style:square;mso-wrap-distance-left:9pt;mso-wrap-distance-top:0;mso-wrap-distance-right:9pt;mso-wrap-distance-bottom:0;mso-position-horizontal:center;mso-position-horizontal-relative:margin;mso-position-vertical:absolute;mso-position-vertical-relative:text" o:spid="_x0000_s1026" strokeweight="1.5pt" from="0,1.8pt" to="19.85pt,1.8pt" w14:anchorId="3DCAB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">
                <v:stroke joinstyle="miter" endcap="square"/>
                <o:lock v:ext="edit" shapetype="f"/>
                <w10:wrap type="topAndBottom" anchorx="margin"/>
              </v:line>
            </w:pict>
          </mc:Fallback>
        </mc:AlternateContent>
      </w:r>
    </w:p>
    <w:p w14:paraId="1A94FCFE" w14:textId="77777777" w:rsidR="00682B72" w:rsidRDefault="00682B72" w:rsidP="00682B72">
      <w:pPr>
        <w:spacing w:after="0"/>
        <w:ind w:left="-90"/>
        <w:rPr>
          <w:rFonts w:ascii="Arial" w:hAnsi="Arial" w:cs="Arial"/>
          <w:b/>
          <w:noProof/>
          <w:color w:val="0070EF"/>
          <w:szCs w:val="32"/>
          <w:lang w:val="fr-FR"/>
        </w:rPr>
      </w:pPr>
      <w:bookmarkStart w:id="0" w:name="_Hlk64452181"/>
      <w:r>
        <w:rPr>
          <w:rFonts w:ascii="Arial" w:hAnsi="Arial" w:cs="Arial"/>
          <w:b/>
          <w:noProof/>
          <w:color w:val="0070EF"/>
          <w:szCs w:val="32"/>
          <w:lang w:val="fr-FR"/>
        </w:rPr>
        <w:t>À propos de</w:t>
      </w:r>
      <w:r w:rsidRPr="008636FB">
        <w:rPr>
          <w:rFonts w:ascii="Arial" w:hAnsi="Arial" w:cs="Arial"/>
          <w:b/>
          <w:noProof/>
          <w:color w:val="0070EF"/>
          <w:szCs w:val="32"/>
          <w:lang w:val="fr-FR"/>
        </w:rPr>
        <w:t xml:space="preserve"> Technip Energies</w:t>
      </w:r>
    </w:p>
    <w:p w14:paraId="71E9DB63" w14:textId="77777777" w:rsidR="006659AC" w:rsidRDefault="006659AC" w:rsidP="00C22879">
      <w:pPr>
        <w:spacing w:after="0"/>
        <w:ind w:left="-90"/>
        <w:jc w:val="both"/>
        <w:rPr>
          <w:rFonts w:ascii="Arial" w:hAnsi="Arial" w:cs="Arial"/>
          <w:szCs w:val="20"/>
          <w:lang w:val="fr-FR"/>
        </w:rPr>
      </w:pPr>
    </w:p>
    <w:bookmarkEnd w:id="0"/>
    <w:p w14:paraId="7576C231" w14:textId="7445A744" w:rsidR="000802E7" w:rsidRPr="000802E7" w:rsidRDefault="000802E7" w:rsidP="000802E7">
      <w:pPr>
        <w:spacing w:after="0"/>
        <w:ind w:left="-90"/>
        <w:jc w:val="both"/>
        <w:rPr>
          <w:rFonts w:ascii="Arial" w:hAnsi="Arial" w:cs="Arial"/>
          <w:szCs w:val="20"/>
          <w:lang w:val="fr-FR"/>
        </w:rPr>
      </w:pPr>
      <w:r w:rsidRPr="000802E7">
        <w:rPr>
          <w:rFonts w:ascii="Arial" w:hAnsi="Arial" w:cs="Arial"/>
          <w:szCs w:val="20"/>
          <w:lang w:val="fr-FR"/>
        </w:rPr>
        <w:t>Technip Energies est une entreprise de technologies et d’ingénierie de premier plan. Leader dans le GNL, l’hydrogène, l’éthylène, la chimie durable et la gestion du CO</w:t>
      </w:r>
      <w:r w:rsidRPr="000802E7">
        <w:rPr>
          <w:rFonts w:ascii="Arial" w:hAnsi="Arial" w:cs="Arial"/>
          <w:szCs w:val="20"/>
          <w:vertAlign w:val="subscript"/>
          <w:lang w:val="fr-FR"/>
        </w:rPr>
        <w:t>2</w:t>
      </w:r>
      <w:r w:rsidRPr="000802E7">
        <w:rPr>
          <w:rFonts w:ascii="Arial" w:hAnsi="Arial" w:cs="Arial"/>
          <w:szCs w:val="20"/>
          <w:lang w:val="fr-FR"/>
        </w:rPr>
        <w:t>, nous contribuons au développement de marchés stratégiques tels que l'énergie, les dérivés énergétiques, la décarbonation et la circularité. Nos segments d’activité complémentaires, Technologies, Produits et Services (TPS) et Livraison de Projet, transforment les innovations en réalité industrielle à grande échelle.</w:t>
      </w:r>
    </w:p>
    <w:p w14:paraId="6804CFD4" w14:textId="77777777" w:rsidR="000802E7" w:rsidRPr="000802E7" w:rsidRDefault="000802E7" w:rsidP="000802E7">
      <w:pPr>
        <w:spacing w:after="0"/>
        <w:ind w:left="-90"/>
        <w:jc w:val="both"/>
        <w:rPr>
          <w:rFonts w:ascii="Arial" w:hAnsi="Arial" w:cs="Arial"/>
          <w:szCs w:val="20"/>
          <w:lang w:val="fr-FR"/>
        </w:rPr>
      </w:pPr>
    </w:p>
    <w:p w14:paraId="1BA5E5F0" w14:textId="77777777" w:rsidR="000802E7" w:rsidRPr="000802E7" w:rsidRDefault="000802E7" w:rsidP="000802E7">
      <w:pPr>
        <w:spacing w:after="0"/>
        <w:ind w:left="-90"/>
        <w:jc w:val="both"/>
        <w:rPr>
          <w:rFonts w:ascii="Arial" w:hAnsi="Arial" w:cs="Arial"/>
          <w:szCs w:val="20"/>
          <w:lang w:val="fr-FR"/>
        </w:rPr>
      </w:pPr>
      <w:r w:rsidRPr="000802E7">
        <w:rPr>
          <w:rFonts w:ascii="Arial" w:hAnsi="Arial" w:cs="Arial"/>
          <w:szCs w:val="20"/>
          <w:lang w:val="fr-FR"/>
        </w:rPr>
        <w:t>Animés par des valeurs de collaboration et d’excellence dans l’exécution, plus de 17 000 collaborateurs dans 34 pays s'engagent pour allier prospérité et durabilité en faveur d’un monde conçu pour durer.</w:t>
      </w:r>
    </w:p>
    <w:p w14:paraId="4672ED92" w14:textId="77777777" w:rsidR="000802E7" w:rsidRPr="000802E7" w:rsidRDefault="000802E7" w:rsidP="000802E7">
      <w:pPr>
        <w:spacing w:after="0"/>
        <w:ind w:left="-90"/>
        <w:jc w:val="both"/>
        <w:rPr>
          <w:rFonts w:ascii="Arial" w:hAnsi="Arial" w:cs="Arial"/>
          <w:szCs w:val="20"/>
          <w:lang w:val="fr-FR"/>
        </w:rPr>
      </w:pPr>
    </w:p>
    <w:p w14:paraId="18BC7F9E" w14:textId="7B42049D" w:rsidR="00F74A0A" w:rsidRDefault="000802E7" w:rsidP="00F74A0A">
      <w:pPr>
        <w:ind w:left="-90"/>
        <w:jc w:val="both"/>
        <w:rPr>
          <w:rFonts w:ascii="Arial" w:hAnsi="Arial" w:cs="Arial"/>
          <w:szCs w:val="20"/>
          <w:lang w:val="fr-FR"/>
        </w:rPr>
      </w:pPr>
      <w:r w:rsidRPr="000802E7">
        <w:rPr>
          <w:rFonts w:ascii="Arial" w:hAnsi="Arial" w:cs="Arial"/>
          <w:szCs w:val="20"/>
          <w:lang w:val="fr-FR"/>
        </w:rPr>
        <w:t>Technip Energies a généré un chiffre d'affaires de 6</w:t>
      </w:r>
      <w:r w:rsidR="000B655F">
        <w:rPr>
          <w:rFonts w:ascii="Arial" w:hAnsi="Arial" w:cs="Arial"/>
          <w:szCs w:val="20"/>
          <w:lang w:val="fr-FR"/>
        </w:rPr>
        <w:t>,</w:t>
      </w:r>
      <w:r w:rsidR="00EC660A">
        <w:rPr>
          <w:rFonts w:ascii="Arial" w:hAnsi="Arial" w:cs="Arial"/>
          <w:szCs w:val="20"/>
          <w:lang w:val="fr-FR"/>
        </w:rPr>
        <w:t>9</w:t>
      </w:r>
      <w:r w:rsidRPr="000802E7">
        <w:rPr>
          <w:rFonts w:ascii="Arial" w:hAnsi="Arial" w:cs="Arial"/>
          <w:szCs w:val="20"/>
          <w:lang w:val="fr-FR"/>
        </w:rPr>
        <w:t xml:space="preserve"> milliards d'euros en 202</w:t>
      </w:r>
      <w:r w:rsidR="00EC660A">
        <w:rPr>
          <w:rFonts w:ascii="Arial" w:hAnsi="Arial" w:cs="Arial"/>
          <w:szCs w:val="20"/>
          <w:lang w:val="fr-FR"/>
        </w:rPr>
        <w:t>4</w:t>
      </w:r>
      <w:r w:rsidRPr="000802E7">
        <w:rPr>
          <w:rFonts w:ascii="Arial" w:hAnsi="Arial" w:cs="Arial"/>
          <w:szCs w:val="20"/>
          <w:lang w:val="fr-FR"/>
        </w:rPr>
        <w:t xml:space="preserve"> et est cotée sur Euronext Paris. La société possède également des American </w:t>
      </w:r>
      <w:proofErr w:type="spellStart"/>
      <w:r w:rsidRPr="000802E7">
        <w:rPr>
          <w:rFonts w:ascii="Arial" w:hAnsi="Arial" w:cs="Arial"/>
          <w:szCs w:val="20"/>
          <w:lang w:val="fr-FR"/>
        </w:rPr>
        <w:t>Depositary</w:t>
      </w:r>
      <w:proofErr w:type="spellEnd"/>
      <w:r w:rsidRPr="000802E7">
        <w:rPr>
          <w:rFonts w:ascii="Arial" w:hAnsi="Arial" w:cs="Arial"/>
          <w:szCs w:val="20"/>
          <w:lang w:val="fr-FR"/>
        </w:rPr>
        <w:t xml:space="preserve"> </w:t>
      </w:r>
      <w:proofErr w:type="spellStart"/>
      <w:r w:rsidRPr="000802E7">
        <w:rPr>
          <w:rFonts w:ascii="Arial" w:hAnsi="Arial" w:cs="Arial"/>
          <w:szCs w:val="20"/>
          <w:lang w:val="fr-FR"/>
        </w:rPr>
        <w:t>Receipts</w:t>
      </w:r>
      <w:proofErr w:type="spellEnd"/>
      <w:r w:rsidRPr="000802E7">
        <w:rPr>
          <w:rFonts w:ascii="Arial" w:hAnsi="Arial" w:cs="Arial"/>
          <w:szCs w:val="20"/>
          <w:lang w:val="fr-FR"/>
        </w:rPr>
        <w:t xml:space="preserve"> négociés de gré à gré. </w:t>
      </w:r>
    </w:p>
    <w:p w14:paraId="3FCA9CFE" w14:textId="2B87EDDA" w:rsidR="006659AC" w:rsidRDefault="000802E7" w:rsidP="000802E7">
      <w:pPr>
        <w:spacing w:after="0"/>
        <w:ind w:left="-90"/>
        <w:jc w:val="both"/>
        <w:rPr>
          <w:rFonts w:ascii="Arial" w:hAnsi="Arial" w:cs="Arial"/>
          <w:szCs w:val="20"/>
          <w:lang w:val="fr-FR"/>
        </w:rPr>
      </w:pPr>
      <w:r w:rsidRPr="000802E7">
        <w:rPr>
          <w:rFonts w:ascii="Arial" w:hAnsi="Arial" w:cs="Arial"/>
          <w:szCs w:val="20"/>
          <w:lang w:val="fr-FR"/>
        </w:rPr>
        <w:t xml:space="preserve">Pour plus d'informations : </w:t>
      </w:r>
      <w:hyperlink r:id="rId11" w:history="1">
        <w:r w:rsidRPr="007065B1">
          <w:rPr>
            <w:rStyle w:val="Hyperlink"/>
            <w:rFonts w:ascii="Arial" w:hAnsi="Arial" w:cs="Arial"/>
            <w:szCs w:val="20"/>
            <w:lang w:val="fr-FR"/>
          </w:rPr>
          <w:t>www.ten.com</w:t>
        </w:r>
      </w:hyperlink>
    </w:p>
    <w:p w14:paraId="5872E405" w14:textId="77777777" w:rsidR="000802E7" w:rsidRDefault="000802E7" w:rsidP="000802E7">
      <w:pPr>
        <w:spacing w:after="0"/>
        <w:ind w:left="-90"/>
        <w:jc w:val="both"/>
        <w:rPr>
          <w:rFonts w:ascii="Arial" w:hAnsi="Arial" w:cs="Arial"/>
          <w:szCs w:val="20"/>
          <w:lang w:val="fr-FR"/>
        </w:rPr>
      </w:pPr>
    </w:p>
    <w:p w14:paraId="6F71D2F0" w14:textId="329C4185" w:rsidR="006659AC" w:rsidRPr="006659AC" w:rsidRDefault="006659AC" w:rsidP="006659AC">
      <w:pPr>
        <w:spacing w:after="0"/>
        <w:ind w:left="-90"/>
        <w:jc w:val="both"/>
        <w:rPr>
          <w:rFonts w:ascii="Arial" w:hAnsi="Arial" w:cs="Arial"/>
          <w:szCs w:val="20"/>
          <w:lang w:val="fr-FR"/>
        </w:rPr>
      </w:pPr>
      <w:r w:rsidRPr="00842F43">
        <w:rPr>
          <w:rFonts w:ascii="Arial" w:hAnsi="Arial" w:cs="Arial"/>
          <w:noProof/>
          <w:color w:val="EE7766"/>
          <w:sz w:val="36"/>
          <w:szCs w:val="36"/>
          <w:shd w:val="clear" w:color="auto" w:fill="FFFFFF"/>
        </w:rPr>
        <mc:AlternateContent>
          <mc:Choice Requires="wps">
            <w:drawing>
              <wp:anchor distT="0" distB="0" distL="114300" distR="114300" simplePos="0" relativeHeight="251658242" behindDoc="0" locked="0" layoutInCell="1" allowOverlap="1" wp14:anchorId="73FACD79" wp14:editId="77A9916A">
                <wp:simplePos x="0" y="0"/>
                <wp:positionH relativeFrom="margin">
                  <wp:align>center</wp:align>
                </wp:positionH>
                <wp:positionV relativeFrom="paragraph">
                  <wp:posOffset>95885</wp:posOffset>
                </wp:positionV>
                <wp:extent cx="251460" cy="0"/>
                <wp:effectExtent l="19050" t="19050" r="34290" b="38100"/>
                <wp:wrapTopAndBottom/>
                <wp:docPr id="28"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1460" cy="0"/>
                        </a:xfrm>
                        <a:prstGeom prst="line">
                          <a:avLst/>
                        </a:prstGeom>
                        <a:ln w="19050" cap="sq">
                          <a:gradFill>
                            <a:gsLst>
                              <a:gs pos="10000">
                                <a:srgbClr val="0070EF"/>
                              </a:gs>
                              <a:gs pos="88000">
                                <a:srgbClr val="80C7A0"/>
                              </a:gs>
                            </a:gsLst>
                            <a:lin ang="0" scaled="0"/>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43527483">
              <v:line id="Connecteur droit 10" style="position:absolute;z-index:251667456;visibility:visible;mso-wrap-style:square;mso-wrap-distance-left:9pt;mso-wrap-distance-top:0;mso-wrap-distance-right:9pt;mso-wrap-distance-bottom:0;mso-position-horizontal:center;mso-position-horizontal-relative:margin;mso-position-vertical:absolute;mso-position-vertical-relative:text" o:spid="_x0000_s1026" strokeweight="1.5pt" from="0,7.55pt" to="19.8pt,7.55pt" w14:anchorId="165FD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">
                <v:stroke joinstyle="miter" endcap="square"/>
                <o:lock v:ext="edit" shapetype="f"/>
                <w10:wrap type="topAndBottom" anchorx="margin"/>
              </v:line>
            </w:pict>
          </mc:Fallback>
        </mc:AlternateContent>
      </w:r>
    </w:p>
    <w:p w14:paraId="5DB683C0" w14:textId="452E6A9E" w:rsidR="006659AC" w:rsidRDefault="006659AC" w:rsidP="006659AC">
      <w:pPr>
        <w:spacing w:after="0"/>
        <w:ind w:left="-90"/>
        <w:rPr>
          <w:rFonts w:ascii="Arial" w:hAnsi="Arial" w:cs="Arial"/>
          <w:b/>
          <w:noProof/>
          <w:color w:val="0070EF"/>
          <w:szCs w:val="32"/>
          <w:lang w:val="fr-FR"/>
        </w:rPr>
      </w:pPr>
      <w:bookmarkStart w:id="1" w:name="_Hlk163236846"/>
      <w:r w:rsidRPr="006659AC">
        <w:rPr>
          <w:rFonts w:ascii="Arial" w:hAnsi="Arial" w:cs="Arial"/>
          <w:b/>
          <w:noProof/>
          <w:color w:val="0070EF"/>
          <w:szCs w:val="32"/>
          <w:lang w:val="fr-FR"/>
        </w:rPr>
        <w:t>Contacts</w:t>
      </w:r>
    </w:p>
    <w:p w14:paraId="2ED97C93" w14:textId="77777777" w:rsidR="006659AC" w:rsidRPr="006659AC" w:rsidRDefault="006659AC" w:rsidP="006659AC">
      <w:pPr>
        <w:spacing w:after="0"/>
        <w:ind w:left="-90"/>
        <w:rPr>
          <w:rFonts w:ascii="Arial" w:hAnsi="Arial" w:cs="Arial"/>
          <w:b/>
          <w:noProof/>
          <w:color w:val="0070EF"/>
          <w:szCs w:val="32"/>
          <w:lang w:val="fr-FR"/>
        </w:rPr>
      </w:pPr>
    </w:p>
    <w:p w14:paraId="37FF8398" w14:textId="315B3FB2" w:rsidR="006659AC" w:rsidRPr="006659AC" w:rsidRDefault="006659AC" w:rsidP="006659AC">
      <w:pPr>
        <w:spacing w:after="0"/>
        <w:ind w:left="-90"/>
        <w:jc w:val="both"/>
        <w:rPr>
          <w:rFonts w:ascii="Arial" w:hAnsi="Arial" w:cs="Arial"/>
          <w:b/>
          <w:bCs/>
          <w:szCs w:val="20"/>
          <w:lang w:val="fr-FR"/>
        </w:rPr>
      </w:pPr>
      <w:bookmarkStart w:id="2" w:name="_Hlk501738504"/>
      <w:r w:rsidRPr="006659AC">
        <w:rPr>
          <w:rFonts w:ascii="Arial" w:hAnsi="Arial" w:cs="Arial"/>
          <w:b/>
          <w:bCs/>
          <w:szCs w:val="20"/>
          <w:lang w:val="fr-FR"/>
        </w:rPr>
        <w:t>Relations investisseurs</w:t>
      </w:r>
      <w:bookmarkEnd w:id="2"/>
      <w:r>
        <w:rPr>
          <w:rFonts w:ascii="Arial" w:hAnsi="Arial" w:cs="Arial"/>
          <w:b/>
          <w:bCs/>
          <w:szCs w:val="20"/>
          <w:lang w:val="fr-FR"/>
        </w:rPr>
        <w:tab/>
      </w:r>
      <w:r>
        <w:rPr>
          <w:rFonts w:ascii="Arial" w:hAnsi="Arial" w:cs="Arial"/>
          <w:b/>
          <w:bCs/>
          <w:szCs w:val="20"/>
          <w:lang w:val="fr-FR"/>
        </w:rPr>
        <w:tab/>
      </w:r>
      <w:r>
        <w:rPr>
          <w:rFonts w:ascii="Arial" w:hAnsi="Arial" w:cs="Arial"/>
          <w:b/>
          <w:bCs/>
          <w:szCs w:val="20"/>
          <w:lang w:val="fr-FR"/>
        </w:rPr>
        <w:tab/>
        <w:t>Relations médias</w:t>
      </w:r>
    </w:p>
    <w:p w14:paraId="17B9BF0E" w14:textId="6D0CFDDF" w:rsidR="006659AC" w:rsidRPr="006659AC" w:rsidRDefault="006659AC" w:rsidP="006659AC">
      <w:pPr>
        <w:spacing w:after="0"/>
        <w:ind w:left="-90"/>
        <w:jc w:val="both"/>
        <w:rPr>
          <w:rFonts w:ascii="Arial" w:hAnsi="Arial" w:cs="Arial"/>
          <w:sz w:val="20"/>
          <w:szCs w:val="18"/>
          <w:lang w:val="fr-FR"/>
        </w:rPr>
      </w:pPr>
      <w:r w:rsidRPr="006659AC">
        <w:rPr>
          <w:rFonts w:ascii="Arial" w:hAnsi="Arial" w:cs="Arial"/>
          <w:sz w:val="20"/>
          <w:szCs w:val="18"/>
          <w:lang w:val="fr-FR"/>
        </w:rPr>
        <w:t>Phil</w:t>
      </w:r>
      <w:r w:rsidR="003131DB">
        <w:rPr>
          <w:rFonts w:ascii="Arial" w:hAnsi="Arial" w:cs="Arial"/>
          <w:sz w:val="20"/>
          <w:szCs w:val="18"/>
          <w:lang w:val="fr-FR"/>
        </w:rPr>
        <w:t>lip</w:t>
      </w:r>
      <w:r w:rsidRPr="006659AC">
        <w:rPr>
          <w:rFonts w:ascii="Arial" w:hAnsi="Arial" w:cs="Arial"/>
          <w:sz w:val="20"/>
          <w:szCs w:val="18"/>
          <w:lang w:val="fr-FR"/>
        </w:rPr>
        <w:t xml:space="preserve"> Lindsay</w:t>
      </w:r>
      <w:r w:rsidRPr="006659AC">
        <w:rPr>
          <w:rFonts w:ascii="Arial" w:hAnsi="Arial" w:cs="Arial"/>
          <w:sz w:val="20"/>
          <w:szCs w:val="18"/>
          <w:lang w:val="fr-FR"/>
        </w:rPr>
        <w:tab/>
      </w:r>
      <w:r w:rsidRPr="006659AC">
        <w:rPr>
          <w:rFonts w:ascii="Arial" w:hAnsi="Arial" w:cs="Arial"/>
          <w:sz w:val="20"/>
          <w:szCs w:val="18"/>
          <w:lang w:val="fr-FR"/>
        </w:rPr>
        <w:tab/>
      </w:r>
      <w:r w:rsidRPr="006659AC">
        <w:rPr>
          <w:rFonts w:ascii="Arial" w:hAnsi="Arial" w:cs="Arial"/>
          <w:sz w:val="20"/>
          <w:szCs w:val="18"/>
          <w:lang w:val="fr-FR"/>
        </w:rPr>
        <w:tab/>
      </w:r>
      <w:r w:rsidRPr="006659AC">
        <w:rPr>
          <w:rFonts w:ascii="Arial" w:hAnsi="Arial" w:cs="Arial"/>
          <w:sz w:val="20"/>
          <w:szCs w:val="18"/>
          <w:lang w:val="fr-FR"/>
        </w:rPr>
        <w:tab/>
      </w:r>
      <w:r w:rsidRPr="006659AC">
        <w:rPr>
          <w:rFonts w:ascii="Arial" w:hAnsi="Arial" w:cs="Arial"/>
          <w:sz w:val="20"/>
          <w:szCs w:val="18"/>
          <w:lang w:val="fr-FR"/>
        </w:rPr>
        <w:tab/>
        <w:t>Jason Hyonne</w:t>
      </w:r>
    </w:p>
    <w:p w14:paraId="5BDCC303" w14:textId="38B63215" w:rsidR="006659AC" w:rsidRPr="006659AC" w:rsidRDefault="006659AC" w:rsidP="006659AC">
      <w:pPr>
        <w:spacing w:after="0"/>
        <w:ind w:left="-90"/>
        <w:jc w:val="both"/>
        <w:rPr>
          <w:rFonts w:ascii="Arial" w:hAnsi="Arial" w:cs="Arial"/>
          <w:sz w:val="20"/>
          <w:szCs w:val="18"/>
          <w:lang w:val="fr-FR"/>
        </w:rPr>
      </w:pPr>
      <w:r w:rsidRPr="006659AC">
        <w:rPr>
          <w:rFonts w:ascii="Arial" w:hAnsi="Arial" w:cs="Arial"/>
          <w:sz w:val="20"/>
          <w:szCs w:val="18"/>
          <w:lang w:val="fr-FR"/>
        </w:rPr>
        <w:t>Vice-président Relations Investisseurs</w:t>
      </w:r>
      <w:r w:rsidRPr="006659AC">
        <w:rPr>
          <w:rFonts w:ascii="Arial" w:hAnsi="Arial" w:cs="Arial"/>
          <w:sz w:val="20"/>
          <w:szCs w:val="18"/>
          <w:lang w:val="fr-FR"/>
        </w:rPr>
        <w:tab/>
      </w:r>
      <w:r>
        <w:rPr>
          <w:rFonts w:ascii="Arial" w:hAnsi="Arial" w:cs="Arial"/>
          <w:sz w:val="20"/>
          <w:szCs w:val="18"/>
          <w:lang w:val="fr-FR"/>
        </w:rPr>
        <w:tab/>
      </w:r>
      <w:r w:rsidRPr="006659AC">
        <w:rPr>
          <w:rFonts w:ascii="Arial" w:hAnsi="Arial" w:cs="Arial"/>
          <w:sz w:val="20"/>
          <w:szCs w:val="18"/>
          <w:lang w:val="fr-FR"/>
        </w:rPr>
        <w:t>Responsable Relations presse &amp; Réseaux sociaux</w:t>
      </w:r>
    </w:p>
    <w:p w14:paraId="31CE78B0" w14:textId="0B376CD8" w:rsidR="006659AC" w:rsidRPr="006659AC" w:rsidRDefault="006659AC" w:rsidP="006659AC">
      <w:pPr>
        <w:spacing w:after="0"/>
        <w:ind w:left="-90"/>
        <w:jc w:val="both"/>
        <w:rPr>
          <w:rFonts w:ascii="Arial" w:hAnsi="Arial" w:cs="Arial"/>
          <w:sz w:val="20"/>
          <w:szCs w:val="18"/>
        </w:rPr>
      </w:pPr>
      <w:r w:rsidRPr="006659AC">
        <w:rPr>
          <w:rFonts w:ascii="Arial" w:hAnsi="Arial" w:cs="Arial"/>
          <w:sz w:val="20"/>
          <w:szCs w:val="18"/>
        </w:rPr>
        <w:t>Tel: +44 207 585 5051</w:t>
      </w:r>
      <w:r w:rsidRPr="006659AC">
        <w:rPr>
          <w:rFonts w:ascii="Arial" w:hAnsi="Arial" w:cs="Arial"/>
          <w:sz w:val="20"/>
          <w:szCs w:val="18"/>
        </w:rPr>
        <w:tab/>
      </w:r>
      <w:r w:rsidRPr="006659AC">
        <w:rPr>
          <w:rFonts w:ascii="Arial" w:hAnsi="Arial" w:cs="Arial"/>
          <w:sz w:val="20"/>
          <w:szCs w:val="18"/>
        </w:rPr>
        <w:tab/>
      </w:r>
      <w:r w:rsidRPr="006659AC">
        <w:rPr>
          <w:rFonts w:ascii="Arial" w:hAnsi="Arial" w:cs="Arial"/>
          <w:sz w:val="20"/>
          <w:szCs w:val="18"/>
        </w:rPr>
        <w:tab/>
      </w:r>
      <w:r w:rsidRPr="006659AC">
        <w:rPr>
          <w:rFonts w:ascii="Arial" w:hAnsi="Arial" w:cs="Arial"/>
          <w:sz w:val="20"/>
          <w:szCs w:val="18"/>
        </w:rPr>
        <w:tab/>
      </w:r>
      <w:r w:rsidRPr="006659AC">
        <w:rPr>
          <w:rFonts w:ascii="Arial" w:hAnsi="Arial" w:cs="Arial"/>
          <w:color w:val="000000"/>
          <w:sz w:val="20"/>
          <w:shd w:val="clear" w:color="auto" w:fill="FFFFFF"/>
        </w:rPr>
        <w:t>Tel: +33 1 47 78 22 89</w:t>
      </w:r>
    </w:p>
    <w:p w14:paraId="4578A845" w14:textId="3BBB7FC1" w:rsidR="006659AC" w:rsidRDefault="006659AC" w:rsidP="006659AC">
      <w:pPr>
        <w:spacing w:after="0"/>
        <w:ind w:left="-90"/>
        <w:jc w:val="both"/>
        <w:rPr>
          <w:rFonts w:ascii="Arial" w:hAnsi="Arial" w:cs="Arial"/>
          <w:sz w:val="20"/>
          <w:szCs w:val="18"/>
        </w:rPr>
      </w:pPr>
      <w:r w:rsidRPr="006659AC">
        <w:rPr>
          <w:rFonts w:ascii="Arial" w:hAnsi="Arial" w:cs="Arial"/>
          <w:sz w:val="20"/>
          <w:szCs w:val="18"/>
        </w:rPr>
        <w:t xml:space="preserve">Email: </w:t>
      </w:r>
      <w:hyperlink r:id="rId12" w:history="1">
        <w:r w:rsidRPr="003131DB">
          <w:rPr>
            <w:rStyle w:val="Hyperlink"/>
            <w:rFonts w:ascii="Arial" w:hAnsi="Arial" w:cs="Arial"/>
            <w:sz w:val="20"/>
            <w:szCs w:val="20"/>
            <w:shd w:val="clear" w:color="auto" w:fill="FFFFFF"/>
          </w:rPr>
          <w:t>Phillip Lindsay</w:t>
        </w:r>
      </w:hyperlink>
      <w:r w:rsidRPr="003131DB">
        <w:rPr>
          <w:sz w:val="18"/>
          <w:szCs w:val="16"/>
        </w:rPr>
        <w:tab/>
      </w:r>
      <w:r w:rsidRPr="006659AC">
        <w:rPr>
          <w:sz w:val="20"/>
          <w:szCs w:val="18"/>
        </w:rPr>
        <w:tab/>
      </w:r>
      <w:r w:rsidRPr="006659AC">
        <w:rPr>
          <w:sz w:val="20"/>
          <w:szCs w:val="18"/>
        </w:rPr>
        <w:tab/>
      </w:r>
      <w:r w:rsidRPr="006659AC">
        <w:rPr>
          <w:sz w:val="20"/>
          <w:szCs w:val="18"/>
        </w:rPr>
        <w:tab/>
      </w:r>
      <w:r w:rsidRPr="006659AC">
        <w:rPr>
          <w:rFonts w:ascii="Arial" w:hAnsi="Arial" w:cs="Arial"/>
          <w:color w:val="000000"/>
          <w:sz w:val="20"/>
          <w:shd w:val="clear" w:color="auto" w:fill="FFFFFF"/>
        </w:rPr>
        <w:t>Email</w:t>
      </w:r>
      <w:r>
        <w:rPr>
          <w:rFonts w:ascii="Arial" w:hAnsi="Arial" w:cs="Arial"/>
          <w:color w:val="000000"/>
          <w:sz w:val="20"/>
          <w:shd w:val="clear" w:color="auto" w:fill="FFFFFF"/>
        </w:rPr>
        <w:t>:</w:t>
      </w:r>
      <w:r w:rsidRPr="006659AC">
        <w:rPr>
          <w:rFonts w:ascii="Arial" w:hAnsi="Arial" w:cs="Arial"/>
          <w:color w:val="000000"/>
          <w:sz w:val="20"/>
          <w:shd w:val="clear" w:color="auto" w:fill="FFFFFF"/>
        </w:rPr>
        <w:t> </w:t>
      </w:r>
      <w:hyperlink r:id="rId13" w:history="1">
        <w:r w:rsidRPr="006659AC">
          <w:rPr>
            <w:rStyle w:val="Hyperlink"/>
            <w:rFonts w:ascii="Arial" w:hAnsi="Arial" w:cs="Arial"/>
            <w:sz w:val="20"/>
            <w:shd w:val="clear" w:color="auto" w:fill="FFFFFF"/>
          </w:rPr>
          <w:t>Jason Hyonne</w:t>
        </w:r>
      </w:hyperlink>
    </w:p>
    <w:bookmarkEnd w:id="1"/>
    <w:p w14:paraId="77024A72" w14:textId="4185CF90" w:rsidR="006659AC" w:rsidRPr="006659AC" w:rsidRDefault="00682B72" w:rsidP="006659AC">
      <w:pPr>
        <w:spacing w:after="0"/>
        <w:ind w:left="-90"/>
        <w:jc w:val="both"/>
        <w:rPr>
          <w:rFonts w:ascii="Arial" w:hAnsi="Arial" w:cs="Arial"/>
          <w:sz w:val="20"/>
          <w:szCs w:val="18"/>
        </w:rPr>
      </w:pPr>
      <w:r w:rsidRPr="00842F43">
        <w:rPr>
          <w:rFonts w:ascii="Arial" w:hAnsi="Arial" w:cs="Arial"/>
          <w:noProof/>
          <w:color w:val="EE7766"/>
          <w:sz w:val="36"/>
          <w:szCs w:val="36"/>
          <w:shd w:val="clear" w:color="auto" w:fill="FFFFFF"/>
        </w:rPr>
        <mc:AlternateContent>
          <mc:Choice Requires="wps">
            <w:drawing>
              <wp:anchor distT="0" distB="0" distL="114300" distR="114300" simplePos="0" relativeHeight="251658241" behindDoc="0" locked="0" layoutInCell="1" allowOverlap="1" wp14:anchorId="35A2365F" wp14:editId="409B0B19">
                <wp:simplePos x="0" y="0"/>
                <wp:positionH relativeFrom="margin">
                  <wp:align>center</wp:align>
                </wp:positionH>
                <wp:positionV relativeFrom="paragraph">
                  <wp:posOffset>267970</wp:posOffset>
                </wp:positionV>
                <wp:extent cx="252000" cy="0"/>
                <wp:effectExtent l="19050" t="19050" r="34290" b="38100"/>
                <wp:wrapTopAndBottom/>
                <wp:docPr id="2"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000" cy="0"/>
                        </a:xfrm>
                        <a:prstGeom prst="line">
                          <a:avLst/>
                        </a:prstGeom>
                        <a:ln w="19050" cap="sq">
                          <a:gradFill>
                            <a:gsLst>
                              <a:gs pos="10000">
                                <a:srgbClr val="0070EF"/>
                              </a:gs>
                              <a:gs pos="88000">
                                <a:srgbClr val="80C7A0"/>
                              </a:gs>
                            </a:gsLst>
                            <a:lin ang="0" scaled="0"/>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7A4A1755">
              <v:line id="Connecteur droit 10" style="position:absolute;z-index:251665408;visibility:visible;mso-wrap-style:square;mso-wrap-distance-left:9pt;mso-wrap-distance-top:0;mso-wrap-distance-right:9pt;mso-wrap-distance-bottom:0;mso-position-horizontal:center;mso-position-horizontal-relative:margin;mso-position-vertical:absolute;mso-position-vertical-relative:text" o:spid="_x0000_s1026" strokeweight="1.5pt" from="0,21.1pt" to="19.85pt,21.1pt" w14:anchorId="7635E2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">
                <v:stroke joinstyle="miter" endcap="square"/>
                <o:lock v:ext="edit" shapetype="f"/>
                <w10:wrap type="topAndBottom" anchorx="margin"/>
              </v:line>
            </w:pict>
          </mc:Fallback>
        </mc:AlternateContent>
      </w:r>
    </w:p>
    <w:p w14:paraId="40AA3C15" w14:textId="77777777" w:rsidR="006659AC" w:rsidRPr="005F5280" w:rsidRDefault="006659AC" w:rsidP="006659AC">
      <w:pPr>
        <w:spacing w:after="0"/>
        <w:ind w:left="-90"/>
        <w:jc w:val="both"/>
        <w:rPr>
          <w:rFonts w:ascii="Arial" w:hAnsi="Arial" w:cs="Arial"/>
          <w:szCs w:val="20"/>
        </w:rPr>
      </w:pPr>
    </w:p>
    <w:p w14:paraId="4A1F4D7F" w14:textId="36B67C98" w:rsidR="006659AC" w:rsidRPr="006659AC" w:rsidRDefault="006659AC" w:rsidP="006659AC">
      <w:pPr>
        <w:spacing w:after="0"/>
        <w:ind w:left="-90"/>
        <w:rPr>
          <w:rFonts w:ascii="Arial" w:hAnsi="Arial" w:cs="Arial"/>
          <w:b/>
          <w:noProof/>
          <w:color w:val="0070EF"/>
          <w:szCs w:val="32"/>
          <w:lang w:val="fr-FR"/>
        </w:rPr>
      </w:pPr>
      <w:r w:rsidRPr="006659AC">
        <w:rPr>
          <w:rFonts w:ascii="Arial" w:hAnsi="Arial" w:cs="Arial"/>
          <w:b/>
          <w:noProof/>
          <w:color w:val="0070EF"/>
          <w:szCs w:val="32"/>
          <w:lang w:val="fr-FR"/>
        </w:rPr>
        <w:t>Information importante pour les investisseurs et les actionnaires</w:t>
      </w:r>
    </w:p>
    <w:p w14:paraId="7180C3BA" w14:textId="77777777" w:rsidR="006659AC" w:rsidRDefault="006659AC" w:rsidP="006659AC">
      <w:pPr>
        <w:spacing w:after="0"/>
        <w:ind w:left="-90"/>
        <w:jc w:val="both"/>
        <w:rPr>
          <w:rFonts w:ascii="Arial" w:hAnsi="Arial" w:cs="Arial"/>
          <w:i/>
          <w:iCs/>
          <w:noProof/>
          <w:sz w:val="20"/>
          <w:szCs w:val="28"/>
          <w:lang w:val="fr-FR"/>
        </w:rPr>
      </w:pPr>
    </w:p>
    <w:p w14:paraId="4B787991" w14:textId="21EB8D1E" w:rsidR="0093285D" w:rsidRPr="00FE47D8" w:rsidRDefault="006659AC" w:rsidP="0093285D">
      <w:pPr>
        <w:spacing w:after="0"/>
        <w:ind w:left="-90"/>
        <w:jc w:val="both"/>
        <w:rPr>
          <w:rFonts w:ascii="Arial" w:hAnsi="Arial" w:cs="Arial"/>
          <w:i/>
          <w:iCs/>
          <w:noProof/>
          <w:sz w:val="20"/>
          <w:szCs w:val="28"/>
          <w:lang w:val="fr-FR"/>
        </w:rPr>
      </w:pPr>
      <w:r w:rsidRPr="00FE47D8">
        <w:rPr>
          <w:rFonts w:ascii="Arial" w:hAnsi="Arial" w:cs="Arial"/>
          <w:i/>
          <w:iCs/>
          <w:noProof/>
          <w:sz w:val="20"/>
          <w:szCs w:val="28"/>
          <w:lang w:val="fr-FR"/>
        </w:rPr>
        <w:t>Déclarations prospectives</w:t>
      </w:r>
    </w:p>
    <w:p w14:paraId="66B1DF23" w14:textId="77777777" w:rsidR="00D23372" w:rsidRDefault="00D23372" w:rsidP="00C21D21">
      <w:pPr>
        <w:spacing w:after="0"/>
        <w:jc w:val="both"/>
        <w:rPr>
          <w:rFonts w:ascii="Arial" w:hAnsi="Arial" w:cs="Arial"/>
          <w:i/>
          <w:iCs/>
          <w:noProof/>
          <w:sz w:val="20"/>
          <w:szCs w:val="28"/>
          <w:lang w:val="fr-FR"/>
        </w:rPr>
      </w:pPr>
    </w:p>
    <w:p w14:paraId="77DA0C83" w14:textId="77777777" w:rsidR="00D23372" w:rsidRPr="00D23372" w:rsidRDefault="00D23372" w:rsidP="00D23372">
      <w:pPr>
        <w:spacing w:after="0"/>
        <w:ind w:left="-90"/>
        <w:jc w:val="both"/>
        <w:rPr>
          <w:rFonts w:ascii="Arial" w:hAnsi="Arial" w:cs="Arial"/>
          <w:i/>
          <w:iCs/>
          <w:noProof/>
          <w:sz w:val="20"/>
          <w:szCs w:val="28"/>
          <w:lang w:val="fr-FR"/>
        </w:rPr>
      </w:pPr>
      <w:r w:rsidRPr="00D23372">
        <w:rPr>
          <w:rFonts w:ascii="Arial" w:hAnsi="Arial" w:cs="Arial"/>
          <w:i/>
          <w:iCs/>
          <w:noProof/>
          <w:sz w:val="20"/>
          <w:szCs w:val="28"/>
          <w:lang w:val="fr-FR"/>
        </w:rPr>
        <w:t xml:space="preserve">Le présent communiqué de presse contient des déclarations prospectives qui reflètent les intentions, les convictions ou les attentes et projections actuelles de Technip Energies (la « </w:t>
      </w:r>
      <w:r w:rsidRPr="00C21D21">
        <w:rPr>
          <w:rFonts w:ascii="Arial" w:hAnsi="Arial" w:cs="Arial"/>
          <w:b/>
          <w:bCs/>
          <w:i/>
          <w:iCs/>
          <w:noProof/>
          <w:sz w:val="20"/>
          <w:szCs w:val="28"/>
          <w:lang w:val="fr-FR"/>
        </w:rPr>
        <w:t xml:space="preserve">Société </w:t>
      </w:r>
      <w:r w:rsidRPr="00D23372">
        <w:rPr>
          <w:rFonts w:ascii="Arial" w:hAnsi="Arial" w:cs="Arial"/>
          <w:i/>
          <w:iCs/>
          <w:noProof/>
          <w:sz w:val="20"/>
          <w:szCs w:val="28"/>
          <w:lang w:val="fr-FR"/>
        </w:rPr>
        <w:t>») concernant les résultats d’exploitation futurs de la Société, les revenus anticipés, les bénéfices, les flux de trésorerie, la situation financière, la liquidité, la performance, les perspectives, la croissance anticipée, les stratégies et les opportunités, ainsi que les marchés sur lesquels la Société opère. Les déclarations prospectives sont souvent identifiées par les mots « croire », « s’attendre à », « anticiper », « planifier », « avoir l’intention », « prévoir », « devrait », « pourrait », « peut », « estimer », « perspectives », et des expressions similaires, y compris la forme négative de celles-ci. L’absence de ces mots ne signifie toutefois pas que les déclarations ne sont pas prospectives. Ces déclarations prospectives sont basées sur les attentes, convictions et hypothèses actuelles de la Société concernant les développements et conditions commerciales futurs et leur effet potentiel sur la Société. Bien que la Société estime que ces déclarations prospectives sont raisonnables au moment où elles sont émises, il n’y a aucune garantie que les développements futurs affectant la Société seront ceux que la Société anticipe.</w:t>
      </w:r>
    </w:p>
    <w:p w14:paraId="031EF986" w14:textId="77777777" w:rsidR="00D23372" w:rsidRPr="00D23372" w:rsidRDefault="00D23372" w:rsidP="00D23372">
      <w:pPr>
        <w:spacing w:after="0"/>
        <w:ind w:left="-90"/>
        <w:jc w:val="both"/>
        <w:rPr>
          <w:rFonts w:ascii="Arial" w:hAnsi="Arial" w:cs="Arial"/>
          <w:i/>
          <w:iCs/>
          <w:noProof/>
          <w:sz w:val="20"/>
          <w:szCs w:val="28"/>
          <w:lang w:val="fr-FR"/>
        </w:rPr>
      </w:pPr>
    </w:p>
    <w:p w14:paraId="56574DF0" w14:textId="77777777" w:rsidR="00D23372" w:rsidRPr="00D23372" w:rsidRDefault="00D23372" w:rsidP="00D23372">
      <w:pPr>
        <w:spacing w:after="0"/>
        <w:ind w:left="-90"/>
        <w:jc w:val="both"/>
        <w:rPr>
          <w:rFonts w:ascii="Arial" w:hAnsi="Arial" w:cs="Arial"/>
          <w:i/>
          <w:iCs/>
          <w:noProof/>
          <w:sz w:val="20"/>
          <w:szCs w:val="28"/>
          <w:lang w:val="fr-FR"/>
        </w:rPr>
      </w:pPr>
      <w:r w:rsidRPr="00D23372">
        <w:rPr>
          <w:rFonts w:ascii="Arial" w:hAnsi="Arial" w:cs="Arial"/>
          <w:i/>
          <w:iCs/>
          <w:noProof/>
          <w:sz w:val="20"/>
          <w:szCs w:val="28"/>
          <w:lang w:val="fr-FR"/>
        </w:rPr>
        <w:t>Toutes les déclarations prospectives de la Société impliquent des risques et des incertitudes, dont certains sont significatifs ou indépendants de la volonté de la Société, ainsi que des hypothèses qui pourraient faire en sorte que les résultats réalisés diffèrent sensiblement de l’expérience historique de la Société et des attentes ou projections actuelles de la Société. Si un ou plusieurs de ces risques ou incertitudes se matérialisaient, ou si les hypothèses sous-jacentes s’avéraient incorrectes, les résultats réels pourraient différer sensiblement de ceux énoncés dans les déclarations prospectives.</w:t>
      </w:r>
    </w:p>
    <w:p w14:paraId="6E55DC3C" w14:textId="77777777" w:rsidR="00D23372" w:rsidRPr="00D23372" w:rsidRDefault="00D23372" w:rsidP="00D23372">
      <w:pPr>
        <w:spacing w:after="0"/>
        <w:ind w:left="-90"/>
        <w:jc w:val="both"/>
        <w:rPr>
          <w:rFonts w:ascii="Arial" w:hAnsi="Arial" w:cs="Arial"/>
          <w:i/>
          <w:iCs/>
          <w:noProof/>
          <w:sz w:val="20"/>
          <w:szCs w:val="28"/>
          <w:lang w:val="fr-FR"/>
        </w:rPr>
      </w:pPr>
    </w:p>
    <w:p w14:paraId="6EEED7CA" w14:textId="77777777" w:rsidR="00D23372" w:rsidRPr="00D23372" w:rsidRDefault="00D23372" w:rsidP="00D23372">
      <w:pPr>
        <w:spacing w:after="0"/>
        <w:ind w:left="-90"/>
        <w:jc w:val="both"/>
        <w:rPr>
          <w:rFonts w:ascii="Arial" w:hAnsi="Arial" w:cs="Arial"/>
          <w:i/>
          <w:iCs/>
          <w:noProof/>
          <w:sz w:val="20"/>
          <w:szCs w:val="28"/>
          <w:lang w:val="fr-FR"/>
        </w:rPr>
      </w:pPr>
      <w:r w:rsidRPr="00D23372">
        <w:rPr>
          <w:rFonts w:ascii="Arial" w:hAnsi="Arial" w:cs="Arial"/>
          <w:i/>
          <w:iCs/>
          <w:noProof/>
          <w:sz w:val="20"/>
          <w:szCs w:val="28"/>
          <w:lang w:val="fr-FR"/>
        </w:rPr>
        <w:t xml:space="preserve">Pour plus d’informations sur les facteurs importants connus susceptibles d’entraîner une différence entre les résultats réels et les résultats projetés, veuillez consulter les facteurs de risque de la Société énoncés dans le Rapport Financier Annuel 2024 déposé le 10 mars 2025 auprès de l’Autoriteit Financiële Markten (AFM) aux Pays-Bas et de l’Autorité des marchés financiers (AMF) en France, qui comprend une analyse </w:t>
      </w:r>
      <w:r w:rsidRPr="00D23372">
        <w:rPr>
          <w:rFonts w:ascii="Arial" w:hAnsi="Arial" w:cs="Arial"/>
          <w:i/>
          <w:iCs/>
          <w:noProof/>
          <w:sz w:val="20"/>
          <w:szCs w:val="28"/>
          <w:lang w:val="fr-FR"/>
        </w:rPr>
        <w:lastRenderedPageBreak/>
        <w:t>des facteurs qui pourraient affecter la performance future de la Société et des marchés sur lesquels la Société opère.</w:t>
      </w:r>
    </w:p>
    <w:p w14:paraId="5BD95319" w14:textId="77777777" w:rsidR="00D23372" w:rsidRPr="00D23372" w:rsidRDefault="00D23372" w:rsidP="00D23372">
      <w:pPr>
        <w:spacing w:after="0"/>
        <w:ind w:left="-90"/>
        <w:jc w:val="both"/>
        <w:rPr>
          <w:rFonts w:ascii="Arial" w:hAnsi="Arial" w:cs="Arial"/>
          <w:i/>
          <w:iCs/>
          <w:noProof/>
          <w:sz w:val="20"/>
          <w:szCs w:val="28"/>
          <w:lang w:val="fr-FR"/>
        </w:rPr>
      </w:pPr>
    </w:p>
    <w:p w14:paraId="76C34EE8" w14:textId="3B55C385" w:rsidR="00D23372" w:rsidRPr="00FE47D8" w:rsidRDefault="00D23372" w:rsidP="00D23372">
      <w:pPr>
        <w:spacing w:after="0"/>
        <w:ind w:left="-90"/>
        <w:jc w:val="both"/>
        <w:rPr>
          <w:rFonts w:ascii="Arial" w:hAnsi="Arial" w:cs="Arial"/>
          <w:i/>
          <w:iCs/>
          <w:noProof/>
          <w:sz w:val="20"/>
          <w:szCs w:val="28"/>
          <w:lang w:val="fr-FR"/>
        </w:rPr>
      </w:pPr>
      <w:r w:rsidRPr="00D23372">
        <w:rPr>
          <w:rFonts w:ascii="Arial" w:hAnsi="Arial" w:cs="Arial"/>
          <w:i/>
          <w:iCs/>
          <w:noProof/>
          <w:sz w:val="20"/>
          <w:szCs w:val="28"/>
          <w:lang w:val="fr-FR"/>
        </w:rPr>
        <w:t>Les déclarations prospectives comportent des risques et des incertitudes inhérents et ne sont valables qu’à la date à laquelle elles sont faites. La Société ne s’engage pas à mettre à jour les déclarations prospectives à la lumière de nouvelles informations ou d’événements futurs et ne le fera pas nécessairement, sauf dans la mesure requise par la loi applicable.</w:t>
      </w:r>
    </w:p>
    <w:p w14:paraId="7D8FF32E" w14:textId="3360EA9B" w:rsidR="00307272" w:rsidRPr="006659AC" w:rsidRDefault="00307272" w:rsidP="006659AC">
      <w:pPr>
        <w:spacing w:after="0"/>
        <w:ind w:left="-90"/>
        <w:jc w:val="both"/>
        <w:rPr>
          <w:rFonts w:ascii="Arial" w:hAnsi="Arial" w:cs="Arial"/>
          <w:i/>
          <w:iCs/>
          <w:sz w:val="20"/>
          <w:szCs w:val="18"/>
          <w:lang w:val="fr-FR"/>
        </w:rPr>
      </w:pPr>
      <w:r w:rsidRPr="00A010D6">
        <w:rPr>
          <w:rFonts w:ascii="Arial" w:hAnsi="Arial" w:cs="Arial"/>
          <w:i/>
          <w:iCs/>
          <w:noProof/>
          <w:color w:val="EE7766"/>
          <w:sz w:val="32"/>
          <w:szCs w:val="32"/>
          <w:shd w:val="clear" w:color="auto" w:fill="FFFFFF"/>
        </w:rPr>
        <mc:AlternateContent>
          <mc:Choice Requires="wps">
            <w:drawing>
              <wp:anchor distT="0" distB="0" distL="114300" distR="114300" simplePos="0" relativeHeight="251658243" behindDoc="0" locked="0" layoutInCell="1" allowOverlap="1" wp14:anchorId="5EC5CE9A" wp14:editId="01BB2F3A">
                <wp:simplePos x="0" y="0"/>
                <wp:positionH relativeFrom="margin">
                  <wp:posOffset>2604977</wp:posOffset>
                </wp:positionH>
                <wp:positionV relativeFrom="paragraph">
                  <wp:posOffset>368521</wp:posOffset>
                </wp:positionV>
                <wp:extent cx="251460" cy="0"/>
                <wp:effectExtent l="19050" t="19050" r="34290" b="38100"/>
                <wp:wrapTopAndBottom/>
                <wp:docPr id="1"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1460" cy="0"/>
                        </a:xfrm>
                        <a:prstGeom prst="line">
                          <a:avLst/>
                        </a:prstGeom>
                        <a:ln w="19050" cap="sq">
                          <a:gradFill>
                            <a:gsLst>
                              <a:gs pos="10000">
                                <a:srgbClr val="0070EF"/>
                              </a:gs>
                              <a:gs pos="88000">
                                <a:srgbClr val="80C7A0"/>
                              </a:gs>
                            </a:gsLst>
                            <a:lin ang="0" scaled="0"/>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75CCB9A9">
              <v:line id="Connecteur droit 10" style="position:absolute;z-index:251669504;visibility:visible;mso-wrap-style:square;mso-wrap-distance-left:9pt;mso-wrap-distance-top:0;mso-wrap-distance-right:9pt;mso-wrap-distance-bottom:0;mso-position-horizontal:absolute;mso-position-horizontal-relative:margin;mso-position-vertical:absolute;mso-position-vertical-relative:text" o:spid="_x0000_s1026" strokeweight="1.5pt" from="205.1pt,29pt" to="224.9pt,29pt" w14:anchorId="6A9D4D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">
                <v:stroke joinstyle="miter" endcap="square"/>
                <o:lock v:ext="edit" shapetype="f"/>
                <w10:wrap type="topAndBottom" anchorx="margin"/>
              </v:line>
            </w:pict>
          </mc:Fallback>
        </mc:AlternateContent>
      </w:r>
    </w:p>
    <w:sectPr w:rsidR="00307272" w:rsidRPr="006659AC" w:rsidSect="003131DB">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2A7C7" w14:textId="77777777" w:rsidR="00F8173E" w:rsidRDefault="00F8173E" w:rsidP="00A77ADF">
      <w:pPr>
        <w:spacing w:after="0" w:line="240" w:lineRule="auto"/>
      </w:pPr>
      <w:r>
        <w:separator/>
      </w:r>
    </w:p>
  </w:endnote>
  <w:endnote w:type="continuationSeparator" w:id="0">
    <w:p w14:paraId="6B4A1932" w14:textId="77777777" w:rsidR="00F8173E" w:rsidRDefault="00F8173E" w:rsidP="00A77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7FCE" w14:textId="77777777" w:rsidR="002A2124" w:rsidRDefault="002A2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9C07A" w14:textId="77777777" w:rsidR="002A2124" w:rsidRDefault="002A2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B6708" w14:textId="77777777" w:rsidR="002A2124" w:rsidRDefault="002A2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910ED" w14:textId="77777777" w:rsidR="00F8173E" w:rsidRDefault="00F8173E" w:rsidP="00A77ADF">
      <w:pPr>
        <w:spacing w:after="0" w:line="240" w:lineRule="auto"/>
      </w:pPr>
      <w:r>
        <w:separator/>
      </w:r>
    </w:p>
  </w:footnote>
  <w:footnote w:type="continuationSeparator" w:id="0">
    <w:p w14:paraId="4D3A1DB8" w14:textId="77777777" w:rsidR="00F8173E" w:rsidRDefault="00F8173E" w:rsidP="00A77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291C" w14:textId="77777777" w:rsidR="002A2124" w:rsidRDefault="002A2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C490" w14:textId="204E84F7" w:rsidR="00491E78" w:rsidRDefault="001C791B">
    <w:pPr>
      <w:pStyle w:val="Header"/>
    </w:pPr>
    <w:r>
      <w:rPr>
        <w:noProof/>
      </w:rPr>
      <w:drawing>
        <wp:anchor distT="0" distB="0" distL="114300" distR="114300" simplePos="0" relativeHeight="251658240" behindDoc="0" locked="0" layoutInCell="1" allowOverlap="1" wp14:anchorId="60134BC2" wp14:editId="78D50C87">
          <wp:simplePos x="0" y="0"/>
          <wp:positionH relativeFrom="column">
            <wp:posOffset>-438206</wp:posOffset>
          </wp:positionH>
          <wp:positionV relativeFrom="paragraph">
            <wp:posOffset>-929281</wp:posOffset>
          </wp:positionV>
          <wp:extent cx="1866900" cy="1078454"/>
          <wp:effectExtent l="0" t="0" r="0" b="0"/>
          <wp:wrapTopAndBottom/>
          <wp:docPr id="7" name="Picture 7"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circ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66900" cy="1078454"/>
                  </a:xfrm>
                  <a:prstGeom prst="rect">
                    <a:avLst/>
                  </a:prstGeom>
                </pic:spPr>
              </pic:pic>
            </a:graphicData>
          </a:graphic>
        </wp:anchor>
      </w:drawing>
    </w:r>
    <w:r w:rsidR="003131DB">
      <w:rPr>
        <w:noProof/>
      </w:rPr>
      <mc:AlternateContent>
        <mc:Choice Requires="wps">
          <w:drawing>
            <wp:anchor distT="45720" distB="45720" distL="114300" distR="114300" simplePos="0" relativeHeight="251658241" behindDoc="0" locked="0" layoutInCell="1" allowOverlap="1" wp14:anchorId="52644B60" wp14:editId="526CFFD0">
              <wp:simplePos x="0" y="0"/>
              <wp:positionH relativeFrom="margin">
                <wp:align>right</wp:align>
              </wp:positionH>
              <wp:positionV relativeFrom="paragraph">
                <wp:posOffset>-648335</wp:posOffset>
              </wp:positionV>
              <wp:extent cx="2695575" cy="704850"/>
              <wp:effectExtent l="0" t="0" r="9525"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704850"/>
                      </a:xfrm>
                      <a:prstGeom prst="rect">
                        <a:avLst/>
                      </a:prstGeom>
                      <a:solidFill>
                        <a:srgbClr val="FFFFFF"/>
                      </a:solidFill>
                      <a:ln w="9525">
                        <a:noFill/>
                        <a:miter lim="800000"/>
                        <a:headEnd/>
                        <a:tailEnd/>
                      </a:ln>
                    </wps:spPr>
                    <wps:txbx>
                      <w:txbxContent>
                        <w:p w14:paraId="685AF0CA" w14:textId="37392EAC" w:rsidR="00FD16B2" w:rsidRPr="00682B72" w:rsidRDefault="00682B72" w:rsidP="00FD16B2">
                          <w:pPr>
                            <w:spacing w:after="360"/>
                            <w:jc w:val="right"/>
                            <w:rPr>
                              <w:rFonts w:ascii="Arial" w:hAnsi="Arial" w:cs="Arial"/>
                              <w:noProof/>
                              <w:color w:val="EE7766"/>
                              <w:lang w:val="fr-FR"/>
                            </w:rPr>
                          </w:pPr>
                          <w:r w:rsidRPr="00682B72">
                            <w:rPr>
                              <w:rFonts w:ascii="Arial" w:hAnsi="Arial" w:cs="Arial"/>
                              <w:b/>
                              <w:noProof/>
                              <w:color w:val="EE7766"/>
                              <w:sz w:val="28"/>
                              <w:lang w:val="fr-FR"/>
                            </w:rPr>
                            <w:t>Communiqué de presse</w:t>
                          </w:r>
                          <w:r w:rsidR="00FD16B2" w:rsidRPr="00682B72">
                            <w:rPr>
                              <w:rFonts w:ascii="Arial" w:hAnsi="Arial" w:cs="Arial"/>
                              <w:noProof/>
                              <w:color w:val="EE7766"/>
                              <w:lang w:val="fr-FR"/>
                            </w:rPr>
                            <w:br/>
                            <w:t>Pa</w:t>
                          </w:r>
                          <w:r w:rsidR="00A76896">
                            <w:rPr>
                              <w:rFonts w:ascii="Arial" w:hAnsi="Arial" w:cs="Arial"/>
                              <w:noProof/>
                              <w:color w:val="EE7766"/>
                              <w:lang w:val="fr-FR"/>
                            </w:rPr>
                            <w:t>ris,</w:t>
                          </w:r>
                          <w:r w:rsidR="00E337C4" w:rsidRPr="00682B72">
                            <w:rPr>
                              <w:rFonts w:ascii="Arial" w:hAnsi="Arial" w:cs="Arial"/>
                              <w:noProof/>
                              <w:color w:val="EE7766"/>
                              <w:lang w:val="fr-FR"/>
                            </w:rPr>
                            <w:t xml:space="preserve"> </w:t>
                          </w:r>
                          <w:r>
                            <w:rPr>
                              <w:rFonts w:ascii="Arial" w:hAnsi="Arial" w:cs="Arial"/>
                              <w:noProof/>
                              <w:color w:val="EE7766"/>
                              <w:lang w:val="fr-FR"/>
                            </w:rPr>
                            <w:t xml:space="preserve">le </w:t>
                          </w:r>
                          <w:r w:rsidR="002A2124">
                            <w:rPr>
                              <w:rFonts w:ascii="Arial" w:hAnsi="Arial" w:cs="Arial"/>
                              <w:noProof/>
                              <w:color w:val="EE7766"/>
                              <w:lang w:val="fr-FR"/>
                            </w:rPr>
                            <w:t>14</w:t>
                          </w:r>
                          <w:r w:rsidR="009E33F1">
                            <w:rPr>
                              <w:rFonts w:ascii="Arial" w:hAnsi="Arial" w:cs="Arial"/>
                              <w:noProof/>
                              <w:color w:val="EE7766"/>
                              <w:lang w:val="fr-FR"/>
                            </w:rPr>
                            <w:t xml:space="preserve"> mai </w:t>
                          </w:r>
                          <w:r w:rsidR="00E337C4" w:rsidRPr="00682B72">
                            <w:rPr>
                              <w:rFonts w:ascii="Arial" w:hAnsi="Arial" w:cs="Arial"/>
                              <w:noProof/>
                              <w:color w:val="EE7766"/>
                              <w:lang w:val="fr-FR"/>
                            </w:rPr>
                            <w:t>202</w:t>
                          </w:r>
                          <w:r w:rsidR="000349F7">
                            <w:rPr>
                              <w:rFonts w:ascii="Arial" w:hAnsi="Arial" w:cs="Arial"/>
                              <w:noProof/>
                              <w:color w:val="EE7766"/>
                              <w:lang w:val="fr-FR"/>
                            </w:rPr>
                            <w:t>5</w:t>
                          </w:r>
                        </w:p>
                        <w:p w14:paraId="03D469E6" w14:textId="77777777" w:rsidR="00FD16B2" w:rsidRPr="00682B72" w:rsidRDefault="00FD16B2">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644B60" id="_x0000_t202" coordsize="21600,21600" o:spt="202" path="m,l,21600r21600,l21600,xe">
              <v:stroke joinstyle="miter"/>
              <v:path gradientshapeok="t" o:connecttype="rect"/>
            </v:shapetype>
            <v:shape id="Zone de texte 2" o:spid="_x0000_s1026" type="#_x0000_t202" style="position:absolute;margin-left:161.05pt;margin-top:-51.05pt;width:212.25pt;height:55.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" stroked="f">
              <v:textbox>
                <w:txbxContent>
                  <w:p w14:paraId="685AF0CA" w14:textId="37392EAC" w:rsidR="00FD16B2" w:rsidRPr="00682B72" w:rsidRDefault="00682B72" w:rsidP="00FD16B2">
                    <w:pPr>
                      <w:spacing w:after="360"/>
                      <w:jc w:val="right"/>
                      <w:rPr>
                        <w:rFonts w:ascii="Arial" w:hAnsi="Arial" w:cs="Arial"/>
                        <w:noProof/>
                        <w:color w:val="EE7766"/>
                        <w:lang w:val="fr-FR"/>
                      </w:rPr>
                    </w:pPr>
                    <w:r w:rsidRPr="00682B72">
                      <w:rPr>
                        <w:rFonts w:ascii="Arial" w:hAnsi="Arial" w:cs="Arial"/>
                        <w:b/>
                        <w:noProof/>
                        <w:color w:val="EE7766"/>
                        <w:sz w:val="28"/>
                        <w:lang w:val="fr-FR"/>
                      </w:rPr>
                      <w:t>Communiqué de presse</w:t>
                    </w:r>
                    <w:r w:rsidR="00FD16B2" w:rsidRPr="00682B72">
                      <w:rPr>
                        <w:rFonts w:ascii="Arial" w:hAnsi="Arial" w:cs="Arial"/>
                        <w:noProof/>
                        <w:color w:val="EE7766"/>
                        <w:lang w:val="fr-FR"/>
                      </w:rPr>
                      <w:br/>
                      <w:t>Pa</w:t>
                    </w:r>
                    <w:r w:rsidR="00A76896">
                      <w:rPr>
                        <w:rFonts w:ascii="Arial" w:hAnsi="Arial" w:cs="Arial"/>
                        <w:noProof/>
                        <w:color w:val="EE7766"/>
                        <w:lang w:val="fr-FR"/>
                      </w:rPr>
                      <w:t>ris,</w:t>
                    </w:r>
                    <w:r w:rsidR="00E337C4" w:rsidRPr="00682B72">
                      <w:rPr>
                        <w:rFonts w:ascii="Arial" w:hAnsi="Arial" w:cs="Arial"/>
                        <w:noProof/>
                        <w:color w:val="EE7766"/>
                        <w:lang w:val="fr-FR"/>
                      </w:rPr>
                      <w:t xml:space="preserve"> </w:t>
                    </w:r>
                    <w:r>
                      <w:rPr>
                        <w:rFonts w:ascii="Arial" w:hAnsi="Arial" w:cs="Arial"/>
                        <w:noProof/>
                        <w:color w:val="EE7766"/>
                        <w:lang w:val="fr-FR"/>
                      </w:rPr>
                      <w:t xml:space="preserve">le </w:t>
                    </w:r>
                    <w:r w:rsidR="002A2124">
                      <w:rPr>
                        <w:rFonts w:ascii="Arial" w:hAnsi="Arial" w:cs="Arial"/>
                        <w:noProof/>
                        <w:color w:val="EE7766"/>
                        <w:lang w:val="fr-FR"/>
                      </w:rPr>
                      <w:t>14</w:t>
                    </w:r>
                    <w:r w:rsidR="009E33F1">
                      <w:rPr>
                        <w:rFonts w:ascii="Arial" w:hAnsi="Arial" w:cs="Arial"/>
                        <w:noProof/>
                        <w:color w:val="EE7766"/>
                        <w:lang w:val="fr-FR"/>
                      </w:rPr>
                      <w:t xml:space="preserve"> mai </w:t>
                    </w:r>
                    <w:r w:rsidR="00E337C4" w:rsidRPr="00682B72">
                      <w:rPr>
                        <w:rFonts w:ascii="Arial" w:hAnsi="Arial" w:cs="Arial"/>
                        <w:noProof/>
                        <w:color w:val="EE7766"/>
                        <w:lang w:val="fr-FR"/>
                      </w:rPr>
                      <w:t>202</w:t>
                    </w:r>
                    <w:r w:rsidR="000349F7">
                      <w:rPr>
                        <w:rFonts w:ascii="Arial" w:hAnsi="Arial" w:cs="Arial"/>
                        <w:noProof/>
                        <w:color w:val="EE7766"/>
                        <w:lang w:val="fr-FR"/>
                      </w:rPr>
                      <w:t>5</w:t>
                    </w:r>
                  </w:p>
                  <w:p w14:paraId="03D469E6" w14:textId="77777777" w:rsidR="00FD16B2" w:rsidRPr="00682B72" w:rsidRDefault="00FD16B2">
                    <w:pPr>
                      <w:rPr>
                        <w:lang w:val="fr-FR"/>
                      </w:rPr>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3E16" w14:textId="77777777" w:rsidR="002A2124" w:rsidRDefault="002A2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B358D"/>
    <w:multiLevelType w:val="hybridMultilevel"/>
    <w:tmpl w:val="EF623948"/>
    <w:lvl w:ilvl="0" w:tplc="F1E21986">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882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ADF"/>
    <w:rsid w:val="000101CC"/>
    <w:rsid w:val="000245F3"/>
    <w:rsid w:val="000345D9"/>
    <w:rsid w:val="000349F7"/>
    <w:rsid w:val="00043A44"/>
    <w:rsid w:val="00050060"/>
    <w:rsid w:val="00050813"/>
    <w:rsid w:val="00057716"/>
    <w:rsid w:val="00061B64"/>
    <w:rsid w:val="00063B63"/>
    <w:rsid w:val="00066A4E"/>
    <w:rsid w:val="00070F81"/>
    <w:rsid w:val="00073B9B"/>
    <w:rsid w:val="000802E7"/>
    <w:rsid w:val="0009546B"/>
    <w:rsid w:val="000A2C25"/>
    <w:rsid w:val="000B2730"/>
    <w:rsid w:val="000B655F"/>
    <w:rsid w:val="000B7473"/>
    <w:rsid w:val="000D6C38"/>
    <w:rsid w:val="000F77A0"/>
    <w:rsid w:val="00112B61"/>
    <w:rsid w:val="00117545"/>
    <w:rsid w:val="0013478E"/>
    <w:rsid w:val="0014142F"/>
    <w:rsid w:val="00141EF6"/>
    <w:rsid w:val="00146B19"/>
    <w:rsid w:val="00147E2A"/>
    <w:rsid w:val="0015130D"/>
    <w:rsid w:val="00187867"/>
    <w:rsid w:val="00193D5E"/>
    <w:rsid w:val="0019593C"/>
    <w:rsid w:val="001B188C"/>
    <w:rsid w:val="001C48BD"/>
    <w:rsid w:val="001C791B"/>
    <w:rsid w:val="001C79FB"/>
    <w:rsid w:val="001D217A"/>
    <w:rsid w:val="001E08A2"/>
    <w:rsid w:val="001E5A16"/>
    <w:rsid w:val="001E6159"/>
    <w:rsid w:val="001F2123"/>
    <w:rsid w:val="001F5EE4"/>
    <w:rsid w:val="00204A11"/>
    <w:rsid w:val="00207485"/>
    <w:rsid w:val="00213D27"/>
    <w:rsid w:val="00222824"/>
    <w:rsid w:val="0022311E"/>
    <w:rsid w:val="00223458"/>
    <w:rsid w:val="002427A0"/>
    <w:rsid w:val="002469F7"/>
    <w:rsid w:val="00265632"/>
    <w:rsid w:val="00265D69"/>
    <w:rsid w:val="00266E68"/>
    <w:rsid w:val="0027179C"/>
    <w:rsid w:val="00273508"/>
    <w:rsid w:val="002770BD"/>
    <w:rsid w:val="00277BA3"/>
    <w:rsid w:val="00285E75"/>
    <w:rsid w:val="00286826"/>
    <w:rsid w:val="00287CC0"/>
    <w:rsid w:val="00291276"/>
    <w:rsid w:val="00293BE2"/>
    <w:rsid w:val="00295B57"/>
    <w:rsid w:val="002A2124"/>
    <w:rsid w:val="002A43E5"/>
    <w:rsid w:val="002A62F9"/>
    <w:rsid w:val="002D0105"/>
    <w:rsid w:val="002D138D"/>
    <w:rsid w:val="002D3D40"/>
    <w:rsid w:val="00303A32"/>
    <w:rsid w:val="003051F6"/>
    <w:rsid w:val="003069BD"/>
    <w:rsid w:val="00307272"/>
    <w:rsid w:val="003131DB"/>
    <w:rsid w:val="003150D6"/>
    <w:rsid w:val="00337351"/>
    <w:rsid w:val="003419C1"/>
    <w:rsid w:val="00352D66"/>
    <w:rsid w:val="00363DBD"/>
    <w:rsid w:val="00375806"/>
    <w:rsid w:val="003B6149"/>
    <w:rsid w:val="003B7255"/>
    <w:rsid w:val="003C56DB"/>
    <w:rsid w:val="003E378F"/>
    <w:rsid w:val="00406C62"/>
    <w:rsid w:val="00416885"/>
    <w:rsid w:val="00423C6E"/>
    <w:rsid w:val="004278E9"/>
    <w:rsid w:val="0044420F"/>
    <w:rsid w:val="00444256"/>
    <w:rsid w:val="00465B38"/>
    <w:rsid w:val="0048261B"/>
    <w:rsid w:val="00491E78"/>
    <w:rsid w:val="004A28A1"/>
    <w:rsid w:val="004B329A"/>
    <w:rsid w:val="004C7BDB"/>
    <w:rsid w:val="004D08D0"/>
    <w:rsid w:val="004D2190"/>
    <w:rsid w:val="004F1E51"/>
    <w:rsid w:val="004F3F44"/>
    <w:rsid w:val="004F58D0"/>
    <w:rsid w:val="00526FC7"/>
    <w:rsid w:val="00535DEF"/>
    <w:rsid w:val="00543BA3"/>
    <w:rsid w:val="0054518A"/>
    <w:rsid w:val="00550223"/>
    <w:rsid w:val="0056221E"/>
    <w:rsid w:val="00562AF7"/>
    <w:rsid w:val="00564E26"/>
    <w:rsid w:val="00571948"/>
    <w:rsid w:val="00594AE9"/>
    <w:rsid w:val="005974D6"/>
    <w:rsid w:val="005A278B"/>
    <w:rsid w:val="005B27E2"/>
    <w:rsid w:val="005B4B4F"/>
    <w:rsid w:val="005B6AED"/>
    <w:rsid w:val="005E08E5"/>
    <w:rsid w:val="005E5018"/>
    <w:rsid w:val="005F088E"/>
    <w:rsid w:val="005F18C1"/>
    <w:rsid w:val="005F5280"/>
    <w:rsid w:val="0060234B"/>
    <w:rsid w:val="00603477"/>
    <w:rsid w:val="0060617A"/>
    <w:rsid w:val="0060685D"/>
    <w:rsid w:val="00626C54"/>
    <w:rsid w:val="00631698"/>
    <w:rsid w:val="00631FB0"/>
    <w:rsid w:val="00632636"/>
    <w:rsid w:val="0064548B"/>
    <w:rsid w:val="006454EF"/>
    <w:rsid w:val="006603BB"/>
    <w:rsid w:val="0066260F"/>
    <w:rsid w:val="006659AC"/>
    <w:rsid w:val="00682B72"/>
    <w:rsid w:val="00685EB2"/>
    <w:rsid w:val="006919DC"/>
    <w:rsid w:val="00693EAF"/>
    <w:rsid w:val="006A1B62"/>
    <w:rsid w:val="006A4B1F"/>
    <w:rsid w:val="006A5153"/>
    <w:rsid w:val="006B4E5B"/>
    <w:rsid w:val="006B5C81"/>
    <w:rsid w:val="006B66F6"/>
    <w:rsid w:val="006C74F0"/>
    <w:rsid w:val="006E7BD4"/>
    <w:rsid w:val="006F7C57"/>
    <w:rsid w:val="007277B9"/>
    <w:rsid w:val="00756364"/>
    <w:rsid w:val="0076439E"/>
    <w:rsid w:val="00777329"/>
    <w:rsid w:val="00781CB7"/>
    <w:rsid w:val="007D2B98"/>
    <w:rsid w:val="00805FD2"/>
    <w:rsid w:val="00811261"/>
    <w:rsid w:val="008262D8"/>
    <w:rsid w:val="00893833"/>
    <w:rsid w:val="008A78F7"/>
    <w:rsid w:val="008C199D"/>
    <w:rsid w:val="00907BC9"/>
    <w:rsid w:val="0091163E"/>
    <w:rsid w:val="009201A5"/>
    <w:rsid w:val="00923D1C"/>
    <w:rsid w:val="0093285D"/>
    <w:rsid w:val="00932F49"/>
    <w:rsid w:val="0094297B"/>
    <w:rsid w:val="009502A2"/>
    <w:rsid w:val="009519C7"/>
    <w:rsid w:val="00956DCB"/>
    <w:rsid w:val="00960322"/>
    <w:rsid w:val="009610A9"/>
    <w:rsid w:val="00993CAF"/>
    <w:rsid w:val="009A0E82"/>
    <w:rsid w:val="009B0EDC"/>
    <w:rsid w:val="009B533B"/>
    <w:rsid w:val="009D0AF2"/>
    <w:rsid w:val="009D4682"/>
    <w:rsid w:val="009E33F1"/>
    <w:rsid w:val="009F0891"/>
    <w:rsid w:val="009F11DD"/>
    <w:rsid w:val="009F6177"/>
    <w:rsid w:val="009F7704"/>
    <w:rsid w:val="00A004B5"/>
    <w:rsid w:val="00A00D42"/>
    <w:rsid w:val="00A0677A"/>
    <w:rsid w:val="00A1647C"/>
    <w:rsid w:val="00A43436"/>
    <w:rsid w:val="00A43C7A"/>
    <w:rsid w:val="00A51ABA"/>
    <w:rsid w:val="00A6169D"/>
    <w:rsid w:val="00A76896"/>
    <w:rsid w:val="00A77ADF"/>
    <w:rsid w:val="00A857D7"/>
    <w:rsid w:val="00AD280F"/>
    <w:rsid w:val="00AD6873"/>
    <w:rsid w:val="00AE2182"/>
    <w:rsid w:val="00AE4228"/>
    <w:rsid w:val="00AE71C2"/>
    <w:rsid w:val="00AF1D9E"/>
    <w:rsid w:val="00AF5413"/>
    <w:rsid w:val="00B05DF1"/>
    <w:rsid w:val="00B07C8B"/>
    <w:rsid w:val="00B1121D"/>
    <w:rsid w:val="00B17C3A"/>
    <w:rsid w:val="00B23EAC"/>
    <w:rsid w:val="00B26AE1"/>
    <w:rsid w:val="00B32FE4"/>
    <w:rsid w:val="00B34C55"/>
    <w:rsid w:val="00B37062"/>
    <w:rsid w:val="00B47E17"/>
    <w:rsid w:val="00B53FBF"/>
    <w:rsid w:val="00B620AE"/>
    <w:rsid w:val="00BA65C5"/>
    <w:rsid w:val="00BB09C8"/>
    <w:rsid w:val="00BB2EAD"/>
    <w:rsid w:val="00BC3B1F"/>
    <w:rsid w:val="00BC4CC9"/>
    <w:rsid w:val="00BD528B"/>
    <w:rsid w:val="00BE6DD5"/>
    <w:rsid w:val="00BF01B3"/>
    <w:rsid w:val="00BF1237"/>
    <w:rsid w:val="00BF51C0"/>
    <w:rsid w:val="00BF78B6"/>
    <w:rsid w:val="00BF79D9"/>
    <w:rsid w:val="00C02ED9"/>
    <w:rsid w:val="00C21D21"/>
    <w:rsid w:val="00C22063"/>
    <w:rsid w:val="00C22879"/>
    <w:rsid w:val="00C43A34"/>
    <w:rsid w:val="00C62C3B"/>
    <w:rsid w:val="00C75BBB"/>
    <w:rsid w:val="00C75D90"/>
    <w:rsid w:val="00C85205"/>
    <w:rsid w:val="00C97940"/>
    <w:rsid w:val="00CB7A18"/>
    <w:rsid w:val="00CC0FA9"/>
    <w:rsid w:val="00CC1DC7"/>
    <w:rsid w:val="00CC24E0"/>
    <w:rsid w:val="00CE2CD8"/>
    <w:rsid w:val="00D028EA"/>
    <w:rsid w:val="00D04274"/>
    <w:rsid w:val="00D1176A"/>
    <w:rsid w:val="00D11F13"/>
    <w:rsid w:val="00D23372"/>
    <w:rsid w:val="00D66C1A"/>
    <w:rsid w:val="00DD302E"/>
    <w:rsid w:val="00DE2641"/>
    <w:rsid w:val="00DF26BE"/>
    <w:rsid w:val="00DF3CB8"/>
    <w:rsid w:val="00E01BA4"/>
    <w:rsid w:val="00E04814"/>
    <w:rsid w:val="00E15BFB"/>
    <w:rsid w:val="00E21BF6"/>
    <w:rsid w:val="00E337C4"/>
    <w:rsid w:val="00E4350B"/>
    <w:rsid w:val="00E53E8F"/>
    <w:rsid w:val="00E553C0"/>
    <w:rsid w:val="00E66C36"/>
    <w:rsid w:val="00E67632"/>
    <w:rsid w:val="00E86ED7"/>
    <w:rsid w:val="00EA2AB5"/>
    <w:rsid w:val="00EA7407"/>
    <w:rsid w:val="00EB0466"/>
    <w:rsid w:val="00EB3D77"/>
    <w:rsid w:val="00EB6E16"/>
    <w:rsid w:val="00EB7EED"/>
    <w:rsid w:val="00EC660A"/>
    <w:rsid w:val="00ED33A6"/>
    <w:rsid w:val="00EE5E57"/>
    <w:rsid w:val="00F1247B"/>
    <w:rsid w:val="00F12BC1"/>
    <w:rsid w:val="00F163AF"/>
    <w:rsid w:val="00F25B19"/>
    <w:rsid w:val="00F42A33"/>
    <w:rsid w:val="00F464ED"/>
    <w:rsid w:val="00F47430"/>
    <w:rsid w:val="00F54FDC"/>
    <w:rsid w:val="00F62FD9"/>
    <w:rsid w:val="00F64D24"/>
    <w:rsid w:val="00F73BC4"/>
    <w:rsid w:val="00F74A0A"/>
    <w:rsid w:val="00F77493"/>
    <w:rsid w:val="00F8173E"/>
    <w:rsid w:val="00F91AB4"/>
    <w:rsid w:val="00F94CB9"/>
    <w:rsid w:val="00FA0617"/>
    <w:rsid w:val="00FA2CE8"/>
    <w:rsid w:val="00FB6280"/>
    <w:rsid w:val="00FC646A"/>
    <w:rsid w:val="00FD16B2"/>
    <w:rsid w:val="00FD26D2"/>
    <w:rsid w:val="00FE43DE"/>
    <w:rsid w:val="00FE47D8"/>
    <w:rsid w:val="01174DDF"/>
    <w:rsid w:val="057AF17A"/>
    <w:rsid w:val="09C4B82A"/>
    <w:rsid w:val="0D3BF240"/>
    <w:rsid w:val="0EDD6ED0"/>
    <w:rsid w:val="0F372E4F"/>
    <w:rsid w:val="169CB45A"/>
    <w:rsid w:val="1B399C57"/>
    <w:rsid w:val="1CDF585C"/>
    <w:rsid w:val="1D5696A6"/>
    <w:rsid w:val="1E565833"/>
    <w:rsid w:val="1F3E69A4"/>
    <w:rsid w:val="238EBB70"/>
    <w:rsid w:val="2B46A086"/>
    <w:rsid w:val="2D08D82F"/>
    <w:rsid w:val="2F07EA26"/>
    <w:rsid w:val="2F8BD6CA"/>
    <w:rsid w:val="3592DB70"/>
    <w:rsid w:val="3649ECC1"/>
    <w:rsid w:val="37FE6730"/>
    <w:rsid w:val="3E45E0BC"/>
    <w:rsid w:val="414C1E9D"/>
    <w:rsid w:val="41A36764"/>
    <w:rsid w:val="478C024E"/>
    <w:rsid w:val="4AC6783A"/>
    <w:rsid w:val="4C200A6C"/>
    <w:rsid w:val="4C213E2E"/>
    <w:rsid w:val="5262A8E0"/>
    <w:rsid w:val="5631862E"/>
    <w:rsid w:val="5E057FD4"/>
    <w:rsid w:val="5E45B2DA"/>
    <w:rsid w:val="5EF87404"/>
    <w:rsid w:val="5EFC00E4"/>
    <w:rsid w:val="60D3A50B"/>
    <w:rsid w:val="61FE75DF"/>
    <w:rsid w:val="64569A89"/>
    <w:rsid w:val="6731E06C"/>
    <w:rsid w:val="69F195B7"/>
    <w:rsid w:val="6E22FAFB"/>
    <w:rsid w:val="714EAEE9"/>
    <w:rsid w:val="71967862"/>
    <w:rsid w:val="73ECBE36"/>
    <w:rsid w:val="743A2DB2"/>
    <w:rsid w:val="754BE692"/>
    <w:rsid w:val="765CEAF1"/>
    <w:rsid w:val="7C849B44"/>
    <w:rsid w:val="7F209AD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46A99"/>
  <w15:chartTrackingRefBased/>
  <w15:docId w15:val="{3D6B1230-426F-4313-8988-EB165903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AD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7ADF"/>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7ADF"/>
  </w:style>
  <w:style w:type="paragraph" w:styleId="Footer">
    <w:name w:val="footer"/>
    <w:basedOn w:val="Normal"/>
    <w:link w:val="FooterChar"/>
    <w:uiPriority w:val="99"/>
    <w:unhideWhenUsed/>
    <w:rsid w:val="00A77ADF"/>
    <w:pPr>
      <w:tabs>
        <w:tab w:val="center" w:pos="4536"/>
        <w:tab w:val="right" w:pos="9072"/>
      </w:tabs>
      <w:spacing w:after="0" w:line="240" w:lineRule="auto"/>
    </w:pPr>
  </w:style>
  <w:style w:type="character" w:customStyle="1" w:styleId="FooterChar">
    <w:name w:val="Footer Char"/>
    <w:basedOn w:val="DefaultParagraphFont"/>
    <w:link w:val="Footer"/>
    <w:uiPriority w:val="99"/>
    <w:rsid w:val="00A77ADF"/>
  </w:style>
  <w:style w:type="table" w:styleId="TableGrid">
    <w:name w:val="Table Grid"/>
    <w:basedOn w:val="TableNormal"/>
    <w:uiPriority w:val="59"/>
    <w:unhideWhenUsed/>
    <w:rsid w:val="00A77A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7ADF"/>
    <w:rPr>
      <w:color w:val="0563C1" w:themeColor="hyperlink"/>
      <w:u w:val="single"/>
    </w:rPr>
  </w:style>
  <w:style w:type="paragraph" w:customStyle="1" w:styleId="BodyText1">
    <w:name w:val="BodyText 1"/>
    <w:basedOn w:val="Normal"/>
    <w:uiPriority w:val="1"/>
    <w:qFormat/>
    <w:rsid w:val="00A77ADF"/>
    <w:pPr>
      <w:spacing w:after="240" w:line="240" w:lineRule="auto"/>
      <w:ind w:firstLine="720"/>
    </w:pPr>
    <w:rPr>
      <w:rFonts w:ascii="Times New Roman" w:eastAsiaTheme="minorEastAsia" w:hAnsi="Times New Roman" w:cs="Arial"/>
      <w:sz w:val="24"/>
      <w:szCs w:val="24"/>
      <w:lang w:eastAsia="zh-CN"/>
    </w:rPr>
  </w:style>
  <w:style w:type="paragraph" w:styleId="NormalWeb">
    <w:name w:val="Normal (Web)"/>
    <w:basedOn w:val="Normal"/>
    <w:uiPriority w:val="99"/>
    <w:semiHidden/>
    <w:unhideWhenUsed/>
    <w:rsid w:val="00A77AD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UnresolvedMention">
    <w:name w:val="Unresolved Mention"/>
    <w:basedOn w:val="DefaultParagraphFont"/>
    <w:uiPriority w:val="99"/>
    <w:semiHidden/>
    <w:unhideWhenUsed/>
    <w:rsid w:val="00117545"/>
    <w:rPr>
      <w:color w:val="808080"/>
      <w:shd w:val="clear" w:color="auto" w:fill="E6E6E6"/>
    </w:rPr>
  </w:style>
  <w:style w:type="paragraph" w:styleId="ListParagraph">
    <w:name w:val="List Paragraph"/>
    <w:basedOn w:val="Normal"/>
    <w:uiPriority w:val="34"/>
    <w:qFormat/>
    <w:rsid w:val="000B2730"/>
    <w:pPr>
      <w:ind w:left="720"/>
      <w:contextualSpacing/>
    </w:pPr>
    <w:rPr>
      <w:rFonts w:eastAsiaTheme="minorEastAsia"/>
    </w:rPr>
  </w:style>
  <w:style w:type="character" w:styleId="CommentReference">
    <w:name w:val="annotation reference"/>
    <w:basedOn w:val="DefaultParagraphFont"/>
    <w:uiPriority w:val="99"/>
    <w:semiHidden/>
    <w:unhideWhenUsed/>
    <w:rsid w:val="00632636"/>
    <w:rPr>
      <w:sz w:val="16"/>
      <w:szCs w:val="16"/>
    </w:rPr>
  </w:style>
  <w:style w:type="paragraph" w:styleId="CommentText">
    <w:name w:val="annotation text"/>
    <w:basedOn w:val="Normal"/>
    <w:link w:val="CommentTextChar"/>
    <w:uiPriority w:val="99"/>
    <w:unhideWhenUsed/>
    <w:rsid w:val="00632636"/>
    <w:pPr>
      <w:spacing w:line="240" w:lineRule="auto"/>
    </w:pPr>
    <w:rPr>
      <w:sz w:val="20"/>
      <w:szCs w:val="20"/>
    </w:rPr>
  </w:style>
  <w:style w:type="character" w:customStyle="1" w:styleId="CommentTextChar">
    <w:name w:val="Comment Text Char"/>
    <w:basedOn w:val="DefaultParagraphFont"/>
    <w:link w:val="CommentText"/>
    <w:uiPriority w:val="99"/>
    <w:rsid w:val="00632636"/>
    <w:rPr>
      <w:sz w:val="20"/>
      <w:szCs w:val="20"/>
      <w:lang w:val="en-US"/>
    </w:rPr>
  </w:style>
  <w:style w:type="paragraph" w:styleId="CommentSubject">
    <w:name w:val="annotation subject"/>
    <w:basedOn w:val="CommentText"/>
    <w:next w:val="CommentText"/>
    <w:link w:val="CommentSubjectChar"/>
    <w:uiPriority w:val="99"/>
    <w:semiHidden/>
    <w:unhideWhenUsed/>
    <w:rsid w:val="00632636"/>
    <w:rPr>
      <w:b/>
      <w:bCs/>
    </w:rPr>
  </w:style>
  <w:style w:type="character" w:customStyle="1" w:styleId="CommentSubjectChar">
    <w:name w:val="Comment Subject Char"/>
    <w:basedOn w:val="CommentTextChar"/>
    <w:link w:val="CommentSubject"/>
    <w:uiPriority w:val="99"/>
    <w:semiHidden/>
    <w:rsid w:val="00632636"/>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2399">
      <w:bodyDiv w:val="1"/>
      <w:marLeft w:val="0"/>
      <w:marRight w:val="0"/>
      <w:marTop w:val="0"/>
      <w:marBottom w:val="0"/>
      <w:divBdr>
        <w:top w:val="none" w:sz="0" w:space="0" w:color="auto"/>
        <w:left w:val="none" w:sz="0" w:space="0" w:color="auto"/>
        <w:bottom w:val="none" w:sz="0" w:space="0" w:color="auto"/>
        <w:right w:val="none" w:sz="0" w:space="0" w:color="auto"/>
      </w:divBdr>
    </w:div>
    <w:div w:id="273824512">
      <w:bodyDiv w:val="1"/>
      <w:marLeft w:val="0"/>
      <w:marRight w:val="0"/>
      <w:marTop w:val="0"/>
      <w:marBottom w:val="0"/>
      <w:divBdr>
        <w:top w:val="none" w:sz="0" w:space="0" w:color="auto"/>
        <w:left w:val="none" w:sz="0" w:space="0" w:color="auto"/>
        <w:bottom w:val="none" w:sz="0" w:space="0" w:color="auto"/>
        <w:right w:val="none" w:sz="0" w:space="0" w:color="auto"/>
      </w:divBdr>
      <w:divsChild>
        <w:div w:id="1824858094">
          <w:marLeft w:val="0"/>
          <w:marRight w:val="0"/>
          <w:marTop w:val="0"/>
          <w:marBottom w:val="0"/>
          <w:divBdr>
            <w:top w:val="none" w:sz="0" w:space="0" w:color="auto"/>
            <w:left w:val="none" w:sz="0" w:space="0" w:color="auto"/>
            <w:bottom w:val="none" w:sz="0" w:space="0" w:color="auto"/>
            <w:right w:val="none" w:sz="0" w:space="0" w:color="auto"/>
          </w:divBdr>
        </w:div>
      </w:divsChild>
    </w:div>
    <w:div w:id="303120821">
      <w:bodyDiv w:val="1"/>
      <w:marLeft w:val="0"/>
      <w:marRight w:val="0"/>
      <w:marTop w:val="0"/>
      <w:marBottom w:val="0"/>
      <w:divBdr>
        <w:top w:val="none" w:sz="0" w:space="0" w:color="auto"/>
        <w:left w:val="none" w:sz="0" w:space="0" w:color="auto"/>
        <w:bottom w:val="none" w:sz="0" w:space="0" w:color="auto"/>
        <w:right w:val="none" w:sz="0" w:space="0" w:color="auto"/>
      </w:divBdr>
    </w:div>
    <w:div w:id="558975742">
      <w:bodyDiv w:val="1"/>
      <w:marLeft w:val="0"/>
      <w:marRight w:val="0"/>
      <w:marTop w:val="0"/>
      <w:marBottom w:val="0"/>
      <w:divBdr>
        <w:top w:val="none" w:sz="0" w:space="0" w:color="auto"/>
        <w:left w:val="none" w:sz="0" w:space="0" w:color="auto"/>
        <w:bottom w:val="none" w:sz="0" w:space="0" w:color="auto"/>
        <w:right w:val="none" w:sz="0" w:space="0" w:color="auto"/>
      </w:divBdr>
    </w:div>
    <w:div w:id="688995489">
      <w:bodyDiv w:val="1"/>
      <w:marLeft w:val="0"/>
      <w:marRight w:val="0"/>
      <w:marTop w:val="0"/>
      <w:marBottom w:val="0"/>
      <w:divBdr>
        <w:top w:val="none" w:sz="0" w:space="0" w:color="auto"/>
        <w:left w:val="none" w:sz="0" w:space="0" w:color="auto"/>
        <w:bottom w:val="none" w:sz="0" w:space="0" w:color="auto"/>
        <w:right w:val="none" w:sz="0" w:space="0" w:color="auto"/>
      </w:divBdr>
    </w:div>
    <w:div w:id="783428417">
      <w:bodyDiv w:val="1"/>
      <w:marLeft w:val="0"/>
      <w:marRight w:val="0"/>
      <w:marTop w:val="0"/>
      <w:marBottom w:val="0"/>
      <w:divBdr>
        <w:top w:val="none" w:sz="0" w:space="0" w:color="auto"/>
        <w:left w:val="none" w:sz="0" w:space="0" w:color="auto"/>
        <w:bottom w:val="none" w:sz="0" w:space="0" w:color="auto"/>
        <w:right w:val="none" w:sz="0" w:space="0" w:color="auto"/>
      </w:divBdr>
    </w:div>
    <w:div w:id="851919008">
      <w:bodyDiv w:val="1"/>
      <w:marLeft w:val="0"/>
      <w:marRight w:val="0"/>
      <w:marTop w:val="0"/>
      <w:marBottom w:val="0"/>
      <w:divBdr>
        <w:top w:val="none" w:sz="0" w:space="0" w:color="auto"/>
        <w:left w:val="none" w:sz="0" w:space="0" w:color="auto"/>
        <w:bottom w:val="none" w:sz="0" w:space="0" w:color="auto"/>
        <w:right w:val="none" w:sz="0" w:space="0" w:color="auto"/>
      </w:divBdr>
    </w:div>
    <w:div w:id="1027758316">
      <w:bodyDiv w:val="1"/>
      <w:marLeft w:val="0"/>
      <w:marRight w:val="0"/>
      <w:marTop w:val="0"/>
      <w:marBottom w:val="0"/>
      <w:divBdr>
        <w:top w:val="none" w:sz="0" w:space="0" w:color="auto"/>
        <w:left w:val="none" w:sz="0" w:space="0" w:color="auto"/>
        <w:bottom w:val="none" w:sz="0" w:space="0" w:color="auto"/>
        <w:right w:val="none" w:sz="0" w:space="0" w:color="auto"/>
      </w:divBdr>
    </w:div>
    <w:div w:id="1620649654">
      <w:bodyDiv w:val="1"/>
      <w:marLeft w:val="0"/>
      <w:marRight w:val="0"/>
      <w:marTop w:val="0"/>
      <w:marBottom w:val="0"/>
      <w:divBdr>
        <w:top w:val="none" w:sz="0" w:space="0" w:color="auto"/>
        <w:left w:val="none" w:sz="0" w:space="0" w:color="auto"/>
        <w:bottom w:val="none" w:sz="0" w:space="0" w:color="auto"/>
        <w:right w:val="none" w:sz="0" w:space="0" w:color="auto"/>
      </w:divBdr>
    </w:div>
    <w:div w:id="1772893274">
      <w:bodyDiv w:val="1"/>
      <w:marLeft w:val="0"/>
      <w:marRight w:val="0"/>
      <w:marTop w:val="0"/>
      <w:marBottom w:val="0"/>
      <w:divBdr>
        <w:top w:val="none" w:sz="0" w:space="0" w:color="auto"/>
        <w:left w:val="none" w:sz="0" w:space="0" w:color="auto"/>
        <w:bottom w:val="none" w:sz="0" w:space="0" w:color="auto"/>
        <w:right w:val="none" w:sz="0" w:space="0" w:color="auto"/>
      </w:divBdr>
    </w:div>
    <w:div w:id="211231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a_@ten.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vestor.relations@ten.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fb5e3d-c03b-4032-b359-f34928a01bbb">
      <Terms xmlns="http://schemas.microsoft.com/office/infopath/2007/PartnerControls"/>
    </lcf76f155ced4ddcb4097134ff3c332f>
    <TaxCatchAll xmlns="04513ec5-f213-4e60-8990-92efa9aa09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DB0D487472324FAACE5AE5F0F196D8" ma:contentTypeVersion="16" ma:contentTypeDescription="Create a new document." ma:contentTypeScope="" ma:versionID="8d28c88f94d95f556e4f29a4b95459fa">
  <xsd:schema xmlns:xsd="http://www.w3.org/2001/XMLSchema" xmlns:xs="http://www.w3.org/2001/XMLSchema" xmlns:p="http://schemas.microsoft.com/office/2006/metadata/properties" xmlns:ns2="63fb5e3d-c03b-4032-b359-f34928a01bbb" xmlns:ns3="04513ec5-f213-4e60-8990-92efa9aa0910" targetNamespace="http://schemas.microsoft.com/office/2006/metadata/properties" ma:root="true" ma:fieldsID="a9f46a5a458e8367bb85f3830dade3a9" ns2:_="" ns3:_="">
    <xsd:import namespace="63fb5e3d-c03b-4032-b359-f34928a01bbb"/>
    <xsd:import namespace="04513ec5-f213-4e60-8990-92efa9aa09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b5e3d-c03b-4032-b359-f34928a01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a705f5-bda6-441a-9f50-af094dc5e3c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513ec5-f213-4e60-8990-92efa9aa09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47baf0-bb6e-477c-a647-aea61355697b}" ma:internalName="TaxCatchAll" ma:showField="CatchAllData" ma:web="04513ec5-f213-4e60-8990-92efa9aa09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B6C172-BA30-4373-89A4-00AA2D61A782}">
  <ds:schemaRefs>
    <ds:schemaRef ds:uri="http://schemas.microsoft.com/office/2006/metadata/properties"/>
    <ds:schemaRef ds:uri="http://schemas.microsoft.com/office/infopath/2007/PartnerControls"/>
    <ds:schemaRef ds:uri="63fb5e3d-c03b-4032-b359-f34928a01bbb"/>
    <ds:schemaRef ds:uri="04513ec5-f213-4e60-8990-92efa9aa0910"/>
  </ds:schemaRefs>
</ds:datastoreItem>
</file>

<file path=customXml/itemProps2.xml><?xml version="1.0" encoding="utf-8"?>
<ds:datastoreItem xmlns:ds="http://schemas.openxmlformats.org/officeDocument/2006/customXml" ds:itemID="{5707A899-D5D6-4278-BF78-AD6741167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b5e3d-c03b-4032-b359-f34928a01bbb"/>
    <ds:schemaRef ds:uri="04513ec5-f213-4e60-8990-92efa9aa0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7A3138-8B29-41DC-9F74-4BD0E522721D}">
  <ds:schemaRefs>
    <ds:schemaRef ds:uri="http://schemas.openxmlformats.org/officeDocument/2006/bibliography"/>
  </ds:schemaRefs>
</ds:datastoreItem>
</file>

<file path=customXml/itemProps4.xml><?xml version="1.0" encoding="utf-8"?>
<ds:datastoreItem xmlns:ds="http://schemas.openxmlformats.org/officeDocument/2006/customXml" ds:itemID="{1BE1D30F-090B-45A5-AC80-C762FD21A270}">
  <ds:schemaRefs>
    <ds:schemaRef ds:uri="http://schemas.microsoft.com/sharepoint/v3/contenttype/forms"/>
  </ds:schemaRefs>
</ds:datastoreItem>
</file>

<file path=docMetadata/LabelInfo.xml><?xml version="1.0" encoding="utf-8"?>
<clbl:labelList xmlns:clbl="http://schemas.microsoft.com/office/2020/mipLabelMetadata">
  <clbl:label id="{8f79752b-c5ee-4ad3-a24f-e300e7b653f3}" enabled="1" method="Privileged" siteId="{9179d01a-e94c-4488-b5f0-4554bc474f8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914</Words>
  <Characters>5214</Characters>
  <Application>Microsoft Office Word</Application>
  <DocSecurity>0</DocSecurity>
  <Lines>43</Lines>
  <Paragraphs>12</Paragraphs>
  <ScaleCrop>false</ScaleCrop>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Hyonne</dc:creator>
  <cp:keywords/>
  <dc:description/>
  <cp:lastModifiedBy>Jason Hyonne</cp:lastModifiedBy>
  <cp:revision>158</cp:revision>
  <dcterms:created xsi:type="dcterms:W3CDTF">2021-01-11T17:21:00Z</dcterms:created>
  <dcterms:modified xsi:type="dcterms:W3CDTF">2025-05-14T08:33:00Z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48b937-0ae3-46f5-b32e-f3232b5be847_Enabled">
    <vt:lpwstr>True</vt:lpwstr>
  </property>
  <property fmtid="{D5CDD505-2E9C-101B-9397-08002B2CF9AE}" pid="3" name="MSIP_Label_3b48b937-0ae3-46f5-b32e-f3232b5be847_SiteId">
    <vt:lpwstr>9179d01a-e94c-4488-b5f0-4554bc474f8c</vt:lpwstr>
  </property>
  <property fmtid="{D5CDD505-2E9C-101B-9397-08002B2CF9AE}" pid="4" name="MSIP_Label_3b48b937-0ae3-46f5-b32e-f3232b5be847_Owner">
    <vt:lpwstr>jason.hyonne@technipfmc.com</vt:lpwstr>
  </property>
  <property fmtid="{D5CDD505-2E9C-101B-9397-08002B2CF9AE}" pid="5" name="MSIP_Label_3b48b937-0ae3-46f5-b32e-f3232b5be847_SetDate">
    <vt:lpwstr>2021-01-13T11:39:36.2087295Z</vt:lpwstr>
  </property>
  <property fmtid="{D5CDD505-2E9C-101B-9397-08002B2CF9AE}" pid="6" name="MSIP_Label_3b48b937-0ae3-46f5-b32e-f3232b5be847_Name">
    <vt:lpwstr>General</vt:lpwstr>
  </property>
  <property fmtid="{D5CDD505-2E9C-101B-9397-08002B2CF9AE}" pid="7" name="MSIP_Label_3b48b937-0ae3-46f5-b32e-f3232b5be847_Application">
    <vt:lpwstr>Microsoft Azure Information Protection</vt:lpwstr>
  </property>
  <property fmtid="{D5CDD505-2E9C-101B-9397-08002B2CF9AE}" pid="8" name="MSIP_Label_3b48b937-0ae3-46f5-b32e-f3232b5be847_Extended_MSFT_Method">
    <vt:lpwstr>Automatic</vt:lpwstr>
  </property>
  <property fmtid="{D5CDD505-2E9C-101B-9397-08002B2CF9AE}" pid="9" name="MSIP_Label_8f79752b-c5ee-4ad3-a24f-e300e7b653f3_Enabled">
    <vt:lpwstr>True</vt:lpwstr>
  </property>
  <property fmtid="{D5CDD505-2E9C-101B-9397-08002B2CF9AE}" pid="10" name="MSIP_Label_8f79752b-c5ee-4ad3-a24f-e300e7b653f3_SiteId">
    <vt:lpwstr>9179d01a-e94c-4488-b5f0-4554bc474f8c</vt:lpwstr>
  </property>
  <property fmtid="{D5CDD505-2E9C-101B-9397-08002B2CF9AE}" pid="11" name="MSIP_Label_8f79752b-c5ee-4ad3-a24f-e300e7b653f3_Owner">
    <vt:lpwstr>jason.hyonne@technipfmc.com</vt:lpwstr>
  </property>
  <property fmtid="{D5CDD505-2E9C-101B-9397-08002B2CF9AE}" pid="12" name="MSIP_Label_8f79752b-c5ee-4ad3-a24f-e300e7b653f3_SetDate">
    <vt:lpwstr>2021-01-13T11:39:36.2087295Z</vt:lpwstr>
  </property>
  <property fmtid="{D5CDD505-2E9C-101B-9397-08002B2CF9AE}" pid="13" name="MSIP_Label_8f79752b-c5ee-4ad3-a24f-e300e7b653f3_Name">
    <vt:lpwstr>Anyone - No Protection</vt:lpwstr>
  </property>
  <property fmtid="{D5CDD505-2E9C-101B-9397-08002B2CF9AE}" pid="14" name="MSIP_Label_8f79752b-c5ee-4ad3-a24f-e300e7b653f3_Application">
    <vt:lpwstr>Microsoft Azure Information Protection</vt:lpwstr>
  </property>
  <property fmtid="{D5CDD505-2E9C-101B-9397-08002B2CF9AE}" pid="15" name="MSIP_Label_8f79752b-c5ee-4ad3-a24f-e300e7b653f3_Parent">
    <vt:lpwstr>3b48b937-0ae3-46f5-b32e-f3232b5be847</vt:lpwstr>
  </property>
  <property fmtid="{D5CDD505-2E9C-101B-9397-08002B2CF9AE}" pid="16" name="MSIP_Label_8f79752b-c5ee-4ad3-a24f-e300e7b653f3_Extended_MSFT_Method">
    <vt:lpwstr>Automatic</vt:lpwstr>
  </property>
  <property fmtid="{D5CDD505-2E9C-101B-9397-08002B2CF9AE}" pid="17" name="Sensitivity">
    <vt:lpwstr>General Anyone - No Protection</vt:lpwstr>
  </property>
  <property fmtid="{D5CDD505-2E9C-101B-9397-08002B2CF9AE}" pid="18" name="GrammarlyDocumentId">
    <vt:lpwstr>74b99658a278bbc61dde46352e09f8184a7865d3a6be8269896ed3909f91738b</vt:lpwstr>
  </property>
  <property fmtid="{D5CDD505-2E9C-101B-9397-08002B2CF9AE}" pid="19" name="ContentTypeId">
    <vt:lpwstr>0x01010071DB0D487472324FAACE5AE5F0F196D8</vt:lpwstr>
  </property>
  <property fmtid="{D5CDD505-2E9C-101B-9397-08002B2CF9AE}" pid="20" name="MediaServiceImageTags">
    <vt:lpwstr/>
  </property>
</Properties>
</file>