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4"/>
        <w:ind w:left="23"/>
      </w:pPr>
      <w:r>
        <w:rPr/>
        <w:t>3</w:t>
      </w:r>
      <w:r>
        <w:rPr>
          <w:spacing w:val="-2"/>
        </w:rPr>
        <w:t> </w:t>
      </w:r>
      <w:r>
        <w:rPr/>
        <w:t>February</w:t>
      </w:r>
      <w:r>
        <w:rPr>
          <w:spacing w:val="-3"/>
        </w:rPr>
        <w:t> </w:t>
      </w:r>
      <w:r>
        <w:rPr>
          <w:spacing w:val="-4"/>
        </w:rPr>
        <w:t>2026</w:t>
      </w:r>
    </w:p>
    <w:p>
      <w:pPr>
        <w:pStyle w:val="BodyText"/>
        <w:spacing w:before="292"/>
        <w:ind w:left="23"/>
      </w:pPr>
      <w:r>
        <w:rPr/>
        <w:t>LEI:</w:t>
      </w:r>
      <w:r>
        <w:rPr>
          <w:spacing w:val="-1"/>
        </w:rPr>
        <w:t> </w:t>
      </w:r>
      <w:r>
        <w:rPr>
          <w:spacing w:val="-2"/>
        </w:rPr>
        <w:t>2138003QW2ZAYZODBU23</w:t>
      </w:r>
    </w:p>
    <w:p>
      <w:pPr>
        <w:pStyle w:val="BodyText"/>
      </w:pPr>
    </w:p>
    <w:p>
      <w:pPr>
        <w:pStyle w:val="BodyText"/>
        <w:ind w:right="18"/>
        <w:jc w:val="right"/>
      </w:pPr>
      <w:r>
        <w:rPr/>
        <w:t>LSE</w:t>
      </w:r>
      <w:r>
        <w:rPr>
          <w:spacing w:val="-2"/>
        </w:rPr>
        <w:t> </w:t>
      </w:r>
      <w:r>
        <w:rPr/>
        <w:t>Code:</w:t>
      </w:r>
      <w:r>
        <w:rPr>
          <w:spacing w:val="-1"/>
        </w:rPr>
        <w:t> </w:t>
      </w:r>
      <w:r>
        <w:rPr>
          <w:spacing w:val="-4"/>
        </w:rPr>
        <w:t>VIXL</w:t>
      </w:r>
    </w:p>
    <w:p>
      <w:pPr>
        <w:pStyle w:val="BodyText"/>
      </w:pPr>
    </w:p>
    <w:p>
      <w:pPr>
        <w:pStyle w:val="BodyText"/>
        <w:spacing w:before="2"/>
      </w:pPr>
    </w:p>
    <w:p>
      <w:pPr>
        <w:pStyle w:val="Heading1"/>
      </w:pPr>
      <w:r>
        <w:rPr/>
        <w:t>WISDOMTREE</w:t>
      </w:r>
      <w:r>
        <w:rPr>
          <w:spacing w:val="-3"/>
        </w:rPr>
        <w:t> </w:t>
      </w:r>
      <w:r>
        <w:rPr/>
        <w:t>MULTI</w:t>
      </w:r>
      <w:r>
        <w:rPr>
          <w:spacing w:val="-4"/>
        </w:rPr>
        <w:t> </w:t>
      </w:r>
      <w:r>
        <w:rPr/>
        <w:t>ASSET</w:t>
      </w:r>
      <w:r>
        <w:rPr>
          <w:spacing w:val="-2"/>
        </w:rPr>
        <w:t> </w:t>
      </w:r>
      <w:r>
        <w:rPr/>
        <w:t>ISSUER</w:t>
      </w:r>
      <w:r>
        <w:rPr>
          <w:spacing w:val="-3"/>
        </w:rPr>
        <w:t> </w:t>
      </w:r>
      <w:r>
        <w:rPr/>
        <w:t>PUBLIC</w:t>
      </w:r>
      <w:r>
        <w:rPr>
          <w:spacing w:val="-2"/>
        </w:rPr>
        <w:t> </w:t>
      </w:r>
      <w:r>
        <w:rPr/>
        <w:t>LIMITED</w:t>
      </w:r>
      <w:r>
        <w:rPr>
          <w:spacing w:val="-3"/>
        </w:rPr>
        <w:t> </w:t>
      </w:r>
      <w:r>
        <w:rPr>
          <w:spacing w:val="-2"/>
        </w:rPr>
        <w:t>COMPANY</w:t>
      </w:r>
    </w:p>
    <w:p>
      <w:pPr>
        <w:spacing w:before="0"/>
        <w:ind w:left="0" w:right="0" w:firstLine="0"/>
        <w:jc w:val="center"/>
        <w:rPr>
          <w:i/>
          <w:sz w:val="24"/>
        </w:rPr>
      </w:pPr>
      <w:r>
        <w:rPr>
          <w:i/>
          <w:sz w:val="24"/>
        </w:rPr>
        <w:t>(a</w:t>
      </w:r>
      <w:r>
        <w:rPr>
          <w:i/>
          <w:spacing w:val="-4"/>
          <w:sz w:val="24"/>
        </w:rPr>
        <w:t> </w:t>
      </w:r>
      <w:r>
        <w:rPr>
          <w:i/>
          <w:sz w:val="24"/>
        </w:rPr>
        <w:t>public</w:t>
      </w:r>
      <w:r>
        <w:rPr>
          <w:i/>
          <w:spacing w:val="-1"/>
          <w:sz w:val="24"/>
        </w:rPr>
        <w:t> </w:t>
      </w:r>
      <w:r>
        <w:rPr>
          <w:i/>
          <w:sz w:val="24"/>
        </w:rPr>
        <w:t>company</w:t>
      </w:r>
      <w:r>
        <w:rPr>
          <w:i/>
          <w:spacing w:val="-2"/>
          <w:sz w:val="24"/>
        </w:rPr>
        <w:t> </w:t>
      </w:r>
      <w:r>
        <w:rPr>
          <w:i/>
          <w:sz w:val="24"/>
        </w:rPr>
        <w:t>incorporated</w:t>
      </w:r>
      <w:r>
        <w:rPr>
          <w:i/>
          <w:spacing w:val="-3"/>
          <w:sz w:val="24"/>
        </w:rPr>
        <w:t> </w:t>
      </w:r>
      <w:r>
        <w:rPr>
          <w:i/>
          <w:sz w:val="24"/>
        </w:rPr>
        <w:t>with</w:t>
      </w:r>
      <w:r>
        <w:rPr>
          <w:i/>
          <w:spacing w:val="-3"/>
          <w:sz w:val="24"/>
        </w:rPr>
        <w:t> </w:t>
      </w:r>
      <w:r>
        <w:rPr>
          <w:i/>
          <w:sz w:val="24"/>
        </w:rPr>
        <w:t>limited</w:t>
      </w:r>
      <w:r>
        <w:rPr>
          <w:i/>
          <w:spacing w:val="-4"/>
          <w:sz w:val="24"/>
        </w:rPr>
        <w:t> </w:t>
      </w:r>
      <w:r>
        <w:rPr>
          <w:i/>
          <w:sz w:val="24"/>
        </w:rPr>
        <w:t>liability</w:t>
      </w:r>
      <w:r>
        <w:rPr>
          <w:i/>
          <w:spacing w:val="-1"/>
          <w:sz w:val="24"/>
        </w:rPr>
        <w:t> </w:t>
      </w:r>
      <w:r>
        <w:rPr>
          <w:i/>
          <w:sz w:val="24"/>
        </w:rPr>
        <w:t>in</w:t>
      </w:r>
      <w:r>
        <w:rPr>
          <w:i/>
          <w:spacing w:val="-3"/>
          <w:sz w:val="24"/>
        </w:rPr>
        <w:t> </w:t>
      </w:r>
      <w:r>
        <w:rPr>
          <w:i/>
          <w:spacing w:val="-2"/>
          <w:sz w:val="24"/>
        </w:rPr>
        <w:t>Ireland)</w:t>
      </w:r>
    </w:p>
    <w:p>
      <w:pPr>
        <w:pStyle w:val="Heading1"/>
        <w:spacing w:line="256" w:lineRule="auto"/>
        <w:ind w:left="1"/>
      </w:pPr>
      <w:r>
        <w:rPr/>
        <w:t>WISDOMTREE</w:t>
      </w:r>
      <w:r>
        <w:rPr>
          <w:spacing w:val="-3"/>
        </w:rPr>
        <w:t> </w:t>
      </w:r>
      <w:r>
        <w:rPr/>
        <w:t>S&amp;P</w:t>
      </w:r>
      <w:r>
        <w:rPr>
          <w:spacing w:val="-4"/>
        </w:rPr>
        <w:t> </w:t>
      </w:r>
      <w:r>
        <w:rPr/>
        <w:t>500</w:t>
      </w:r>
      <w:r>
        <w:rPr>
          <w:spacing w:val="-5"/>
        </w:rPr>
        <w:t> </w:t>
      </w:r>
      <w:r>
        <w:rPr/>
        <w:t>VIX</w:t>
      </w:r>
      <w:r>
        <w:rPr>
          <w:spacing w:val="-4"/>
        </w:rPr>
        <w:t> </w:t>
      </w:r>
      <w:r>
        <w:rPr/>
        <w:t>SHORT-TERM</w:t>
      </w:r>
      <w:r>
        <w:rPr>
          <w:spacing w:val="-5"/>
        </w:rPr>
        <w:t> </w:t>
      </w:r>
      <w:r>
        <w:rPr/>
        <w:t>FUTURES</w:t>
      </w:r>
      <w:r>
        <w:rPr>
          <w:spacing w:val="-4"/>
        </w:rPr>
        <w:t> </w:t>
      </w:r>
      <w:r>
        <w:rPr/>
        <w:t>2.25X</w:t>
      </w:r>
      <w:r>
        <w:rPr>
          <w:spacing w:val="-6"/>
        </w:rPr>
        <w:t> </w:t>
      </w:r>
      <w:r>
        <w:rPr/>
        <w:t>DAILY</w:t>
      </w:r>
      <w:r>
        <w:rPr>
          <w:spacing w:val="-3"/>
        </w:rPr>
        <w:t> </w:t>
      </w:r>
      <w:r>
        <w:rPr/>
        <w:t>LEVERAGED</w:t>
      </w:r>
      <w:r>
        <w:rPr>
          <w:spacing w:val="-4"/>
        </w:rPr>
        <w:t> </w:t>
      </w:r>
      <w:r>
        <w:rPr/>
        <w:t>SECURITIES ISIN: XS2819843736</w:t>
      </w:r>
    </w:p>
    <w:p>
      <w:pPr>
        <w:pStyle w:val="BodyText"/>
        <w:spacing w:before="27"/>
        <w:rPr>
          <w:b/>
        </w:rPr>
      </w:pPr>
    </w:p>
    <w:p>
      <w:pPr>
        <w:spacing w:line="259" w:lineRule="auto" w:before="1"/>
        <w:ind w:left="0" w:right="0" w:firstLine="0"/>
        <w:jc w:val="center"/>
        <w:rPr>
          <w:b/>
          <w:sz w:val="24"/>
        </w:rPr>
      </w:pPr>
      <w:r>
        <w:rPr>
          <w:b/>
          <w:sz w:val="24"/>
        </w:rPr>
        <w:t>PROPOSED</w:t>
      </w:r>
      <w:r>
        <w:rPr>
          <w:b/>
          <w:spacing w:val="-3"/>
          <w:sz w:val="24"/>
        </w:rPr>
        <w:t> </w:t>
      </w:r>
      <w:r>
        <w:rPr>
          <w:b/>
          <w:sz w:val="24"/>
        </w:rPr>
        <w:t>AMENDMENT</w:t>
      </w:r>
      <w:r>
        <w:rPr>
          <w:b/>
          <w:spacing w:val="-3"/>
          <w:sz w:val="24"/>
        </w:rPr>
        <w:t> </w:t>
      </w:r>
      <w:r>
        <w:rPr>
          <w:b/>
          <w:sz w:val="24"/>
        </w:rPr>
        <w:t>TO</w:t>
      </w:r>
      <w:r>
        <w:rPr>
          <w:b/>
          <w:spacing w:val="-5"/>
          <w:sz w:val="24"/>
        </w:rPr>
        <w:t> </w:t>
      </w:r>
      <w:r>
        <w:rPr>
          <w:b/>
          <w:sz w:val="24"/>
        </w:rPr>
        <w:t>THE</w:t>
      </w:r>
      <w:r>
        <w:rPr>
          <w:b/>
          <w:spacing w:val="-3"/>
          <w:sz w:val="24"/>
        </w:rPr>
        <w:t> </w:t>
      </w:r>
      <w:r>
        <w:rPr>
          <w:b/>
          <w:sz w:val="24"/>
        </w:rPr>
        <w:t>PRINCIPAL</w:t>
      </w:r>
      <w:r>
        <w:rPr>
          <w:b/>
          <w:spacing w:val="-4"/>
          <w:sz w:val="24"/>
        </w:rPr>
        <w:t> </w:t>
      </w:r>
      <w:r>
        <w:rPr>
          <w:b/>
          <w:sz w:val="24"/>
        </w:rPr>
        <w:t>AMOUNT</w:t>
      </w:r>
      <w:r>
        <w:rPr>
          <w:b/>
          <w:spacing w:val="-3"/>
          <w:sz w:val="24"/>
        </w:rPr>
        <w:t> </w:t>
      </w:r>
      <w:r>
        <w:rPr>
          <w:b/>
          <w:sz w:val="24"/>
        </w:rPr>
        <w:t>OF</w:t>
      </w:r>
      <w:r>
        <w:rPr>
          <w:b/>
          <w:spacing w:val="-3"/>
          <w:sz w:val="24"/>
        </w:rPr>
        <w:t> </w:t>
      </w:r>
      <w:r>
        <w:rPr>
          <w:b/>
          <w:sz w:val="24"/>
        </w:rPr>
        <w:t>THE</w:t>
      </w:r>
      <w:r>
        <w:rPr>
          <w:b/>
          <w:spacing w:val="-3"/>
          <w:sz w:val="24"/>
        </w:rPr>
        <w:t> </w:t>
      </w:r>
      <w:r>
        <w:rPr>
          <w:b/>
          <w:sz w:val="24"/>
        </w:rPr>
        <w:t>AFFECTED</w:t>
      </w:r>
      <w:r>
        <w:rPr>
          <w:b/>
          <w:spacing w:val="-4"/>
          <w:sz w:val="24"/>
        </w:rPr>
        <w:t> </w:t>
      </w:r>
      <w:r>
        <w:rPr>
          <w:b/>
          <w:sz w:val="24"/>
        </w:rPr>
        <w:t>SECURITIES ADJOURNMENT OF MEETING OF THE ETP SECURITYHOLDERS</w:t>
      </w:r>
    </w:p>
    <w:p>
      <w:pPr>
        <w:pStyle w:val="BodyText"/>
        <w:spacing w:before="279"/>
        <w:ind w:left="1"/>
        <w:jc w:val="center"/>
      </w:pPr>
      <w:r>
        <w:rPr/>
        <w:t>THIS</w:t>
      </w:r>
      <w:r>
        <w:rPr>
          <w:spacing w:val="-2"/>
        </w:rPr>
        <w:t> </w:t>
      </w:r>
      <w:r>
        <w:rPr/>
        <w:t>DOCUMENT</w:t>
      </w:r>
      <w:r>
        <w:rPr>
          <w:spacing w:val="1"/>
        </w:rPr>
        <w:t> </w:t>
      </w:r>
      <w:r>
        <w:rPr/>
        <w:t>IS</w:t>
      </w:r>
      <w:r>
        <w:rPr>
          <w:spacing w:val="1"/>
        </w:rPr>
        <w:t> </w:t>
      </w:r>
      <w:r>
        <w:rPr/>
        <w:t>IMPORTANT</w:t>
      </w:r>
      <w:r>
        <w:rPr>
          <w:spacing w:val="1"/>
        </w:rPr>
        <w:t> </w:t>
      </w:r>
      <w:r>
        <w:rPr/>
        <w:t>AND</w:t>
      </w:r>
      <w:r>
        <w:rPr>
          <w:spacing w:val="2"/>
        </w:rPr>
        <w:t> </w:t>
      </w:r>
      <w:r>
        <w:rPr/>
        <w:t>REQUIRES YOUR IMMEDIATE</w:t>
      </w:r>
      <w:r>
        <w:rPr>
          <w:spacing w:val="1"/>
        </w:rPr>
        <w:t> </w:t>
      </w:r>
      <w:r>
        <w:rPr/>
        <w:t>ATTENTION. If</w:t>
      </w:r>
      <w:r>
        <w:rPr>
          <w:spacing w:val="2"/>
        </w:rPr>
        <w:t> </w:t>
      </w:r>
      <w:r>
        <w:rPr/>
        <w:t>you</w:t>
      </w:r>
      <w:r>
        <w:rPr>
          <w:spacing w:val="2"/>
        </w:rPr>
        <w:t> </w:t>
      </w:r>
      <w:r>
        <w:rPr/>
        <w:t>are</w:t>
      </w:r>
      <w:r>
        <w:rPr>
          <w:spacing w:val="1"/>
        </w:rPr>
        <w:t> </w:t>
      </w:r>
      <w:r>
        <w:rPr>
          <w:spacing w:val="-5"/>
        </w:rPr>
        <w:t>in</w:t>
      </w:r>
    </w:p>
    <w:p>
      <w:pPr>
        <w:pStyle w:val="BodyText"/>
        <w:ind w:left="22" w:right="14"/>
        <w:jc w:val="both"/>
      </w:pPr>
      <w:r>
        <w:rPr/>
        <w:t>any doubt about what action you should take, you are recommended to consult your independent financial adviser.</w:t>
      </w:r>
    </w:p>
    <w:p>
      <w:pPr>
        <w:pStyle w:val="BodyText"/>
        <w:spacing w:before="280"/>
        <w:ind w:left="22" w:right="14"/>
        <w:jc w:val="both"/>
      </w:pPr>
      <w:r>
        <w:rPr/>
        <w:t>If</w:t>
      </w:r>
      <w:r>
        <w:rPr>
          <w:spacing w:val="-3"/>
        </w:rPr>
        <w:t> </w:t>
      </w:r>
      <w:r>
        <w:rPr/>
        <w:t>you</w:t>
      </w:r>
      <w:r>
        <w:rPr>
          <w:spacing w:val="-5"/>
        </w:rPr>
        <w:t> </w:t>
      </w:r>
      <w:r>
        <w:rPr/>
        <w:t>have</w:t>
      </w:r>
      <w:r>
        <w:rPr>
          <w:spacing w:val="-6"/>
        </w:rPr>
        <w:t> </w:t>
      </w:r>
      <w:r>
        <w:rPr/>
        <w:t>sold</w:t>
      </w:r>
      <w:r>
        <w:rPr>
          <w:spacing w:val="-5"/>
        </w:rPr>
        <w:t> </w:t>
      </w:r>
      <w:r>
        <w:rPr/>
        <w:t>or</w:t>
      </w:r>
      <w:r>
        <w:rPr>
          <w:spacing w:val="-6"/>
        </w:rPr>
        <w:t> </w:t>
      </w:r>
      <w:r>
        <w:rPr/>
        <w:t>transferred</w:t>
      </w:r>
      <w:r>
        <w:rPr>
          <w:spacing w:val="-5"/>
        </w:rPr>
        <w:t> </w:t>
      </w:r>
      <w:r>
        <w:rPr/>
        <w:t>all</w:t>
      </w:r>
      <w:r>
        <w:rPr>
          <w:spacing w:val="-6"/>
        </w:rPr>
        <w:t> </w:t>
      </w:r>
      <w:r>
        <w:rPr/>
        <w:t>of</w:t>
      </w:r>
      <w:r>
        <w:rPr>
          <w:spacing w:val="-3"/>
        </w:rPr>
        <w:t> </w:t>
      </w:r>
      <w:r>
        <w:rPr/>
        <w:t>your</w:t>
      </w:r>
      <w:r>
        <w:rPr>
          <w:spacing w:val="-6"/>
        </w:rPr>
        <w:t> </w:t>
      </w:r>
      <w:r>
        <w:rPr/>
        <w:t>WisdomTree</w:t>
      </w:r>
      <w:r>
        <w:rPr>
          <w:spacing w:val="-6"/>
        </w:rPr>
        <w:t> </w:t>
      </w:r>
      <w:r>
        <w:rPr/>
        <w:t>S&amp;P</w:t>
      </w:r>
      <w:r>
        <w:rPr>
          <w:spacing w:val="-6"/>
        </w:rPr>
        <w:t> </w:t>
      </w:r>
      <w:r>
        <w:rPr/>
        <w:t>500</w:t>
      </w:r>
      <w:r>
        <w:rPr>
          <w:spacing w:val="-6"/>
        </w:rPr>
        <w:t> </w:t>
      </w:r>
      <w:r>
        <w:rPr/>
        <w:t>VIX</w:t>
      </w:r>
      <w:r>
        <w:rPr>
          <w:spacing w:val="-4"/>
        </w:rPr>
        <w:t> </w:t>
      </w:r>
      <w:r>
        <w:rPr/>
        <w:t>Short-Term</w:t>
      </w:r>
      <w:r>
        <w:rPr>
          <w:spacing w:val="-4"/>
        </w:rPr>
        <w:t> </w:t>
      </w:r>
      <w:r>
        <w:rPr/>
        <w:t>Futures</w:t>
      </w:r>
      <w:r>
        <w:rPr>
          <w:spacing w:val="-7"/>
        </w:rPr>
        <w:t> </w:t>
      </w:r>
      <w:r>
        <w:rPr/>
        <w:t>2.25x Daily Leveraged Securities (the “</w:t>
      </w:r>
      <w:r>
        <w:rPr>
          <w:b/>
        </w:rPr>
        <w:t>Affected Securities</w:t>
      </w:r>
      <w:r>
        <w:rPr/>
        <w:t>”) of WisdomTree Multi Asset Issuer Public Limited Company (the “</w:t>
      </w:r>
      <w:r>
        <w:rPr>
          <w:b/>
        </w:rPr>
        <w:t>Issuer</w:t>
      </w:r>
      <w:r>
        <w:rPr/>
        <w:t>”), please send this document, together with the accompanying form of proxy, at once to the purchaser or transferee or stockbroker, banker or other</w:t>
      </w:r>
      <w:r>
        <w:rPr>
          <w:spacing w:val="-1"/>
        </w:rPr>
        <w:t> </w:t>
      </w:r>
      <w:r>
        <w:rPr/>
        <w:t>agent through</w:t>
      </w:r>
      <w:r>
        <w:rPr>
          <w:spacing w:val="-3"/>
        </w:rPr>
        <w:t> </w:t>
      </w:r>
      <w:r>
        <w:rPr/>
        <w:t>whom</w:t>
      </w:r>
      <w:r>
        <w:rPr>
          <w:spacing w:val="-4"/>
        </w:rPr>
        <w:t> </w:t>
      </w:r>
      <w:r>
        <w:rPr/>
        <w:t>the</w:t>
      </w:r>
      <w:r>
        <w:rPr>
          <w:spacing w:val="-1"/>
        </w:rPr>
        <w:t> </w:t>
      </w:r>
      <w:r>
        <w:rPr/>
        <w:t>sale</w:t>
      </w:r>
      <w:r>
        <w:rPr>
          <w:spacing w:val="-3"/>
        </w:rPr>
        <w:t> </w:t>
      </w:r>
      <w:r>
        <w:rPr/>
        <w:t>or</w:t>
      </w:r>
      <w:r>
        <w:rPr>
          <w:spacing w:val="-1"/>
        </w:rPr>
        <w:t> </w:t>
      </w:r>
      <w:r>
        <w:rPr/>
        <w:t>transfer was made,</w:t>
      </w:r>
      <w:r>
        <w:rPr>
          <w:spacing w:val="-4"/>
        </w:rPr>
        <w:t> </w:t>
      </w:r>
      <w:r>
        <w:rPr/>
        <w:t>for</w:t>
      </w:r>
      <w:r>
        <w:rPr>
          <w:spacing w:val="-1"/>
        </w:rPr>
        <w:t> </w:t>
      </w:r>
      <w:r>
        <w:rPr/>
        <w:t>onward transmission to</w:t>
      </w:r>
      <w:r>
        <w:rPr>
          <w:spacing w:val="-3"/>
        </w:rPr>
        <w:t> </w:t>
      </w:r>
      <w:r>
        <w:rPr/>
        <w:t>the purchaser or transferee.</w:t>
      </w:r>
    </w:p>
    <w:p>
      <w:pPr>
        <w:pStyle w:val="BodyText"/>
        <w:spacing w:before="280"/>
        <w:ind w:left="22" w:right="17"/>
        <w:jc w:val="both"/>
      </w:pPr>
      <w:r>
        <w:rPr/>
        <w:t>The Issuer wishes to announce that the Meeting of the holders of the Affected Securities scheduled for Tuesday 3 February 2026, at 11:00 a.m. (the “</w:t>
      </w:r>
      <w:r>
        <w:rPr>
          <w:b/>
        </w:rPr>
        <w:t>Original Meeting</w:t>
      </w:r>
      <w:r>
        <w:rPr/>
        <w:t>”) has been adjourned, in accordance with paragraph 20 of Schedule 7 of the Trust Deed, for lack of a quorum. The adjourned meeting will be reconvened on 11:00 a.m. on Tuesday 24 February 2026, being a date not more than 30 days after the Original Meeting, and will be held at the offices</w:t>
      </w:r>
      <w:r>
        <w:rPr>
          <w:spacing w:val="-4"/>
        </w:rPr>
        <w:t> </w:t>
      </w:r>
      <w:r>
        <w:rPr/>
        <w:t>of</w:t>
      </w:r>
      <w:r>
        <w:rPr>
          <w:spacing w:val="-3"/>
        </w:rPr>
        <w:t> </w:t>
      </w:r>
      <w:r>
        <w:rPr/>
        <w:t>Apex</w:t>
      </w:r>
      <w:r>
        <w:rPr>
          <w:spacing w:val="-5"/>
        </w:rPr>
        <w:t> </w:t>
      </w:r>
      <w:r>
        <w:rPr/>
        <w:t>IFS</w:t>
      </w:r>
      <w:r>
        <w:rPr>
          <w:spacing w:val="-1"/>
        </w:rPr>
        <w:t> </w:t>
      </w:r>
      <w:r>
        <w:rPr/>
        <w:t>Limited in</w:t>
      </w:r>
      <w:r>
        <w:rPr>
          <w:spacing w:val="-3"/>
        </w:rPr>
        <w:t> </w:t>
      </w:r>
      <w:r>
        <w:rPr/>
        <w:t>2nd Floor,</w:t>
      </w:r>
      <w:r>
        <w:rPr>
          <w:spacing w:val="-4"/>
        </w:rPr>
        <w:t> </w:t>
      </w:r>
      <w:r>
        <w:rPr/>
        <w:t>Block</w:t>
      </w:r>
      <w:r>
        <w:rPr>
          <w:spacing w:val="-3"/>
        </w:rPr>
        <w:t> </w:t>
      </w:r>
      <w:r>
        <w:rPr/>
        <w:t>5,</w:t>
      </w:r>
      <w:r>
        <w:rPr>
          <w:spacing w:val="-1"/>
        </w:rPr>
        <w:t> </w:t>
      </w:r>
      <w:r>
        <w:rPr/>
        <w:t>Irish Life</w:t>
      </w:r>
      <w:r>
        <w:rPr>
          <w:spacing w:val="-3"/>
        </w:rPr>
        <w:t> </w:t>
      </w:r>
      <w:r>
        <w:rPr/>
        <w:t>Centre,</w:t>
      </w:r>
      <w:r>
        <w:rPr>
          <w:spacing w:val="-4"/>
        </w:rPr>
        <w:t> </w:t>
      </w:r>
      <w:r>
        <w:rPr/>
        <w:t>Abbey</w:t>
      </w:r>
      <w:r>
        <w:rPr>
          <w:spacing w:val="-2"/>
        </w:rPr>
        <w:t> </w:t>
      </w:r>
      <w:r>
        <w:rPr/>
        <w:t>Street Lower,</w:t>
      </w:r>
      <w:r>
        <w:rPr>
          <w:spacing w:val="-1"/>
        </w:rPr>
        <w:t> </w:t>
      </w:r>
      <w:r>
        <w:rPr/>
        <w:t>Dublin 1, D01P767, Ireland (the “</w:t>
      </w:r>
      <w:r>
        <w:rPr>
          <w:b/>
        </w:rPr>
        <w:t>Adjourned Meeting</w:t>
      </w:r>
      <w:r>
        <w:rPr/>
        <w:t>”).</w:t>
      </w:r>
    </w:p>
    <w:p>
      <w:pPr>
        <w:pStyle w:val="BodyText"/>
        <w:spacing w:line="259" w:lineRule="auto" w:before="279"/>
        <w:ind w:left="23" w:right="16"/>
        <w:jc w:val="both"/>
      </w:pPr>
      <w:r>
        <w:rPr/>
        <w:t>The Adjourned Meeting is being held to consider certain amendments to documentation, made under the powers set out in clause 2 of schedule 7 of the master trust deed of the Affected Securities, required to effect a reduction in the principal amount of the Affected Securities from USD 0.481 to USD 0.0481. This follows the price of the Affected Securities falling</w:t>
      </w:r>
      <w:r>
        <w:rPr>
          <w:spacing w:val="-7"/>
        </w:rPr>
        <w:t> </w:t>
      </w:r>
      <w:r>
        <w:rPr/>
        <w:t>below</w:t>
      </w:r>
      <w:r>
        <w:rPr>
          <w:spacing w:val="-5"/>
        </w:rPr>
        <w:t> </w:t>
      </w:r>
      <w:r>
        <w:rPr/>
        <w:t>500</w:t>
      </w:r>
      <w:r>
        <w:rPr>
          <w:spacing w:val="-3"/>
        </w:rPr>
        <w:t> </w:t>
      </w:r>
      <w:r>
        <w:rPr/>
        <w:t>per</w:t>
      </w:r>
      <w:r>
        <w:rPr>
          <w:spacing w:val="-4"/>
        </w:rPr>
        <w:t> </w:t>
      </w:r>
      <w:r>
        <w:rPr/>
        <w:t>cent.</w:t>
      </w:r>
      <w:r>
        <w:rPr>
          <w:spacing w:val="-5"/>
        </w:rPr>
        <w:t> </w:t>
      </w:r>
      <w:r>
        <w:rPr/>
        <w:t>of</w:t>
      </w:r>
      <w:r>
        <w:rPr>
          <w:spacing w:val="-5"/>
        </w:rPr>
        <w:t> </w:t>
      </w:r>
      <w:r>
        <w:rPr/>
        <w:t>its</w:t>
      </w:r>
      <w:r>
        <w:rPr>
          <w:spacing w:val="-7"/>
        </w:rPr>
        <w:t> </w:t>
      </w:r>
      <w:r>
        <w:rPr/>
        <w:t>current</w:t>
      </w:r>
      <w:r>
        <w:rPr>
          <w:spacing w:val="-5"/>
        </w:rPr>
        <w:t> </w:t>
      </w:r>
      <w:r>
        <w:rPr/>
        <w:t>principal</w:t>
      </w:r>
      <w:r>
        <w:rPr>
          <w:spacing w:val="-9"/>
        </w:rPr>
        <w:t> </w:t>
      </w:r>
      <w:r>
        <w:rPr/>
        <w:t>amount</w:t>
      </w:r>
      <w:r>
        <w:rPr>
          <w:spacing w:val="-5"/>
        </w:rPr>
        <w:t> </w:t>
      </w:r>
      <w:r>
        <w:rPr/>
        <w:t>on</w:t>
      </w:r>
      <w:r>
        <w:rPr>
          <w:spacing w:val="-5"/>
        </w:rPr>
        <w:t> </w:t>
      </w:r>
      <w:r>
        <w:rPr/>
        <w:t>2</w:t>
      </w:r>
      <w:r>
        <w:rPr>
          <w:spacing w:val="-3"/>
        </w:rPr>
        <w:t> </w:t>
      </w:r>
      <w:r>
        <w:rPr/>
        <w:t>January</w:t>
      </w:r>
      <w:r>
        <w:rPr>
          <w:spacing w:val="-5"/>
        </w:rPr>
        <w:t> </w:t>
      </w:r>
      <w:r>
        <w:rPr/>
        <w:t>2026,</w:t>
      </w:r>
      <w:r>
        <w:rPr>
          <w:spacing w:val="-4"/>
        </w:rPr>
        <w:t> </w:t>
      </w:r>
      <w:r>
        <w:rPr/>
        <w:t>and</w:t>
      </w:r>
      <w:r>
        <w:rPr>
          <w:spacing w:val="-5"/>
        </w:rPr>
        <w:t> </w:t>
      </w:r>
      <w:r>
        <w:rPr/>
        <w:t>is</w:t>
      </w:r>
      <w:r>
        <w:rPr>
          <w:spacing w:val="-4"/>
        </w:rPr>
        <w:t> </w:t>
      </w:r>
      <w:r>
        <w:rPr/>
        <w:t>designed to maintain the normal trading and operations of the Affected Securities. Full details of the Proposal and Extraordinary Resolution are set out in the notice dated 8 January 2026.</w:t>
      </w:r>
    </w:p>
    <w:p>
      <w:pPr>
        <w:pStyle w:val="BodyText"/>
        <w:spacing w:before="22"/>
      </w:pPr>
    </w:p>
    <w:p>
      <w:pPr>
        <w:pStyle w:val="BodyText"/>
        <w:spacing w:line="259" w:lineRule="auto"/>
        <w:ind w:left="23" w:right="15"/>
        <w:jc w:val="both"/>
      </w:pPr>
      <w:r>
        <w:rPr/>
        <w:t>Under</w:t>
      </w:r>
      <w:r>
        <w:rPr>
          <w:spacing w:val="-8"/>
        </w:rPr>
        <w:t> </w:t>
      </w:r>
      <w:r>
        <w:rPr/>
        <w:t>article</w:t>
      </w:r>
      <w:r>
        <w:rPr>
          <w:spacing w:val="-8"/>
        </w:rPr>
        <w:t> </w:t>
      </w:r>
      <w:r>
        <w:rPr/>
        <w:t>11.5</w:t>
      </w:r>
      <w:r>
        <w:rPr>
          <w:spacing w:val="-8"/>
        </w:rPr>
        <w:t> </w:t>
      </w:r>
      <w:r>
        <w:rPr/>
        <w:t>of</w:t>
      </w:r>
      <w:r>
        <w:rPr>
          <w:spacing w:val="-8"/>
        </w:rPr>
        <w:t> </w:t>
      </w:r>
      <w:r>
        <w:rPr/>
        <w:t>the</w:t>
      </w:r>
      <w:r>
        <w:rPr>
          <w:spacing w:val="-8"/>
        </w:rPr>
        <w:t> </w:t>
      </w:r>
      <w:r>
        <w:rPr/>
        <w:t>Issuer’s</w:t>
      </w:r>
      <w:r>
        <w:rPr>
          <w:spacing w:val="-7"/>
        </w:rPr>
        <w:t> </w:t>
      </w:r>
      <w:r>
        <w:rPr/>
        <w:t>Articles</w:t>
      </w:r>
      <w:r>
        <w:rPr>
          <w:spacing w:val="-7"/>
        </w:rPr>
        <w:t> </w:t>
      </w:r>
      <w:r>
        <w:rPr/>
        <w:t>of</w:t>
      </w:r>
      <w:r>
        <w:rPr>
          <w:spacing w:val="-8"/>
        </w:rPr>
        <w:t> </w:t>
      </w:r>
      <w:r>
        <w:rPr/>
        <w:t>Association,</w:t>
      </w:r>
      <w:r>
        <w:rPr>
          <w:spacing w:val="-9"/>
        </w:rPr>
        <w:t> </w:t>
      </w:r>
      <w:r>
        <w:rPr/>
        <w:t>no</w:t>
      </w:r>
      <w:r>
        <w:rPr>
          <w:spacing w:val="-8"/>
        </w:rPr>
        <w:t> </w:t>
      </w:r>
      <w:r>
        <w:rPr/>
        <w:t>further</w:t>
      </w:r>
      <w:r>
        <w:rPr>
          <w:spacing w:val="-9"/>
        </w:rPr>
        <w:t> </w:t>
      </w:r>
      <w:r>
        <w:rPr/>
        <w:t>notification</w:t>
      </w:r>
      <w:r>
        <w:rPr>
          <w:spacing w:val="-7"/>
        </w:rPr>
        <w:t> </w:t>
      </w:r>
      <w:r>
        <w:rPr/>
        <w:t>is</w:t>
      </w:r>
      <w:r>
        <w:rPr>
          <w:spacing w:val="-9"/>
        </w:rPr>
        <w:t> </w:t>
      </w:r>
      <w:r>
        <w:rPr/>
        <w:t>required</w:t>
      </w:r>
      <w:r>
        <w:rPr>
          <w:spacing w:val="-8"/>
        </w:rPr>
        <w:t> </w:t>
      </w:r>
      <w:r>
        <w:rPr/>
        <w:t>for the Adjourned Meeting. Holders of the Affected Securities are therefore directed to the original notification, including the circular dated 8 January 2026, and also a revised form of</w:t>
      </w:r>
    </w:p>
    <w:p>
      <w:pPr>
        <w:pStyle w:val="BodyText"/>
        <w:spacing w:after="0" w:line="259" w:lineRule="auto"/>
        <w:jc w:val="both"/>
        <w:sectPr>
          <w:type w:val="continuous"/>
          <w:pgSz w:w="11910" w:h="16840"/>
          <w:pgMar w:top="1680" w:bottom="280" w:left="1417" w:right="1417"/>
        </w:sectPr>
      </w:pPr>
    </w:p>
    <w:p>
      <w:pPr>
        <w:spacing w:line="259" w:lineRule="auto" w:before="41"/>
        <w:ind w:left="23" w:right="19" w:firstLine="0"/>
        <w:jc w:val="left"/>
        <w:rPr>
          <w:sz w:val="22"/>
        </w:rPr>
      </w:pPr>
      <w:r>
        <w:rPr>
          <w:sz w:val="24"/>
        </w:rPr>
        <w:t>proxy</w:t>
      </w:r>
      <w:r>
        <w:rPr>
          <w:spacing w:val="40"/>
          <w:sz w:val="24"/>
        </w:rPr>
        <w:t> </w:t>
      </w:r>
      <w:r>
        <w:rPr>
          <w:sz w:val="24"/>
        </w:rPr>
        <w:t>for</w:t>
      </w:r>
      <w:r>
        <w:rPr>
          <w:spacing w:val="40"/>
          <w:sz w:val="24"/>
        </w:rPr>
        <w:t> </w:t>
      </w:r>
      <w:r>
        <w:rPr>
          <w:sz w:val="24"/>
        </w:rPr>
        <w:t>the</w:t>
      </w:r>
      <w:r>
        <w:rPr>
          <w:spacing w:val="40"/>
          <w:sz w:val="24"/>
        </w:rPr>
        <w:t> </w:t>
      </w:r>
      <w:r>
        <w:rPr>
          <w:sz w:val="24"/>
        </w:rPr>
        <w:t>Adjourned</w:t>
      </w:r>
      <w:r>
        <w:rPr>
          <w:spacing w:val="40"/>
          <w:sz w:val="24"/>
        </w:rPr>
        <w:t> </w:t>
      </w:r>
      <w:r>
        <w:rPr>
          <w:sz w:val="24"/>
        </w:rPr>
        <w:t>Meeting,</w:t>
      </w:r>
      <w:r>
        <w:rPr>
          <w:spacing w:val="40"/>
          <w:sz w:val="24"/>
        </w:rPr>
        <w:t> </w:t>
      </w:r>
      <w:r>
        <w:rPr>
          <w:sz w:val="24"/>
        </w:rPr>
        <w:t>which</w:t>
      </w:r>
      <w:r>
        <w:rPr>
          <w:spacing w:val="40"/>
          <w:sz w:val="24"/>
        </w:rPr>
        <w:t> </w:t>
      </w:r>
      <w:r>
        <w:rPr>
          <w:sz w:val="24"/>
        </w:rPr>
        <w:t>are</w:t>
      </w:r>
      <w:r>
        <w:rPr>
          <w:spacing w:val="40"/>
          <w:sz w:val="24"/>
        </w:rPr>
        <w:t> </w:t>
      </w:r>
      <w:r>
        <w:rPr>
          <w:sz w:val="24"/>
        </w:rPr>
        <w:t>available</w:t>
      </w:r>
      <w:r>
        <w:rPr>
          <w:spacing w:val="40"/>
          <w:sz w:val="24"/>
        </w:rPr>
        <w:t> </w:t>
      </w:r>
      <w:r>
        <w:rPr>
          <w:sz w:val="24"/>
        </w:rPr>
        <w:t>on</w:t>
      </w:r>
      <w:r>
        <w:rPr>
          <w:spacing w:val="40"/>
          <w:sz w:val="24"/>
        </w:rPr>
        <w:t> </w:t>
      </w:r>
      <w:r>
        <w:rPr>
          <w:sz w:val="24"/>
        </w:rPr>
        <w:t>the</w:t>
      </w:r>
      <w:r>
        <w:rPr>
          <w:spacing w:val="40"/>
          <w:sz w:val="24"/>
        </w:rPr>
        <w:t> </w:t>
      </w:r>
      <w:r>
        <w:rPr>
          <w:sz w:val="24"/>
        </w:rPr>
        <w:t>website</w:t>
      </w:r>
      <w:r>
        <w:rPr>
          <w:spacing w:val="40"/>
          <w:sz w:val="24"/>
        </w:rPr>
        <w:t> </w:t>
      </w:r>
      <w:r>
        <w:rPr>
          <w:sz w:val="24"/>
        </w:rPr>
        <w:t>of</w:t>
      </w:r>
      <w:r>
        <w:rPr>
          <w:spacing w:val="40"/>
          <w:sz w:val="24"/>
        </w:rPr>
        <w:t> </w:t>
      </w:r>
      <w:r>
        <w:rPr>
          <w:sz w:val="24"/>
        </w:rPr>
        <w:t>the</w:t>
      </w:r>
      <w:r>
        <w:rPr>
          <w:spacing w:val="40"/>
          <w:sz w:val="24"/>
        </w:rPr>
        <w:t> </w:t>
      </w:r>
      <w:r>
        <w:rPr>
          <w:sz w:val="24"/>
        </w:rPr>
        <w:t>Issuer</w:t>
      </w:r>
      <w:r>
        <w:rPr>
          <w:spacing w:val="40"/>
          <w:sz w:val="24"/>
        </w:rPr>
        <w:t> </w:t>
      </w:r>
      <w:r>
        <w:rPr>
          <w:sz w:val="24"/>
        </w:rPr>
        <w:t>at </w:t>
      </w:r>
      <w:hyperlink r:id="rId5">
        <w:r>
          <w:rPr>
            <w:color w:val="0562C1"/>
            <w:spacing w:val="-2"/>
            <w:sz w:val="22"/>
            <w:u w:val="single" w:color="0562C1"/>
          </w:rPr>
          <w:t>https://www.wisdomtree.eu/en-gb/resource-library/prospectus-and-regulatory-reports#tab-</w:t>
        </w:r>
      </w:hyperlink>
      <w:r>
        <w:rPr>
          <w:color w:val="0562C1"/>
          <w:spacing w:val="-2"/>
          <w:sz w:val="22"/>
          <w:u w:val="none"/>
        </w:rPr>
        <w:t> </w:t>
      </w:r>
      <w:hyperlink r:id="rId5">
        <w:r>
          <w:rPr>
            <w:color w:val="0562C1"/>
            <w:spacing w:val="-2"/>
            <w:sz w:val="22"/>
            <w:u w:val="single" w:color="0562C1"/>
          </w:rPr>
          <w:t>2A942D42-5AA1-4008-9080-3C2DADB050A7</w:t>
        </w:r>
      </w:hyperlink>
      <w:r>
        <w:rPr>
          <w:spacing w:val="-2"/>
          <w:sz w:val="22"/>
          <w:u w:val="none"/>
        </w:rPr>
        <w:t>.</w:t>
      </w:r>
    </w:p>
    <w:p>
      <w:pPr>
        <w:pStyle w:val="BodyText"/>
        <w:spacing w:before="22"/>
      </w:pPr>
    </w:p>
    <w:p>
      <w:pPr>
        <w:pStyle w:val="Heading1"/>
        <w:spacing w:line="259" w:lineRule="auto"/>
        <w:ind w:left="23" w:right="17"/>
        <w:jc w:val="both"/>
      </w:pPr>
      <w:r>
        <w:rPr/>
        <w:t>Holders of the Affected Securities should note that a duly completed voting instructions already made in respect of the Original Meeting will NOT continue to be valid for the Adjourned Meeting. Holders of the Affected Securities should therefore not rely on any voting instructions already made in respect of the Original Meeting and should therefore make arrangements to vote again on the matters being considered, in order to participate in the Adjourned Meeting.</w:t>
      </w:r>
    </w:p>
    <w:p>
      <w:pPr>
        <w:pStyle w:val="BodyText"/>
        <w:spacing w:before="22"/>
        <w:rPr>
          <w:b/>
        </w:rPr>
      </w:pPr>
    </w:p>
    <w:p>
      <w:pPr>
        <w:pStyle w:val="BodyText"/>
        <w:spacing w:line="259" w:lineRule="auto"/>
        <w:ind w:left="23" w:right="14"/>
        <w:jc w:val="both"/>
      </w:pPr>
      <w:r>
        <w:rPr/>
        <w:t>Holders of the Affected Securities are advised to check with any bank, securities broker or other</w:t>
      </w:r>
      <w:r>
        <w:rPr>
          <w:spacing w:val="-12"/>
        </w:rPr>
        <w:t> </w:t>
      </w:r>
      <w:r>
        <w:rPr/>
        <w:t>intermediary</w:t>
      </w:r>
      <w:r>
        <w:rPr>
          <w:spacing w:val="-14"/>
        </w:rPr>
        <w:t> </w:t>
      </w:r>
      <w:r>
        <w:rPr/>
        <w:t>through</w:t>
      </w:r>
      <w:r>
        <w:rPr>
          <w:spacing w:val="-10"/>
        </w:rPr>
        <w:t> </w:t>
      </w:r>
      <w:r>
        <w:rPr/>
        <w:t>which</w:t>
      </w:r>
      <w:r>
        <w:rPr>
          <w:spacing w:val="-10"/>
        </w:rPr>
        <w:t> </w:t>
      </w:r>
      <w:r>
        <w:rPr/>
        <w:t>they</w:t>
      </w:r>
      <w:r>
        <w:rPr>
          <w:spacing w:val="-12"/>
        </w:rPr>
        <w:t> </w:t>
      </w:r>
      <w:r>
        <w:rPr/>
        <w:t>hold</w:t>
      </w:r>
      <w:r>
        <w:rPr>
          <w:spacing w:val="-12"/>
        </w:rPr>
        <w:t> </w:t>
      </w:r>
      <w:r>
        <w:rPr/>
        <w:t>their</w:t>
      </w:r>
      <w:r>
        <w:rPr>
          <w:spacing w:val="-13"/>
        </w:rPr>
        <w:t> </w:t>
      </w:r>
      <w:r>
        <w:rPr/>
        <w:t>Affected</w:t>
      </w:r>
      <w:r>
        <w:rPr>
          <w:spacing w:val="-10"/>
        </w:rPr>
        <w:t> </w:t>
      </w:r>
      <w:r>
        <w:rPr/>
        <w:t>Securities</w:t>
      </w:r>
      <w:r>
        <w:rPr>
          <w:spacing w:val="-11"/>
        </w:rPr>
        <w:t> </w:t>
      </w:r>
      <w:r>
        <w:rPr/>
        <w:t>when</w:t>
      </w:r>
      <w:r>
        <w:rPr>
          <w:spacing w:val="-14"/>
        </w:rPr>
        <w:t> </w:t>
      </w:r>
      <w:r>
        <w:rPr/>
        <w:t>such</w:t>
      </w:r>
      <w:r>
        <w:rPr>
          <w:spacing w:val="-10"/>
        </w:rPr>
        <w:t> </w:t>
      </w:r>
      <w:r>
        <w:rPr/>
        <w:t>intermediary would need to receive instructions from a holder of Affected Securities in order for such holder of Affected Securities to participate in the Adjourned Meeting by the deadlines specified in this circular. The deadlines set by any such intermediary and each ICSD for the submission instructions will be earlier than the relevant deadlines specified in the circular.</w:t>
      </w:r>
    </w:p>
    <w:p>
      <w:pPr>
        <w:pStyle w:val="BodyText"/>
        <w:spacing w:before="21"/>
      </w:pPr>
    </w:p>
    <w:p>
      <w:pPr>
        <w:pStyle w:val="BodyText"/>
        <w:spacing w:line="259" w:lineRule="auto"/>
        <w:ind w:left="23" w:right="14"/>
        <w:jc w:val="both"/>
      </w:pPr>
      <w:r>
        <w:rPr/>
        <w:t>In relation to the delivery instructions or obtaining voting certificates or otherwise making arrangements</w:t>
      </w:r>
      <w:r>
        <w:rPr>
          <w:spacing w:val="-4"/>
        </w:rPr>
        <w:t> </w:t>
      </w:r>
      <w:r>
        <w:rPr/>
        <w:t>for</w:t>
      </w:r>
      <w:r>
        <w:rPr>
          <w:spacing w:val="-4"/>
        </w:rPr>
        <w:t> </w:t>
      </w:r>
      <w:r>
        <w:rPr/>
        <w:t>the</w:t>
      </w:r>
      <w:r>
        <w:rPr>
          <w:spacing w:val="-1"/>
        </w:rPr>
        <w:t> </w:t>
      </w:r>
      <w:r>
        <w:rPr/>
        <w:t>giving</w:t>
      </w:r>
      <w:r>
        <w:rPr>
          <w:spacing w:val="-2"/>
        </w:rPr>
        <w:t> </w:t>
      </w:r>
      <w:r>
        <w:rPr/>
        <w:t>of</w:t>
      </w:r>
      <w:r>
        <w:rPr>
          <w:spacing w:val="-3"/>
        </w:rPr>
        <w:t> </w:t>
      </w:r>
      <w:r>
        <w:rPr/>
        <w:t>voting</w:t>
      </w:r>
      <w:r>
        <w:rPr>
          <w:spacing w:val="-2"/>
        </w:rPr>
        <w:t> </w:t>
      </w:r>
      <w:r>
        <w:rPr/>
        <w:t>instructions,</w:t>
      </w:r>
      <w:r>
        <w:rPr>
          <w:spacing w:val="-1"/>
        </w:rPr>
        <w:t> </w:t>
      </w:r>
      <w:r>
        <w:rPr/>
        <w:t>in</w:t>
      </w:r>
      <w:r>
        <w:rPr>
          <w:spacing w:val="-3"/>
        </w:rPr>
        <w:t> </w:t>
      </w:r>
      <w:r>
        <w:rPr/>
        <w:t>each</w:t>
      </w:r>
      <w:r>
        <w:rPr>
          <w:spacing w:val="-3"/>
        </w:rPr>
        <w:t> </w:t>
      </w:r>
      <w:r>
        <w:rPr/>
        <w:t>case</w:t>
      </w:r>
      <w:r>
        <w:rPr>
          <w:spacing w:val="-3"/>
        </w:rPr>
        <w:t> </w:t>
      </w:r>
      <w:r>
        <w:rPr/>
        <w:t>through</w:t>
      </w:r>
      <w:r>
        <w:rPr>
          <w:spacing w:val="-3"/>
        </w:rPr>
        <w:t> </w:t>
      </w:r>
      <w:r>
        <w:rPr/>
        <w:t>the</w:t>
      </w:r>
      <w:r>
        <w:rPr>
          <w:spacing w:val="-1"/>
        </w:rPr>
        <w:t> </w:t>
      </w:r>
      <w:r>
        <w:rPr/>
        <w:t>ICSDs,</w:t>
      </w:r>
      <w:r>
        <w:rPr>
          <w:spacing w:val="-4"/>
        </w:rPr>
        <w:t> </w:t>
      </w:r>
      <w:r>
        <w:rPr/>
        <w:t>holders</w:t>
      </w:r>
      <w:r>
        <w:rPr>
          <w:spacing w:val="-4"/>
        </w:rPr>
        <w:t> </w:t>
      </w:r>
      <w:r>
        <w:rPr/>
        <w:t>of the Affected Securities should note the particular practice and policy of the relevant ICSDs, including any</w:t>
      </w:r>
      <w:r>
        <w:rPr>
          <w:spacing w:val="-1"/>
        </w:rPr>
        <w:t> </w:t>
      </w:r>
      <w:r>
        <w:rPr/>
        <w:t>earlier deadlines set by such ICSD.</w:t>
      </w:r>
      <w:r>
        <w:rPr>
          <w:spacing w:val="-1"/>
        </w:rPr>
        <w:t> </w:t>
      </w:r>
      <w:r>
        <w:rPr/>
        <w:t>The deadlines set by any</w:t>
      </w:r>
      <w:r>
        <w:rPr>
          <w:spacing w:val="-1"/>
        </w:rPr>
        <w:t> </w:t>
      </w:r>
      <w:r>
        <w:rPr/>
        <w:t>intermediary or by the ICSDs will be earlier than the deadlines set out in the circular.</w:t>
      </w:r>
    </w:p>
    <w:p>
      <w:pPr>
        <w:pStyle w:val="BodyText"/>
        <w:spacing w:before="23"/>
      </w:pPr>
    </w:p>
    <w:p>
      <w:pPr>
        <w:pStyle w:val="BodyText"/>
        <w:spacing w:line="259" w:lineRule="auto" w:before="1"/>
        <w:ind w:left="23" w:right="15"/>
        <w:jc w:val="both"/>
      </w:pPr>
      <w:r>
        <w:rPr/>
        <w:t>In accordance with normal practice, The Law Debenture Trust Corporation p.l.c., as trustee, expresses</w:t>
      </w:r>
      <w:r>
        <w:rPr>
          <w:spacing w:val="-13"/>
        </w:rPr>
        <w:t> </w:t>
      </w:r>
      <w:r>
        <w:rPr/>
        <w:t>no</w:t>
      </w:r>
      <w:r>
        <w:rPr>
          <w:spacing w:val="-12"/>
        </w:rPr>
        <w:t> </w:t>
      </w:r>
      <w:r>
        <w:rPr/>
        <w:t>opinion</w:t>
      </w:r>
      <w:r>
        <w:rPr>
          <w:spacing w:val="-11"/>
        </w:rPr>
        <w:t> </w:t>
      </w:r>
      <w:r>
        <w:rPr/>
        <w:t>as</w:t>
      </w:r>
      <w:r>
        <w:rPr>
          <w:spacing w:val="-13"/>
        </w:rPr>
        <w:t> </w:t>
      </w:r>
      <w:r>
        <w:rPr/>
        <w:t>to</w:t>
      </w:r>
      <w:r>
        <w:rPr>
          <w:spacing w:val="-10"/>
        </w:rPr>
        <w:t> </w:t>
      </w:r>
      <w:r>
        <w:rPr/>
        <w:t>the</w:t>
      </w:r>
      <w:r>
        <w:rPr>
          <w:spacing w:val="-10"/>
        </w:rPr>
        <w:t> </w:t>
      </w:r>
      <w:r>
        <w:rPr/>
        <w:t>merits</w:t>
      </w:r>
      <w:r>
        <w:rPr>
          <w:spacing w:val="-13"/>
        </w:rPr>
        <w:t> </w:t>
      </w:r>
      <w:r>
        <w:rPr/>
        <w:t>of</w:t>
      </w:r>
      <w:r>
        <w:rPr>
          <w:spacing w:val="-11"/>
        </w:rPr>
        <w:t> </w:t>
      </w:r>
      <w:r>
        <w:rPr/>
        <w:t>the</w:t>
      </w:r>
      <w:r>
        <w:rPr>
          <w:spacing w:val="-12"/>
        </w:rPr>
        <w:t> </w:t>
      </w:r>
      <w:r>
        <w:rPr/>
        <w:t>Proposal,</w:t>
      </w:r>
      <w:r>
        <w:rPr>
          <w:spacing w:val="-10"/>
        </w:rPr>
        <w:t> </w:t>
      </w:r>
      <w:r>
        <w:rPr/>
        <w:t>the</w:t>
      </w:r>
      <w:r>
        <w:rPr>
          <w:spacing w:val="-12"/>
        </w:rPr>
        <w:t> </w:t>
      </w:r>
      <w:r>
        <w:rPr/>
        <w:t>terms</w:t>
      </w:r>
      <w:r>
        <w:rPr>
          <w:spacing w:val="-13"/>
        </w:rPr>
        <w:t> </w:t>
      </w:r>
      <w:r>
        <w:rPr/>
        <w:t>of</w:t>
      </w:r>
      <w:r>
        <w:rPr>
          <w:spacing w:val="-11"/>
        </w:rPr>
        <w:t> </w:t>
      </w:r>
      <w:r>
        <w:rPr/>
        <w:t>which</w:t>
      </w:r>
      <w:r>
        <w:rPr>
          <w:spacing w:val="-11"/>
        </w:rPr>
        <w:t> </w:t>
      </w:r>
      <w:r>
        <w:rPr/>
        <w:t>were</w:t>
      </w:r>
      <w:r>
        <w:rPr>
          <w:spacing w:val="-12"/>
        </w:rPr>
        <w:t> </w:t>
      </w:r>
      <w:r>
        <w:rPr/>
        <w:t>not</w:t>
      </w:r>
      <w:r>
        <w:rPr>
          <w:spacing w:val="-11"/>
        </w:rPr>
        <w:t> </w:t>
      </w:r>
      <w:r>
        <w:rPr/>
        <w:t>negotiated by</w:t>
      </w:r>
      <w:r>
        <w:rPr>
          <w:spacing w:val="-7"/>
        </w:rPr>
        <w:t> </w:t>
      </w:r>
      <w:r>
        <w:rPr/>
        <w:t>it.</w:t>
      </w:r>
      <w:r>
        <w:rPr>
          <w:spacing w:val="-7"/>
        </w:rPr>
        <w:t> </w:t>
      </w:r>
      <w:r>
        <w:rPr/>
        <w:t>It</w:t>
      </w:r>
      <w:r>
        <w:rPr>
          <w:spacing w:val="-10"/>
        </w:rPr>
        <w:t> </w:t>
      </w:r>
      <w:r>
        <w:rPr/>
        <w:t>has</w:t>
      </w:r>
      <w:r>
        <w:rPr>
          <w:spacing w:val="-9"/>
        </w:rPr>
        <w:t> </w:t>
      </w:r>
      <w:r>
        <w:rPr/>
        <w:t>however</w:t>
      </w:r>
      <w:r>
        <w:rPr>
          <w:spacing w:val="-8"/>
        </w:rPr>
        <w:t> </w:t>
      </w:r>
      <w:r>
        <w:rPr/>
        <w:t>authorised</w:t>
      </w:r>
      <w:r>
        <w:rPr>
          <w:spacing w:val="-8"/>
        </w:rPr>
        <w:t> </w:t>
      </w:r>
      <w:r>
        <w:rPr/>
        <w:t>it</w:t>
      </w:r>
      <w:r>
        <w:rPr>
          <w:spacing w:val="-10"/>
        </w:rPr>
        <w:t> </w:t>
      </w:r>
      <w:r>
        <w:rPr/>
        <w:t>to</w:t>
      </w:r>
      <w:r>
        <w:rPr>
          <w:spacing w:val="-8"/>
        </w:rPr>
        <w:t> </w:t>
      </w:r>
      <w:r>
        <w:rPr/>
        <w:t>be</w:t>
      </w:r>
      <w:r>
        <w:rPr>
          <w:spacing w:val="-8"/>
        </w:rPr>
        <w:t> </w:t>
      </w:r>
      <w:r>
        <w:rPr/>
        <w:t>stated</w:t>
      </w:r>
      <w:r>
        <w:rPr>
          <w:spacing w:val="-8"/>
        </w:rPr>
        <w:t> </w:t>
      </w:r>
      <w:r>
        <w:rPr/>
        <w:t>that,</w:t>
      </w:r>
      <w:r>
        <w:rPr>
          <w:spacing w:val="-6"/>
        </w:rPr>
        <w:t> </w:t>
      </w:r>
      <w:r>
        <w:rPr/>
        <w:t>on</w:t>
      </w:r>
      <w:r>
        <w:rPr>
          <w:spacing w:val="-8"/>
        </w:rPr>
        <w:t> </w:t>
      </w:r>
      <w:r>
        <w:rPr/>
        <w:t>the</w:t>
      </w:r>
      <w:r>
        <w:rPr>
          <w:spacing w:val="-8"/>
        </w:rPr>
        <w:t> </w:t>
      </w:r>
      <w:r>
        <w:rPr/>
        <w:t>basis</w:t>
      </w:r>
      <w:r>
        <w:rPr>
          <w:spacing w:val="-9"/>
        </w:rPr>
        <w:t> </w:t>
      </w:r>
      <w:r>
        <w:rPr/>
        <w:t>of</w:t>
      </w:r>
      <w:r>
        <w:rPr>
          <w:spacing w:val="-10"/>
        </w:rPr>
        <w:t> </w:t>
      </w:r>
      <w:r>
        <w:rPr/>
        <w:t>the</w:t>
      </w:r>
      <w:r>
        <w:rPr>
          <w:spacing w:val="-8"/>
        </w:rPr>
        <w:t> </w:t>
      </w:r>
      <w:r>
        <w:rPr/>
        <w:t>information</w:t>
      </w:r>
      <w:r>
        <w:rPr>
          <w:spacing w:val="-8"/>
        </w:rPr>
        <w:t> </w:t>
      </w:r>
      <w:r>
        <w:rPr/>
        <w:t>contained in</w:t>
      </w:r>
      <w:r>
        <w:rPr>
          <w:spacing w:val="-5"/>
        </w:rPr>
        <w:t> </w:t>
      </w:r>
      <w:r>
        <w:rPr/>
        <w:t>the</w:t>
      </w:r>
      <w:r>
        <w:rPr>
          <w:spacing w:val="-6"/>
        </w:rPr>
        <w:t> </w:t>
      </w:r>
      <w:r>
        <w:rPr/>
        <w:t>original</w:t>
      </w:r>
      <w:r>
        <w:rPr>
          <w:spacing w:val="-6"/>
        </w:rPr>
        <w:t> </w:t>
      </w:r>
      <w:r>
        <w:rPr/>
        <w:t>circular</w:t>
      </w:r>
      <w:r>
        <w:rPr>
          <w:spacing w:val="-8"/>
        </w:rPr>
        <w:t> </w:t>
      </w:r>
      <w:r>
        <w:rPr/>
        <w:t>and</w:t>
      </w:r>
      <w:r>
        <w:rPr>
          <w:spacing w:val="-5"/>
        </w:rPr>
        <w:t> </w:t>
      </w:r>
      <w:r>
        <w:rPr/>
        <w:t>in</w:t>
      </w:r>
      <w:r>
        <w:rPr>
          <w:spacing w:val="-8"/>
        </w:rPr>
        <w:t> </w:t>
      </w:r>
      <w:r>
        <w:rPr/>
        <w:t>this</w:t>
      </w:r>
      <w:r>
        <w:rPr>
          <w:spacing w:val="-9"/>
        </w:rPr>
        <w:t> </w:t>
      </w:r>
      <w:r>
        <w:rPr/>
        <w:t>document</w:t>
      </w:r>
      <w:r>
        <w:rPr>
          <w:spacing w:val="-8"/>
        </w:rPr>
        <w:t> </w:t>
      </w:r>
      <w:r>
        <w:rPr/>
        <w:t>(which</w:t>
      </w:r>
      <w:r>
        <w:rPr>
          <w:spacing w:val="-5"/>
        </w:rPr>
        <w:t> </w:t>
      </w:r>
      <w:r>
        <w:rPr/>
        <w:t>it</w:t>
      </w:r>
      <w:r>
        <w:rPr>
          <w:spacing w:val="-5"/>
        </w:rPr>
        <w:t> </w:t>
      </w:r>
      <w:r>
        <w:rPr/>
        <w:t>advises</w:t>
      </w:r>
      <w:r>
        <w:rPr>
          <w:spacing w:val="-7"/>
        </w:rPr>
        <w:t> </w:t>
      </w:r>
      <w:r>
        <w:rPr/>
        <w:t>holders</w:t>
      </w:r>
      <w:r>
        <w:rPr>
          <w:spacing w:val="-9"/>
        </w:rPr>
        <w:t> </w:t>
      </w:r>
      <w:r>
        <w:rPr/>
        <w:t>of</w:t>
      </w:r>
      <w:r>
        <w:rPr>
          <w:spacing w:val="-5"/>
        </w:rPr>
        <w:t> </w:t>
      </w:r>
      <w:r>
        <w:rPr/>
        <w:t>Affected</w:t>
      </w:r>
      <w:r>
        <w:rPr>
          <w:spacing w:val="-5"/>
        </w:rPr>
        <w:t> </w:t>
      </w:r>
      <w:r>
        <w:rPr/>
        <w:t>Securities</w:t>
      </w:r>
      <w:r>
        <w:rPr>
          <w:spacing w:val="-7"/>
        </w:rPr>
        <w:t> </w:t>
      </w:r>
      <w:r>
        <w:rPr/>
        <w:t>to read carefully) it has no objection to the form in which the Proposal and Notice of Meeting are presented to holders of Affected Securities for their consideration.</w:t>
      </w:r>
    </w:p>
    <w:p>
      <w:pPr>
        <w:pStyle w:val="BodyText"/>
        <w:spacing w:before="21"/>
      </w:pPr>
    </w:p>
    <w:p>
      <w:pPr>
        <w:pStyle w:val="BodyText"/>
        <w:spacing w:line="259" w:lineRule="auto"/>
        <w:ind w:left="22" w:right="17"/>
        <w:jc w:val="both"/>
      </w:pPr>
      <w:r>
        <w:rPr/>
        <w:t>Holders of the Affected Securities will be notified of the outcome of the Adjourned Meeting shortly thereafter.</w:t>
      </w:r>
    </w:p>
    <w:sectPr>
      <w:pgSz w:w="11910" w:h="16840"/>
      <w:pgMar w:top="138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jc w:val="center"/>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wisdomtree.eu/en-gb/resource-library/prospectus-and-regulatory-reports#tab-2A942D42-5AA1-4008-9080-3C2DADB050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 Ashford</dc:creator>
  <dcterms:created xsi:type="dcterms:W3CDTF">2026-02-03T11:11:34Z</dcterms:created>
  <dcterms:modified xsi:type="dcterms:W3CDTF">2026-02-03T11:11:34Z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0x010100A41A981708C75F498F28739AA5C61591</vt:lpwstr>
  </property>
  <property fmtid="{D5CDD505-2E9C-101B-9397-08002B2CF9AE}" pid="3" name="Created">
    <vt:filetime>2026-02-02T00:00:00Z</vt:filetime>
  </property>
  <property fmtid="{D5CDD505-2E9C-101B-9397-08002B2CF9AE}" pid="4" name="Creator">
    <vt:lpwstr>Acrobat PDFMaker 25 for Word</vt:lpwstr>
  </property>
  <property fmtid="{D5CDD505-2E9C-101B-9397-08002B2CF9AE}" pid="5" name="LastSaved">
    <vt:filetime>2026-02-03T00:00:00Z</vt:filetime>
  </property>
  <property fmtid="{D5CDD505-2E9C-101B-9397-08002B2CF9AE}" pid="6" name="MediaServiceImageTags">
    <vt:lpwstr/>
  </property>
  <property fmtid="{D5CDD505-2E9C-101B-9397-08002B2CF9AE}" pid="7" name="Order">
    <vt:lpwstr>17321800.000000</vt:lpwstr>
  </property>
  <property fmtid="{D5CDD505-2E9C-101B-9397-08002B2CF9AE}" pid="8" name="Producer">
    <vt:lpwstr>Adobe PDF Library 25.1.119</vt:lpwstr>
  </property>
  <property fmtid="{D5CDD505-2E9C-101B-9397-08002B2CF9AE}" pid="9" name="SourceModified">
    <vt:lpwstr/>
  </property>
</Properties>
</file>