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CA826" w14:textId="6C1B676B" w:rsidR="00510A3F" w:rsidRPr="00510A3F" w:rsidRDefault="00510A3F" w:rsidP="00510A3F">
      <w:pPr>
        <w:spacing w:after="0" w:line="240" w:lineRule="auto"/>
        <w:jc w:val="right"/>
        <w:rPr>
          <w:rFonts w:ascii="Nunito Sans" w:hAnsi="Nunito Sans"/>
          <w:sz w:val="22"/>
          <w:szCs w:val="22"/>
          <w:lang w:val="en-US"/>
        </w:rPr>
      </w:pPr>
      <w:r w:rsidRPr="00510A3F">
        <w:rPr>
          <w:rFonts w:ascii="Nunito Sans" w:hAnsi="Nunito Sans"/>
          <w:sz w:val="22"/>
          <w:szCs w:val="22"/>
          <w:lang w:val="en-US"/>
        </w:rPr>
        <w:t>Press release</w:t>
      </w:r>
    </w:p>
    <w:p w14:paraId="39B1AC60" w14:textId="5C63FCFE" w:rsidR="00510A3F" w:rsidRPr="00510A3F" w:rsidRDefault="00510A3F" w:rsidP="00510A3F">
      <w:pPr>
        <w:spacing w:after="0" w:line="240" w:lineRule="auto"/>
        <w:jc w:val="right"/>
        <w:rPr>
          <w:rFonts w:ascii="Nunito Sans" w:hAnsi="Nunito Sans"/>
          <w:sz w:val="22"/>
          <w:szCs w:val="22"/>
          <w:lang w:val="en-US"/>
        </w:rPr>
      </w:pPr>
      <w:r w:rsidRPr="00510A3F">
        <w:rPr>
          <w:rFonts w:ascii="Nunito Sans" w:hAnsi="Nunito Sans"/>
          <w:sz w:val="22"/>
          <w:szCs w:val="22"/>
          <w:lang w:val="en-US"/>
        </w:rPr>
        <w:t>25 03 2026</w:t>
      </w:r>
    </w:p>
    <w:p w14:paraId="2D0192F1" w14:textId="118C581A" w:rsidR="00510A3F" w:rsidRPr="00510A3F" w:rsidRDefault="00510A3F" w:rsidP="00510A3F">
      <w:pPr>
        <w:spacing w:after="0" w:line="240" w:lineRule="auto"/>
        <w:jc w:val="both"/>
        <w:rPr>
          <w:rFonts w:ascii="Nunito Sans" w:hAnsi="Nunito Sans"/>
          <w:b/>
          <w:bCs/>
          <w:sz w:val="22"/>
          <w:szCs w:val="22"/>
          <w:lang w:val="en-US"/>
        </w:rPr>
      </w:pPr>
      <w:r w:rsidRPr="00510A3F">
        <w:rPr>
          <w:rFonts w:ascii="Nunito Sans" w:hAnsi="Nunito Sans"/>
          <w:b/>
          <w:bCs/>
          <w:sz w:val="22"/>
          <w:szCs w:val="22"/>
          <w:lang w:val="en-US"/>
        </w:rPr>
        <w:t>Amber Grid’s 2025 Results: Increased Investments, Higher Gas Transmission Volumes, and a Breakthrough in the Biomethane Market</w:t>
      </w:r>
    </w:p>
    <w:p w14:paraId="306EFC4C" w14:textId="77777777" w:rsidR="00510A3F" w:rsidRPr="00510A3F" w:rsidRDefault="00510A3F" w:rsidP="00510A3F">
      <w:pPr>
        <w:spacing w:after="0" w:line="240" w:lineRule="auto"/>
        <w:jc w:val="both"/>
        <w:rPr>
          <w:rFonts w:ascii="Nunito Sans" w:hAnsi="Nunito Sans"/>
          <w:sz w:val="22"/>
          <w:szCs w:val="22"/>
          <w:lang w:val="en-US"/>
        </w:rPr>
      </w:pPr>
    </w:p>
    <w:p w14:paraId="2CD1B3CC" w14:textId="77777777" w:rsidR="00510A3F" w:rsidRPr="00510A3F" w:rsidRDefault="00510A3F" w:rsidP="00510A3F">
      <w:pPr>
        <w:spacing w:after="0" w:line="240" w:lineRule="auto"/>
        <w:jc w:val="both"/>
        <w:rPr>
          <w:rFonts w:ascii="Nunito Sans" w:hAnsi="Nunito Sans"/>
          <w:sz w:val="22"/>
          <w:szCs w:val="22"/>
          <w:lang w:val="en-US"/>
        </w:rPr>
      </w:pPr>
      <w:r w:rsidRPr="00510A3F">
        <w:rPr>
          <w:rFonts w:ascii="Nunito Sans" w:hAnsi="Nunito Sans"/>
          <w:sz w:val="22"/>
          <w:szCs w:val="22"/>
          <w:lang w:val="en-US"/>
        </w:rPr>
        <w:t>Lithuania’s gas transmission system operator Amber Grid continued strengthening its transmission system last year, enhancing resilience, reliability, and safety. In 2025, investments grew nearly 3.4 times, reaching EUR 21.8 million. More projects supporting the energy transition were launched — the amount of biomethane injected into the system more than doubled. And despite a decline in domestic natural gas demand due to a significant drop in the fertilizer sector’s consumption, the volume of gas transported to regional customers increased by 15%.</w:t>
      </w:r>
    </w:p>
    <w:p w14:paraId="03EB57D4" w14:textId="77777777" w:rsidR="00510A3F" w:rsidRPr="00510A3F" w:rsidRDefault="00510A3F" w:rsidP="00510A3F">
      <w:pPr>
        <w:spacing w:after="0" w:line="240" w:lineRule="auto"/>
        <w:jc w:val="both"/>
        <w:rPr>
          <w:rFonts w:ascii="Nunito Sans" w:hAnsi="Nunito Sans"/>
          <w:sz w:val="22"/>
          <w:szCs w:val="22"/>
          <w:lang w:val="en-US"/>
        </w:rPr>
      </w:pPr>
    </w:p>
    <w:p w14:paraId="769514C3" w14:textId="77777777" w:rsidR="00510A3F" w:rsidRPr="00510A3F" w:rsidRDefault="00510A3F" w:rsidP="00510A3F">
      <w:pPr>
        <w:spacing w:after="0" w:line="240" w:lineRule="auto"/>
        <w:jc w:val="both"/>
        <w:rPr>
          <w:rFonts w:ascii="Nunito Sans" w:hAnsi="Nunito Sans"/>
          <w:sz w:val="22"/>
          <w:szCs w:val="22"/>
          <w:lang w:val="en-US"/>
        </w:rPr>
      </w:pPr>
      <w:r w:rsidRPr="00510A3F">
        <w:rPr>
          <w:rFonts w:ascii="Nunito Sans" w:hAnsi="Nunito Sans"/>
          <w:sz w:val="22"/>
          <w:szCs w:val="22"/>
          <w:lang w:val="en-US"/>
        </w:rPr>
        <w:t>“Last year was marked by significant structural changes in the national gas sector. Although overall gas consumption in Lithuania decreased due to lower demand from the fertilizer industry, international gas flows increased, further strengthening the strategic importance of our system: gas flows to Latvia and Poland rose significantly, and export volumes were driven by growing demand in Ukraine. We place special emphasis on the safety and reliability of the gas transmission system. Energy security is the foundation of sustainable national development. We continuously carry out technical inspections, maintenance, and restoration works, and business resilience remains a priority in our daily operations,” says Amber Grid CEO Nemunas Biknius.</w:t>
      </w:r>
    </w:p>
    <w:p w14:paraId="504A783F" w14:textId="77777777" w:rsidR="00510A3F" w:rsidRPr="00510A3F" w:rsidRDefault="00510A3F" w:rsidP="00510A3F">
      <w:pPr>
        <w:spacing w:after="0" w:line="240" w:lineRule="auto"/>
        <w:jc w:val="both"/>
        <w:rPr>
          <w:rFonts w:ascii="Nunito Sans" w:hAnsi="Nunito Sans"/>
          <w:sz w:val="22"/>
          <w:szCs w:val="22"/>
          <w:lang w:val="en-US"/>
        </w:rPr>
      </w:pPr>
    </w:p>
    <w:p w14:paraId="53F3E905" w14:textId="77777777" w:rsidR="00510A3F" w:rsidRPr="00510A3F" w:rsidRDefault="00510A3F" w:rsidP="00510A3F">
      <w:pPr>
        <w:spacing w:after="0" w:line="240" w:lineRule="auto"/>
        <w:jc w:val="both"/>
        <w:rPr>
          <w:rFonts w:ascii="Nunito Sans" w:hAnsi="Nunito Sans"/>
          <w:b/>
          <w:bCs/>
          <w:sz w:val="22"/>
          <w:szCs w:val="22"/>
          <w:lang w:val="en-US"/>
        </w:rPr>
      </w:pPr>
      <w:r w:rsidRPr="00510A3F">
        <w:rPr>
          <w:rFonts w:ascii="Nunito Sans" w:hAnsi="Nunito Sans"/>
          <w:b/>
          <w:bCs/>
          <w:sz w:val="22"/>
          <w:szCs w:val="22"/>
          <w:lang w:val="en-US"/>
        </w:rPr>
        <w:t>Increased Investments</w:t>
      </w:r>
    </w:p>
    <w:p w14:paraId="4F3F4061" w14:textId="77777777" w:rsidR="00510A3F" w:rsidRPr="00510A3F" w:rsidRDefault="00510A3F" w:rsidP="00510A3F">
      <w:pPr>
        <w:spacing w:after="0" w:line="240" w:lineRule="auto"/>
        <w:jc w:val="both"/>
        <w:rPr>
          <w:rFonts w:ascii="Nunito Sans" w:hAnsi="Nunito Sans"/>
          <w:sz w:val="22"/>
          <w:szCs w:val="22"/>
          <w:lang w:val="en-US"/>
        </w:rPr>
      </w:pPr>
    </w:p>
    <w:p w14:paraId="4895A1BA" w14:textId="77777777" w:rsidR="00510A3F" w:rsidRPr="00510A3F" w:rsidRDefault="00510A3F" w:rsidP="00510A3F">
      <w:pPr>
        <w:spacing w:after="0" w:line="240" w:lineRule="auto"/>
        <w:jc w:val="both"/>
        <w:rPr>
          <w:rFonts w:ascii="Nunito Sans" w:hAnsi="Nunito Sans"/>
          <w:sz w:val="22"/>
          <w:szCs w:val="22"/>
          <w:lang w:val="en-US"/>
        </w:rPr>
      </w:pPr>
      <w:r w:rsidRPr="00510A3F">
        <w:rPr>
          <w:rFonts w:ascii="Nunito Sans" w:hAnsi="Nunito Sans"/>
          <w:sz w:val="22"/>
          <w:szCs w:val="22"/>
          <w:lang w:val="en-US"/>
        </w:rPr>
        <w:t>In 2025, Amber Grid’s net profit remained stable at EUR 10.0 million, compared to EUR 10.1 million in 2024. The company’s adjusted EBITDA (earnings before interest, taxes, depreciation, and amortization) also remained stable at EUR 27.4 million (2024: EUR 27.4 million).</w:t>
      </w:r>
    </w:p>
    <w:p w14:paraId="2F6A4A44" w14:textId="77777777" w:rsidR="00510A3F" w:rsidRPr="00510A3F" w:rsidRDefault="00510A3F" w:rsidP="00510A3F">
      <w:pPr>
        <w:spacing w:after="0" w:line="240" w:lineRule="auto"/>
        <w:jc w:val="both"/>
        <w:rPr>
          <w:rFonts w:ascii="Nunito Sans" w:hAnsi="Nunito Sans"/>
          <w:sz w:val="22"/>
          <w:szCs w:val="22"/>
          <w:lang w:val="en-US"/>
        </w:rPr>
      </w:pPr>
      <w:r w:rsidRPr="00510A3F">
        <w:rPr>
          <w:rFonts w:ascii="Nunito Sans" w:hAnsi="Nunito Sans"/>
          <w:sz w:val="22"/>
          <w:szCs w:val="22"/>
          <w:lang w:val="en-US"/>
        </w:rPr>
        <w:t xml:space="preserve">Unadjusted net profit decreased more than sixfold to EUR 1.4 million (2024: EUR 8.3 million), while unadjusted EBITDA fell by nearly 35% to EUR 17.3 million (2024: EUR 26.5 million). These results were mainly driven by rising gas transmission operating costs and revenues falling below the levels set by the regulator. Temporary regulatory differences are </w:t>
      </w:r>
      <w:proofErr w:type="gramStart"/>
      <w:r w:rsidRPr="00510A3F">
        <w:rPr>
          <w:rFonts w:ascii="Nunito Sans" w:hAnsi="Nunito Sans"/>
          <w:sz w:val="22"/>
          <w:szCs w:val="22"/>
          <w:lang w:val="en-US"/>
        </w:rPr>
        <w:t>compensated</w:t>
      </w:r>
      <w:proofErr w:type="gramEnd"/>
      <w:r w:rsidRPr="00510A3F">
        <w:rPr>
          <w:rFonts w:ascii="Nunito Sans" w:hAnsi="Nunito Sans"/>
          <w:sz w:val="22"/>
          <w:szCs w:val="22"/>
          <w:lang w:val="en-US"/>
        </w:rPr>
        <w:t xml:space="preserve"> in subsequent regulatory periods.</w:t>
      </w:r>
    </w:p>
    <w:p w14:paraId="1BAFE98C" w14:textId="77777777" w:rsidR="00510A3F" w:rsidRPr="00510A3F" w:rsidRDefault="00510A3F" w:rsidP="00510A3F">
      <w:pPr>
        <w:spacing w:after="0" w:line="240" w:lineRule="auto"/>
        <w:jc w:val="both"/>
        <w:rPr>
          <w:rFonts w:ascii="Nunito Sans" w:hAnsi="Nunito Sans"/>
          <w:sz w:val="22"/>
          <w:szCs w:val="22"/>
          <w:lang w:val="en-US"/>
        </w:rPr>
      </w:pPr>
    </w:p>
    <w:p w14:paraId="469F6757" w14:textId="77777777" w:rsidR="00510A3F" w:rsidRPr="00510A3F" w:rsidRDefault="00510A3F" w:rsidP="00510A3F">
      <w:pPr>
        <w:spacing w:after="0" w:line="240" w:lineRule="auto"/>
        <w:jc w:val="both"/>
        <w:rPr>
          <w:rFonts w:ascii="Nunito Sans" w:hAnsi="Nunito Sans"/>
          <w:sz w:val="22"/>
          <w:szCs w:val="22"/>
          <w:lang w:val="en-US"/>
        </w:rPr>
      </w:pPr>
      <w:r w:rsidRPr="00510A3F">
        <w:rPr>
          <w:rFonts w:ascii="Nunito Sans" w:hAnsi="Nunito Sans"/>
          <w:sz w:val="22"/>
          <w:szCs w:val="22"/>
          <w:lang w:val="en-US"/>
        </w:rPr>
        <w:t xml:space="preserve">Last year, Amber Grid invested EUR 21.8 million in infrastructure aimed at strengthening system safety, reliability, and resilience — nearly 3.4 times more than in 2024 (EUR 6.4 million). The increase was largely due to the launch of the </w:t>
      </w:r>
      <w:proofErr w:type="spellStart"/>
      <w:r w:rsidRPr="00510A3F">
        <w:rPr>
          <w:rFonts w:ascii="Nunito Sans" w:hAnsi="Nunito Sans"/>
          <w:sz w:val="22"/>
          <w:szCs w:val="22"/>
          <w:lang w:val="en-US"/>
        </w:rPr>
        <w:t>Jauniūnai</w:t>
      </w:r>
      <w:proofErr w:type="spellEnd"/>
      <w:r w:rsidRPr="00510A3F">
        <w:rPr>
          <w:rFonts w:ascii="Nunito Sans" w:hAnsi="Nunito Sans"/>
          <w:sz w:val="22"/>
          <w:szCs w:val="22"/>
          <w:lang w:val="en-US"/>
        </w:rPr>
        <w:t xml:space="preserve"> electric compressor construction project, valued at EUR 12.5 million.</w:t>
      </w:r>
    </w:p>
    <w:p w14:paraId="6C4C5962" w14:textId="77777777" w:rsidR="00510A3F" w:rsidRPr="00510A3F" w:rsidRDefault="00510A3F" w:rsidP="00510A3F">
      <w:pPr>
        <w:spacing w:after="0" w:line="240" w:lineRule="auto"/>
        <w:jc w:val="both"/>
        <w:rPr>
          <w:rFonts w:ascii="Nunito Sans" w:hAnsi="Nunito Sans"/>
          <w:sz w:val="22"/>
          <w:szCs w:val="22"/>
          <w:lang w:val="en-US"/>
        </w:rPr>
      </w:pPr>
    </w:p>
    <w:p w14:paraId="480DEA34" w14:textId="77777777" w:rsidR="00510A3F" w:rsidRPr="00510A3F" w:rsidRDefault="00510A3F" w:rsidP="00510A3F">
      <w:pPr>
        <w:spacing w:after="0" w:line="240" w:lineRule="auto"/>
        <w:jc w:val="both"/>
        <w:rPr>
          <w:rFonts w:ascii="Nunito Sans" w:hAnsi="Nunito Sans"/>
          <w:b/>
          <w:bCs/>
          <w:sz w:val="22"/>
          <w:szCs w:val="22"/>
          <w:lang w:val="en-US"/>
        </w:rPr>
      </w:pPr>
      <w:r w:rsidRPr="00510A3F">
        <w:rPr>
          <w:rFonts w:ascii="Nunito Sans" w:hAnsi="Nunito Sans"/>
          <w:b/>
          <w:bCs/>
          <w:sz w:val="22"/>
          <w:szCs w:val="22"/>
          <w:lang w:val="en-US"/>
        </w:rPr>
        <w:t>Higher Gas Transmission Volumes</w:t>
      </w:r>
    </w:p>
    <w:p w14:paraId="58DEB26B" w14:textId="77777777" w:rsidR="00510A3F" w:rsidRPr="00510A3F" w:rsidRDefault="00510A3F" w:rsidP="00510A3F">
      <w:pPr>
        <w:spacing w:after="0" w:line="240" w:lineRule="auto"/>
        <w:jc w:val="both"/>
        <w:rPr>
          <w:rFonts w:ascii="Nunito Sans" w:hAnsi="Nunito Sans"/>
          <w:sz w:val="22"/>
          <w:szCs w:val="22"/>
          <w:lang w:val="en-US"/>
        </w:rPr>
      </w:pPr>
    </w:p>
    <w:p w14:paraId="726F916E" w14:textId="77777777" w:rsidR="00510A3F" w:rsidRPr="00510A3F" w:rsidRDefault="00510A3F" w:rsidP="00510A3F">
      <w:pPr>
        <w:spacing w:after="0" w:line="240" w:lineRule="auto"/>
        <w:jc w:val="both"/>
        <w:rPr>
          <w:rFonts w:ascii="Nunito Sans" w:hAnsi="Nunito Sans"/>
          <w:sz w:val="22"/>
          <w:szCs w:val="22"/>
          <w:lang w:val="en-US"/>
        </w:rPr>
      </w:pPr>
      <w:r w:rsidRPr="00510A3F">
        <w:rPr>
          <w:rFonts w:ascii="Nunito Sans" w:hAnsi="Nunito Sans"/>
          <w:sz w:val="22"/>
          <w:szCs w:val="22"/>
          <w:lang w:val="en-US"/>
        </w:rPr>
        <w:t>In 2025, Amber Grid transported 33.6 TWh of natural gas to consumers in Lithuania, Latvia, Estonia, Finland, and Poland (excluding transit to the Kaliningrad region). This is 15% more than in the same period of 2024, when 29.2 TWh were transmitted.</w:t>
      </w:r>
    </w:p>
    <w:p w14:paraId="3D2B0BA4" w14:textId="77777777" w:rsidR="00510A3F" w:rsidRPr="00510A3F" w:rsidRDefault="00510A3F" w:rsidP="00510A3F">
      <w:pPr>
        <w:spacing w:after="0" w:line="240" w:lineRule="auto"/>
        <w:jc w:val="both"/>
        <w:rPr>
          <w:rFonts w:ascii="Nunito Sans" w:hAnsi="Nunito Sans"/>
          <w:sz w:val="22"/>
          <w:szCs w:val="22"/>
          <w:lang w:val="en-US"/>
        </w:rPr>
      </w:pPr>
      <w:r w:rsidRPr="00510A3F">
        <w:rPr>
          <w:rFonts w:ascii="Nunito Sans" w:hAnsi="Nunito Sans"/>
          <w:sz w:val="22"/>
          <w:szCs w:val="22"/>
          <w:lang w:val="en-US"/>
        </w:rPr>
        <w:t xml:space="preserve">To Lithuanian consumers, the operator delivered 15.9 TWh — 6% less than in 2024 (16.9 TWh). The annual decline in domestic gas consumption was driven by a significant drop in demand from the fertilizer production sector. In 2025, consumption in this sector fell by more than a quarter </w:t>
      </w:r>
      <w:r w:rsidRPr="00510A3F">
        <w:rPr>
          <w:rFonts w:ascii="Nunito Sans" w:hAnsi="Nunito Sans"/>
          <w:sz w:val="22"/>
          <w:szCs w:val="22"/>
          <w:lang w:val="en-US"/>
        </w:rPr>
        <w:lastRenderedPageBreak/>
        <w:t>(28.6%) to 5.7 TWh. Excluding this sector, gas consumption in Lithuania increased — rising nearly 14% to 10.1 TWh.</w:t>
      </w:r>
    </w:p>
    <w:p w14:paraId="376A74F6" w14:textId="77777777" w:rsidR="00510A3F" w:rsidRPr="00510A3F" w:rsidRDefault="00510A3F" w:rsidP="00510A3F">
      <w:pPr>
        <w:spacing w:after="0" w:line="240" w:lineRule="auto"/>
        <w:jc w:val="both"/>
        <w:rPr>
          <w:rFonts w:ascii="Nunito Sans" w:hAnsi="Nunito Sans"/>
          <w:sz w:val="22"/>
          <w:szCs w:val="22"/>
          <w:lang w:val="en-US"/>
        </w:rPr>
      </w:pPr>
    </w:p>
    <w:p w14:paraId="0A15C7CE" w14:textId="77777777" w:rsidR="00510A3F" w:rsidRPr="00510A3F" w:rsidRDefault="00510A3F" w:rsidP="00510A3F">
      <w:pPr>
        <w:spacing w:after="0" w:line="240" w:lineRule="auto"/>
        <w:jc w:val="both"/>
        <w:rPr>
          <w:rFonts w:ascii="Nunito Sans" w:hAnsi="Nunito Sans"/>
          <w:sz w:val="22"/>
          <w:szCs w:val="22"/>
          <w:lang w:val="en-US"/>
        </w:rPr>
      </w:pPr>
      <w:r w:rsidRPr="00510A3F">
        <w:rPr>
          <w:rFonts w:ascii="Nunito Sans" w:hAnsi="Nunito Sans"/>
          <w:sz w:val="22"/>
          <w:szCs w:val="22"/>
          <w:lang w:val="en-US"/>
        </w:rPr>
        <w:t>For the needs of Latvia, Estonia, and Finland, 12.7 TWh of gas were transmitted through the Lithuania–Latvia interconnection — 31% more than in 2024 (9.7 TWh). Flows to Poland nearly doubled, from 2.55 TWh to 4.97 TWh. In 2025, part of the gas flows was redirected to meet newly emerging demand in Ukraine.</w:t>
      </w:r>
    </w:p>
    <w:p w14:paraId="009ED36D" w14:textId="77777777" w:rsidR="00510A3F" w:rsidRPr="00510A3F" w:rsidRDefault="00510A3F" w:rsidP="00510A3F">
      <w:pPr>
        <w:spacing w:after="0" w:line="240" w:lineRule="auto"/>
        <w:jc w:val="both"/>
        <w:rPr>
          <w:rFonts w:ascii="Nunito Sans" w:hAnsi="Nunito Sans"/>
          <w:sz w:val="22"/>
          <w:szCs w:val="22"/>
          <w:lang w:val="en-US"/>
        </w:rPr>
      </w:pPr>
    </w:p>
    <w:p w14:paraId="6821A8CE" w14:textId="77777777" w:rsidR="00510A3F" w:rsidRPr="00510A3F" w:rsidRDefault="00510A3F" w:rsidP="00510A3F">
      <w:pPr>
        <w:spacing w:after="0" w:line="240" w:lineRule="auto"/>
        <w:jc w:val="both"/>
        <w:rPr>
          <w:rFonts w:ascii="Nunito Sans" w:hAnsi="Nunito Sans"/>
          <w:b/>
          <w:bCs/>
          <w:sz w:val="22"/>
          <w:szCs w:val="22"/>
          <w:lang w:val="en-US"/>
        </w:rPr>
      </w:pPr>
      <w:r w:rsidRPr="00510A3F">
        <w:rPr>
          <w:rFonts w:ascii="Nunito Sans" w:hAnsi="Nunito Sans"/>
          <w:b/>
          <w:bCs/>
          <w:sz w:val="22"/>
          <w:szCs w:val="22"/>
          <w:lang w:val="en-US"/>
        </w:rPr>
        <w:t>Breakthrough in Biomethane Production</w:t>
      </w:r>
    </w:p>
    <w:p w14:paraId="6E55C71E" w14:textId="77777777" w:rsidR="00510A3F" w:rsidRPr="00510A3F" w:rsidRDefault="00510A3F" w:rsidP="00510A3F">
      <w:pPr>
        <w:spacing w:after="0" w:line="240" w:lineRule="auto"/>
        <w:jc w:val="both"/>
        <w:rPr>
          <w:rFonts w:ascii="Nunito Sans" w:hAnsi="Nunito Sans"/>
          <w:sz w:val="22"/>
          <w:szCs w:val="22"/>
          <w:lang w:val="en-US"/>
        </w:rPr>
      </w:pPr>
    </w:p>
    <w:p w14:paraId="6BC4BEDC" w14:textId="77777777" w:rsidR="00510A3F" w:rsidRPr="00510A3F" w:rsidRDefault="00510A3F" w:rsidP="00510A3F">
      <w:pPr>
        <w:spacing w:after="0" w:line="240" w:lineRule="auto"/>
        <w:jc w:val="both"/>
        <w:rPr>
          <w:rFonts w:ascii="Nunito Sans" w:hAnsi="Nunito Sans"/>
          <w:sz w:val="22"/>
          <w:szCs w:val="22"/>
          <w:lang w:val="en-US"/>
        </w:rPr>
      </w:pPr>
      <w:r w:rsidRPr="00510A3F">
        <w:rPr>
          <w:rFonts w:ascii="Nunito Sans" w:hAnsi="Nunito Sans"/>
          <w:sz w:val="22"/>
          <w:szCs w:val="22"/>
          <w:lang w:val="en-US"/>
        </w:rPr>
        <w:t>2025 was a year of rapid growth in the biomethane market. Last year, 277 GWh of biomethane were injected into Lithuania’s gas transmission system — twice as much as in 2024 (127 GWh). Based on the plans of potential market participants, strong growth is expected to continue, and by 2030 the target set in the National Energy Strategy — 1.4 TWh of biomethane produced annually — is expected to be reached.</w:t>
      </w:r>
    </w:p>
    <w:p w14:paraId="75DAEC97" w14:textId="77777777" w:rsidR="00510A3F" w:rsidRPr="00510A3F" w:rsidRDefault="00510A3F" w:rsidP="00510A3F">
      <w:pPr>
        <w:spacing w:after="0" w:line="240" w:lineRule="auto"/>
        <w:jc w:val="both"/>
        <w:rPr>
          <w:rFonts w:ascii="Nunito Sans" w:hAnsi="Nunito Sans"/>
          <w:sz w:val="22"/>
          <w:szCs w:val="22"/>
          <w:lang w:val="en-US"/>
        </w:rPr>
      </w:pPr>
    </w:p>
    <w:p w14:paraId="6AB341A2" w14:textId="77777777" w:rsidR="00510A3F" w:rsidRPr="00510A3F" w:rsidRDefault="00510A3F" w:rsidP="00510A3F">
      <w:pPr>
        <w:spacing w:after="0" w:line="240" w:lineRule="auto"/>
        <w:jc w:val="both"/>
        <w:rPr>
          <w:rFonts w:ascii="Nunito Sans" w:hAnsi="Nunito Sans"/>
          <w:sz w:val="22"/>
          <w:szCs w:val="22"/>
          <w:lang w:val="en-US"/>
        </w:rPr>
      </w:pPr>
      <w:r w:rsidRPr="00510A3F">
        <w:rPr>
          <w:rFonts w:ascii="Nunito Sans" w:hAnsi="Nunito Sans"/>
          <w:sz w:val="22"/>
          <w:szCs w:val="22"/>
          <w:lang w:val="en-US"/>
        </w:rPr>
        <w:t>In December, Amber Grid joined the European AIB (Association of Issuing Bodies) trading platform, creating favorable conditions for cross-border biomethane trade for Lithuanian market participants. Companies became more active in the international biomethane market, increasing export and import volumes and thus promoting the development of biomethane production in Lithuania.</w:t>
      </w:r>
    </w:p>
    <w:p w14:paraId="79E9C987" w14:textId="77777777" w:rsidR="00510A3F" w:rsidRPr="00510A3F" w:rsidRDefault="00510A3F" w:rsidP="00510A3F">
      <w:pPr>
        <w:spacing w:after="0" w:line="240" w:lineRule="auto"/>
        <w:jc w:val="both"/>
        <w:rPr>
          <w:rFonts w:ascii="Nunito Sans" w:hAnsi="Nunito Sans"/>
          <w:sz w:val="22"/>
          <w:szCs w:val="22"/>
          <w:lang w:val="en-US"/>
        </w:rPr>
      </w:pPr>
    </w:p>
    <w:p w14:paraId="18E52C8B" w14:textId="77777777" w:rsidR="00510A3F" w:rsidRPr="00510A3F" w:rsidRDefault="00510A3F" w:rsidP="00510A3F">
      <w:pPr>
        <w:spacing w:after="0" w:line="240" w:lineRule="auto"/>
        <w:jc w:val="both"/>
        <w:rPr>
          <w:rFonts w:ascii="Nunito Sans" w:hAnsi="Nunito Sans"/>
          <w:b/>
          <w:bCs/>
          <w:sz w:val="22"/>
          <w:szCs w:val="22"/>
          <w:lang w:val="en-US"/>
        </w:rPr>
      </w:pPr>
      <w:r w:rsidRPr="00510A3F">
        <w:rPr>
          <w:rFonts w:ascii="Nunito Sans" w:hAnsi="Nunito Sans"/>
          <w:b/>
          <w:bCs/>
          <w:sz w:val="22"/>
          <w:szCs w:val="22"/>
          <w:lang w:val="en-US"/>
        </w:rPr>
        <w:t>A New Stage</w:t>
      </w:r>
    </w:p>
    <w:p w14:paraId="2AEA8493" w14:textId="77777777" w:rsidR="00510A3F" w:rsidRPr="00510A3F" w:rsidRDefault="00510A3F" w:rsidP="00510A3F">
      <w:pPr>
        <w:spacing w:after="0" w:line="240" w:lineRule="auto"/>
        <w:jc w:val="both"/>
        <w:rPr>
          <w:rFonts w:ascii="Nunito Sans" w:hAnsi="Nunito Sans"/>
          <w:sz w:val="22"/>
          <w:szCs w:val="22"/>
          <w:lang w:val="en-US"/>
        </w:rPr>
      </w:pPr>
    </w:p>
    <w:p w14:paraId="01ECB819" w14:textId="77777777" w:rsidR="00510A3F" w:rsidRPr="00510A3F" w:rsidRDefault="00510A3F" w:rsidP="00510A3F">
      <w:pPr>
        <w:spacing w:after="0" w:line="240" w:lineRule="auto"/>
        <w:jc w:val="both"/>
        <w:rPr>
          <w:rFonts w:ascii="Nunito Sans" w:hAnsi="Nunito Sans"/>
          <w:sz w:val="22"/>
          <w:szCs w:val="22"/>
          <w:lang w:val="en-US"/>
        </w:rPr>
      </w:pPr>
      <w:r w:rsidRPr="00510A3F">
        <w:rPr>
          <w:rFonts w:ascii="Nunito Sans" w:hAnsi="Nunito Sans"/>
          <w:sz w:val="22"/>
          <w:szCs w:val="22"/>
          <w:lang w:val="en-US"/>
        </w:rPr>
        <w:t>The year 2025 was also important for Lithuania’s hydrogen market. The North–Baltic Hydrogen Corridor (NBHC) project — aimed at connecting hydrogen production and consumption hubs between the Nordic countries and Central Europe — successfully entered the detailed study phase, supported by EU CEF funding. Transmission system operators from six countries will, by spring 2027, complete detailed route selection, define technical parameters, assess environmental impacts, and prepare a business model.</w:t>
      </w:r>
    </w:p>
    <w:p w14:paraId="715F4F80" w14:textId="77777777" w:rsidR="00510A3F" w:rsidRPr="00510A3F" w:rsidRDefault="00510A3F" w:rsidP="00510A3F">
      <w:pPr>
        <w:spacing w:after="0" w:line="240" w:lineRule="auto"/>
        <w:jc w:val="both"/>
        <w:rPr>
          <w:rFonts w:ascii="Nunito Sans" w:hAnsi="Nunito Sans"/>
          <w:sz w:val="22"/>
          <w:szCs w:val="22"/>
          <w:lang w:val="en-US"/>
        </w:rPr>
      </w:pPr>
      <w:r w:rsidRPr="00510A3F">
        <w:rPr>
          <w:rFonts w:ascii="Nunito Sans" w:hAnsi="Nunito Sans"/>
          <w:sz w:val="22"/>
          <w:szCs w:val="22"/>
          <w:lang w:val="en-US"/>
        </w:rPr>
        <w:t>In addition, an expert working group established by the Ministry of Energy began drafting the Hydrogen Law and related legislative amendments to transpose the EU Hydrogen Directive. Parliamentary consideration is planned for the spring session — an important step in establishing the legal framework for hydrogen market development in Lithuania.</w:t>
      </w:r>
    </w:p>
    <w:p w14:paraId="7079D916" w14:textId="77777777" w:rsidR="00510A3F" w:rsidRPr="00510A3F" w:rsidRDefault="00510A3F" w:rsidP="00510A3F">
      <w:pPr>
        <w:spacing w:after="0" w:line="240" w:lineRule="auto"/>
        <w:jc w:val="both"/>
        <w:rPr>
          <w:rFonts w:ascii="Nunito Sans" w:hAnsi="Nunito Sans"/>
          <w:sz w:val="22"/>
          <w:szCs w:val="22"/>
          <w:lang w:val="en-US"/>
        </w:rPr>
      </w:pPr>
    </w:p>
    <w:p w14:paraId="0D8A0E04" w14:textId="77777777" w:rsidR="00510A3F" w:rsidRPr="00510A3F" w:rsidRDefault="00510A3F" w:rsidP="00510A3F">
      <w:pPr>
        <w:spacing w:after="0" w:line="240" w:lineRule="auto"/>
        <w:jc w:val="both"/>
        <w:rPr>
          <w:rFonts w:ascii="Nunito Sans" w:hAnsi="Nunito Sans"/>
          <w:b/>
          <w:bCs/>
          <w:sz w:val="22"/>
          <w:szCs w:val="22"/>
          <w:lang w:val="en-US"/>
        </w:rPr>
      </w:pPr>
      <w:r w:rsidRPr="00510A3F">
        <w:rPr>
          <w:rFonts w:ascii="Nunito Sans" w:hAnsi="Nunito Sans"/>
          <w:b/>
          <w:bCs/>
          <w:sz w:val="22"/>
          <w:szCs w:val="22"/>
          <w:lang w:val="en-US"/>
        </w:rPr>
        <w:t>Reduced Greenhouse Gas Emissions</w:t>
      </w:r>
    </w:p>
    <w:p w14:paraId="04486E06" w14:textId="77777777" w:rsidR="00510A3F" w:rsidRPr="00510A3F" w:rsidRDefault="00510A3F" w:rsidP="00510A3F">
      <w:pPr>
        <w:spacing w:after="0" w:line="240" w:lineRule="auto"/>
        <w:jc w:val="both"/>
        <w:rPr>
          <w:rFonts w:ascii="Nunito Sans" w:hAnsi="Nunito Sans"/>
          <w:sz w:val="22"/>
          <w:szCs w:val="22"/>
          <w:lang w:val="en-US"/>
        </w:rPr>
      </w:pPr>
    </w:p>
    <w:p w14:paraId="69B182FE" w14:textId="77777777" w:rsidR="00510A3F" w:rsidRPr="00510A3F" w:rsidRDefault="00510A3F" w:rsidP="00510A3F">
      <w:pPr>
        <w:spacing w:after="0" w:line="240" w:lineRule="auto"/>
        <w:jc w:val="both"/>
        <w:rPr>
          <w:rFonts w:ascii="Nunito Sans" w:hAnsi="Nunito Sans"/>
          <w:sz w:val="22"/>
          <w:szCs w:val="22"/>
          <w:lang w:val="en-US"/>
        </w:rPr>
      </w:pPr>
      <w:r w:rsidRPr="00510A3F">
        <w:rPr>
          <w:rFonts w:ascii="Nunito Sans" w:hAnsi="Nunito Sans"/>
          <w:sz w:val="22"/>
          <w:szCs w:val="22"/>
          <w:lang w:val="en-US"/>
        </w:rPr>
        <w:t>The company continued to significantly reduce greenhouse gas (GHG) emissions — in 2025 they were cut by 51%, continuing strong progress (55% in 2024, 36% in 2023). These results show that Amber Grid has already achieved part of its long-term emission reduction goals and is steadily moving toward a climate-neutral operating model. Emission management is based on advanced methodologies aligned with the European Green Deal and the Paris Agreement.</w:t>
      </w:r>
    </w:p>
    <w:p w14:paraId="59FB278F" w14:textId="77777777" w:rsidR="00510A3F" w:rsidRPr="00510A3F" w:rsidRDefault="00510A3F" w:rsidP="00510A3F">
      <w:pPr>
        <w:spacing w:after="0" w:line="240" w:lineRule="auto"/>
        <w:jc w:val="both"/>
        <w:rPr>
          <w:rFonts w:ascii="Nunito Sans" w:hAnsi="Nunito Sans"/>
          <w:sz w:val="22"/>
          <w:szCs w:val="22"/>
          <w:lang w:val="en-US"/>
        </w:rPr>
      </w:pPr>
    </w:p>
    <w:p w14:paraId="13297843" w14:textId="77777777" w:rsidR="00510A3F" w:rsidRPr="00510A3F" w:rsidRDefault="00510A3F" w:rsidP="00510A3F">
      <w:pPr>
        <w:spacing w:after="0" w:line="240" w:lineRule="auto"/>
        <w:jc w:val="both"/>
        <w:rPr>
          <w:rFonts w:ascii="Nunito Sans" w:hAnsi="Nunito Sans"/>
          <w:i/>
          <w:iCs/>
          <w:sz w:val="22"/>
          <w:szCs w:val="22"/>
          <w:lang w:val="en-US"/>
        </w:rPr>
      </w:pPr>
      <w:r w:rsidRPr="00510A3F">
        <w:rPr>
          <w:rFonts w:ascii="Nunito Sans" w:hAnsi="Nunito Sans"/>
          <w:i/>
          <w:iCs/>
          <w:sz w:val="22"/>
          <w:szCs w:val="22"/>
          <w:lang w:val="en-US"/>
        </w:rPr>
        <w:t>AB Amber Grid is Lithuania’s gas transmission system operator and part of the EPSO-G group. The company operates a 2,288 km high-pressure gas pipeline network across Lithuania. It also manages more than 60 gas distribution and metering stations and two gas compressor stations.</w:t>
      </w:r>
    </w:p>
    <w:p w14:paraId="38F7579D" w14:textId="77777777" w:rsidR="00510A3F" w:rsidRPr="00510A3F" w:rsidRDefault="00510A3F" w:rsidP="00510A3F">
      <w:pPr>
        <w:spacing w:after="0" w:line="240" w:lineRule="auto"/>
        <w:jc w:val="both"/>
        <w:rPr>
          <w:rFonts w:ascii="Nunito Sans" w:hAnsi="Nunito Sans"/>
          <w:i/>
          <w:iCs/>
          <w:sz w:val="22"/>
          <w:szCs w:val="22"/>
          <w:lang w:val="en-US"/>
        </w:rPr>
      </w:pPr>
      <w:r w:rsidRPr="00510A3F">
        <w:rPr>
          <w:rFonts w:ascii="Nunito Sans" w:hAnsi="Nunito Sans"/>
          <w:i/>
          <w:iCs/>
          <w:sz w:val="22"/>
          <w:szCs w:val="22"/>
          <w:lang w:val="en-US"/>
        </w:rPr>
        <w:lastRenderedPageBreak/>
        <w:t xml:space="preserve">Amber Grid’s system is interconnected with the gas transmission systems of four neighboring countries and the </w:t>
      </w:r>
      <w:proofErr w:type="spellStart"/>
      <w:r w:rsidRPr="00510A3F">
        <w:rPr>
          <w:rFonts w:ascii="Nunito Sans" w:hAnsi="Nunito Sans"/>
          <w:i/>
          <w:iCs/>
          <w:sz w:val="22"/>
          <w:szCs w:val="22"/>
          <w:lang w:val="en-US"/>
        </w:rPr>
        <w:t>Klaipėda</w:t>
      </w:r>
      <w:proofErr w:type="spellEnd"/>
      <w:r w:rsidRPr="00510A3F">
        <w:rPr>
          <w:rFonts w:ascii="Nunito Sans" w:hAnsi="Nunito Sans"/>
          <w:i/>
          <w:iCs/>
          <w:sz w:val="22"/>
          <w:szCs w:val="22"/>
          <w:lang w:val="en-US"/>
        </w:rPr>
        <w:t xml:space="preserve"> LNG terminal. Amber Grid shares are listed on the Nasdaq Vilnius Stock Exchange Baltic Secondary List. The company’s main shareholder is EPSO-G, whose shares are 100% owned by the Ministry of Energy of the Republic of Lithuania.</w:t>
      </w:r>
    </w:p>
    <w:p w14:paraId="03E9017F" w14:textId="77777777" w:rsidR="00510A3F" w:rsidRPr="00510A3F" w:rsidRDefault="00510A3F" w:rsidP="00510A3F">
      <w:pPr>
        <w:spacing w:after="0" w:line="240" w:lineRule="auto"/>
        <w:jc w:val="both"/>
        <w:rPr>
          <w:rFonts w:ascii="Nunito Sans" w:hAnsi="Nunito Sans"/>
          <w:i/>
          <w:iCs/>
          <w:sz w:val="22"/>
          <w:szCs w:val="22"/>
          <w:lang w:val="en-US"/>
        </w:rPr>
      </w:pPr>
    </w:p>
    <w:p w14:paraId="1CEB285A" w14:textId="77777777" w:rsidR="00510A3F" w:rsidRPr="00510A3F" w:rsidRDefault="00510A3F" w:rsidP="00510A3F">
      <w:pPr>
        <w:jc w:val="both"/>
        <w:rPr>
          <w:rFonts w:ascii="Nunito Sans" w:hAnsi="Nunito Sans"/>
          <w:i/>
          <w:iCs/>
          <w:sz w:val="22"/>
          <w:szCs w:val="22"/>
          <w:lang w:val="en-US"/>
        </w:rPr>
      </w:pPr>
    </w:p>
    <w:p w14:paraId="3FBB227B" w14:textId="77777777" w:rsidR="001F2496" w:rsidRPr="00510A3F" w:rsidRDefault="001F2496">
      <w:pPr>
        <w:rPr>
          <w:rFonts w:ascii="Nunito Sans" w:hAnsi="Nunito Sans"/>
          <w:i/>
          <w:iCs/>
          <w:lang w:val="en-US"/>
        </w:rPr>
      </w:pPr>
    </w:p>
    <w:sectPr w:rsidR="001F2496" w:rsidRPr="00510A3F">
      <w:headerReference w:type="default" r:id="rId6"/>
      <w:footerReference w:type="default" r:id="rId7"/>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158C0" w14:textId="77777777" w:rsidR="00510A3F" w:rsidRDefault="00510A3F" w:rsidP="00510A3F">
      <w:pPr>
        <w:spacing w:after="0" w:line="240" w:lineRule="auto"/>
      </w:pPr>
      <w:r>
        <w:separator/>
      </w:r>
    </w:p>
  </w:endnote>
  <w:endnote w:type="continuationSeparator" w:id="0">
    <w:p w14:paraId="381C4B94" w14:textId="77777777" w:rsidR="00510A3F" w:rsidRDefault="00510A3F" w:rsidP="00510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unito Sans">
    <w:altName w:val="Cambria"/>
    <w:charset w:val="BA"/>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983D" w14:textId="6EE9B506" w:rsidR="00510A3F" w:rsidRDefault="00510A3F">
    <w:pPr>
      <w:pStyle w:val="Footer"/>
    </w:pPr>
    <w:r>
      <w:rPr>
        <w:noProof/>
      </w:rPr>
      <w:drawing>
        <wp:inline distT="0" distB="0" distL="0" distR="0" wp14:anchorId="16D286CB" wp14:editId="2EF83F14">
          <wp:extent cx="6120130" cy="213360"/>
          <wp:effectExtent l="0" t="0" r="0" b="0"/>
          <wp:docPr id="446806934" name="Graphic 10">
            <a:extLst xmlns:a="http://schemas.openxmlformats.org/drawingml/2006/main">
              <a:ext uri="{FF2B5EF4-FFF2-40B4-BE49-F238E27FC236}">
                <a16:creationId xmlns:a16="http://schemas.microsoft.com/office/drawing/2014/main" id="{D1761311-7D6A-4DFD-A3D2-F68F226D21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08427" name="Graphic 10"/>
                  <pic:cNvPicPr/>
                </pic:nvPicPr>
                <pic:blipFill>
                  <a:blip r:embed="rId1">
                    <a:extLst>
                      <a:ext uri="{96DAC541-7B7A-43D3-8B79-37D633B846F1}">
                        <asvg:svgBlip xmlns:asvg="http://schemas.microsoft.com/office/drawing/2016/SVG/main" r:embed="rId2"/>
                      </a:ext>
                    </a:extLst>
                  </a:blip>
                  <a:stretch>
                    <a:fillRect/>
                  </a:stretch>
                </pic:blipFill>
                <pic:spPr>
                  <a:xfrm>
                    <a:off x="0" y="0"/>
                    <a:ext cx="6120130" cy="2133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96EFD" w14:textId="77777777" w:rsidR="00510A3F" w:rsidRDefault="00510A3F" w:rsidP="00510A3F">
      <w:pPr>
        <w:spacing w:after="0" w:line="240" w:lineRule="auto"/>
      </w:pPr>
      <w:r>
        <w:separator/>
      </w:r>
    </w:p>
  </w:footnote>
  <w:footnote w:type="continuationSeparator" w:id="0">
    <w:p w14:paraId="24733F73" w14:textId="77777777" w:rsidR="00510A3F" w:rsidRDefault="00510A3F" w:rsidP="00510A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EF705" w14:textId="74402FDA" w:rsidR="00510A3F" w:rsidRDefault="00510A3F">
    <w:pPr>
      <w:pStyle w:val="Header"/>
    </w:pPr>
    <w:r>
      <w:rPr>
        <w:noProof/>
      </w:rPr>
      <w:drawing>
        <wp:inline distT="0" distB="0" distL="0" distR="0" wp14:anchorId="5D78A479" wp14:editId="784A8D8C">
          <wp:extent cx="895350" cy="284884"/>
          <wp:effectExtent l="0" t="0" r="0" b="0"/>
          <wp:docPr id="2064413739" name="Graphic 1">
            <a:extLst xmlns:a="http://schemas.openxmlformats.org/drawingml/2006/main">
              <a:ext uri="{FF2B5EF4-FFF2-40B4-BE49-F238E27FC236}">
                <a16:creationId xmlns:a16="http://schemas.microsoft.com/office/drawing/2014/main" id="{0F69B741-74D9-4E1E-B3A7-C0093B75D4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275044" name="Graphic 1412275044"/>
                  <pic:cNvPicPr/>
                </pic:nvPicPr>
                <pic:blipFill>
                  <a:blip r:embed="rId1">
                    <a:extLst>
                      <a:ext uri="{96DAC541-7B7A-43D3-8B79-37D633B846F1}">
                        <asvg:svgBlip xmlns:asvg="http://schemas.microsoft.com/office/drawing/2016/SVG/main" r:embed="rId2"/>
                      </a:ext>
                    </a:extLst>
                  </a:blip>
                  <a:stretch>
                    <a:fillRect/>
                  </a:stretch>
                </pic:blipFill>
                <pic:spPr>
                  <a:xfrm>
                    <a:off x="0" y="0"/>
                    <a:ext cx="971682" cy="30917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A3F"/>
    <w:rsid w:val="001F2496"/>
    <w:rsid w:val="00510A3F"/>
    <w:rsid w:val="005629A9"/>
    <w:rsid w:val="00C21FB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ED3CB"/>
  <w15:chartTrackingRefBased/>
  <w15:docId w15:val="{B3CD851C-79A5-46F6-A844-F4AC08B43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A3F"/>
  </w:style>
  <w:style w:type="paragraph" w:styleId="Heading1">
    <w:name w:val="heading 1"/>
    <w:basedOn w:val="Normal"/>
    <w:next w:val="Normal"/>
    <w:link w:val="Heading1Char"/>
    <w:uiPriority w:val="9"/>
    <w:qFormat/>
    <w:rsid w:val="00510A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0A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0A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0A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0A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0A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0A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0A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0A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0A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0A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0A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0A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0A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0A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0A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0A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0A3F"/>
    <w:rPr>
      <w:rFonts w:eastAsiaTheme="majorEastAsia" w:cstheme="majorBidi"/>
      <w:color w:val="272727" w:themeColor="text1" w:themeTint="D8"/>
    </w:rPr>
  </w:style>
  <w:style w:type="paragraph" w:styleId="Title">
    <w:name w:val="Title"/>
    <w:basedOn w:val="Normal"/>
    <w:next w:val="Normal"/>
    <w:link w:val="TitleChar"/>
    <w:uiPriority w:val="10"/>
    <w:qFormat/>
    <w:rsid w:val="00510A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0A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0A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0A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0A3F"/>
    <w:pPr>
      <w:spacing w:before="160"/>
      <w:jc w:val="center"/>
    </w:pPr>
    <w:rPr>
      <w:i/>
      <w:iCs/>
      <w:color w:val="404040" w:themeColor="text1" w:themeTint="BF"/>
    </w:rPr>
  </w:style>
  <w:style w:type="character" w:customStyle="1" w:styleId="QuoteChar">
    <w:name w:val="Quote Char"/>
    <w:basedOn w:val="DefaultParagraphFont"/>
    <w:link w:val="Quote"/>
    <w:uiPriority w:val="29"/>
    <w:rsid w:val="00510A3F"/>
    <w:rPr>
      <w:i/>
      <w:iCs/>
      <w:color w:val="404040" w:themeColor="text1" w:themeTint="BF"/>
    </w:rPr>
  </w:style>
  <w:style w:type="paragraph" w:styleId="ListParagraph">
    <w:name w:val="List Paragraph"/>
    <w:basedOn w:val="Normal"/>
    <w:uiPriority w:val="34"/>
    <w:qFormat/>
    <w:rsid w:val="00510A3F"/>
    <w:pPr>
      <w:ind w:left="720"/>
      <w:contextualSpacing/>
    </w:pPr>
  </w:style>
  <w:style w:type="character" w:styleId="IntenseEmphasis">
    <w:name w:val="Intense Emphasis"/>
    <w:basedOn w:val="DefaultParagraphFont"/>
    <w:uiPriority w:val="21"/>
    <w:qFormat/>
    <w:rsid w:val="00510A3F"/>
    <w:rPr>
      <w:i/>
      <w:iCs/>
      <w:color w:val="0F4761" w:themeColor="accent1" w:themeShade="BF"/>
    </w:rPr>
  </w:style>
  <w:style w:type="paragraph" w:styleId="IntenseQuote">
    <w:name w:val="Intense Quote"/>
    <w:basedOn w:val="Normal"/>
    <w:next w:val="Normal"/>
    <w:link w:val="IntenseQuoteChar"/>
    <w:uiPriority w:val="30"/>
    <w:qFormat/>
    <w:rsid w:val="00510A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0A3F"/>
    <w:rPr>
      <w:i/>
      <w:iCs/>
      <w:color w:val="0F4761" w:themeColor="accent1" w:themeShade="BF"/>
    </w:rPr>
  </w:style>
  <w:style w:type="character" w:styleId="IntenseReference">
    <w:name w:val="Intense Reference"/>
    <w:basedOn w:val="DefaultParagraphFont"/>
    <w:uiPriority w:val="32"/>
    <w:qFormat/>
    <w:rsid w:val="00510A3F"/>
    <w:rPr>
      <w:b/>
      <w:bCs/>
      <w:smallCaps/>
      <w:color w:val="0F4761" w:themeColor="accent1" w:themeShade="BF"/>
      <w:spacing w:val="5"/>
    </w:rPr>
  </w:style>
  <w:style w:type="paragraph" w:styleId="Header">
    <w:name w:val="header"/>
    <w:basedOn w:val="Normal"/>
    <w:link w:val="HeaderChar"/>
    <w:uiPriority w:val="99"/>
    <w:unhideWhenUsed/>
    <w:rsid w:val="00510A3F"/>
    <w:pPr>
      <w:tabs>
        <w:tab w:val="center" w:pos="4819"/>
        <w:tab w:val="right" w:pos="9638"/>
      </w:tabs>
      <w:spacing w:after="0" w:line="240" w:lineRule="auto"/>
    </w:pPr>
  </w:style>
  <w:style w:type="character" w:customStyle="1" w:styleId="HeaderChar">
    <w:name w:val="Header Char"/>
    <w:basedOn w:val="DefaultParagraphFont"/>
    <w:link w:val="Header"/>
    <w:uiPriority w:val="99"/>
    <w:rsid w:val="00510A3F"/>
  </w:style>
  <w:style w:type="paragraph" w:styleId="Footer">
    <w:name w:val="footer"/>
    <w:basedOn w:val="Normal"/>
    <w:link w:val="FooterChar"/>
    <w:uiPriority w:val="99"/>
    <w:unhideWhenUsed/>
    <w:rsid w:val="00510A3F"/>
    <w:pPr>
      <w:tabs>
        <w:tab w:val="center" w:pos="4819"/>
        <w:tab w:val="right" w:pos="9638"/>
      </w:tabs>
      <w:spacing w:after="0" w:line="240" w:lineRule="auto"/>
    </w:pPr>
  </w:style>
  <w:style w:type="character" w:customStyle="1" w:styleId="FooterChar">
    <w:name w:val="Footer Char"/>
    <w:basedOn w:val="DefaultParagraphFont"/>
    <w:link w:val="Footer"/>
    <w:uiPriority w:val="99"/>
    <w:rsid w:val="00510A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0a194c4-decd-49a7-b39f-0e1f771bc324}" enabled="1" method="Privileged" siteId="{e54289c6-b630-4215-acc5-57eec01212d6}"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3989</Words>
  <Characters>2274</Characters>
  <Application>Microsoft Office Word</Application>
  <DocSecurity>0</DocSecurity>
  <Lines>18</Lines>
  <Paragraphs>12</Paragraphs>
  <ScaleCrop>false</ScaleCrop>
  <Company>AB AmberGrid</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Krasauskienė</dc:creator>
  <cp:keywords/>
  <dc:description/>
  <cp:lastModifiedBy>Eglė Krasauskienė</cp:lastModifiedBy>
  <cp:revision>1</cp:revision>
  <dcterms:created xsi:type="dcterms:W3CDTF">2026-03-25T13:16:00Z</dcterms:created>
  <dcterms:modified xsi:type="dcterms:W3CDTF">2026-03-25T13:18:00Z</dcterms:modified>
</cp:coreProperties>
</file>