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A826" w14:textId="6C1B676B" w:rsidR="00510A3F" w:rsidRPr="00510A3F" w:rsidRDefault="00510A3F" w:rsidP="00510A3F">
      <w:pPr>
        <w:spacing w:after="0" w:line="240" w:lineRule="auto"/>
        <w:jc w:val="right"/>
        <w:rPr>
          <w:rFonts w:ascii="Nunito Sans" w:hAnsi="Nunito Sans"/>
          <w:sz w:val="22"/>
          <w:szCs w:val="22"/>
          <w:lang w:val="en-US"/>
        </w:rPr>
      </w:pPr>
      <w:r w:rsidRPr="00510A3F">
        <w:rPr>
          <w:rFonts w:ascii="Nunito Sans" w:hAnsi="Nunito Sans"/>
          <w:sz w:val="22"/>
          <w:szCs w:val="22"/>
          <w:lang w:val="en-US"/>
        </w:rPr>
        <w:t>Press release</w:t>
      </w:r>
    </w:p>
    <w:p w14:paraId="39B1AC60" w14:textId="5C63FCFE" w:rsidR="00510A3F" w:rsidRPr="00510A3F" w:rsidRDefault="00510A3F" w:rsidP="00510A3F">
      <w:pPr>
        <w:spacing w:after="0" w:line="240" w:lineRule="auto"/>
        <w:jc w:val="right"/>
        <w:rPr>
          <w:rFonts w:ascii="Nunito Sans" w:hAnsi="Nunito Sans"/>
          <w:sz w:val="22"/>
          <w:szCs w:val="22"/>
          <w:lang w:val="en-US"/>
        </w:rPr>
      </w:pPr>
      <w:r w:rsidRPr="00510A3F">
        <w:rPr>
          <w:rFonts w:ascii="Nunito Sans" w:hAnsi="Nunito Sans"/>
          <w:sz w:val="22"/>
          <w:szCs w:val="22"/>
          <w:lang w:val="en-US"/>
        </w:rPr>
        <w:t>25 03 2026</w:t>
      </w:r>
    </w:p>
    <w:p w14:paraId="2D0192F1" w14:textId="118C581A" w:rsidR="00510A3F" w:rsidRPr="00510A3F" w:rsidRDefault="00510A3F" w:rsidP="00510A3F">
      <w:pPr>
        <w:spacing w:after="0" w:line="240" w:lineRule="auto"/>
        <w:jc w:val="both"/>
        <w:rPr>
          <w:rFonts w:ascii="Nunito Sans" w:hAnsi="Nunito Sans"/>
          <w:b/>
          <w:bCs/>
          <w:sz w:val="22"/>
          <w:szCs w:val="22"/>
          <w:lang w:val="en-US"/>
        </w:rPr>
      </w:pPr>
      <w:r w:rsidRPr="00510A3F">
        <w:rPr>
          <w:rFonts w:ascii="Nunito Sans" w:hAnsi="Nunito Sans"/>
          <w:b/>
          <w:bCs/>
          <w:sz w:val="22"/>
          <w:szCs w:val="22"/>
          <w:lang w:val="en-US"/>
        </w:rPr>
        <w:t>Amber Grid’s 2025 Results: Increased Investments, Higher Gas Transmission Volumes, and a Breakthrough in the Biomethane Market</w:t>
      </w:r>
    </w:p>
    <w:p w14:paraId="306EFC4C" w14:textId="77777777" w:rsidR="00510A3F" w:rsidRPr="00510A3F" w:rsidRDefault="00510A3F" w:rsidP="00510A3F">
      <w:pPr>
        <w:spacing w:after="0" w:line="240" w:lineRule="auto"/>
        <w:jc w:val="both"/>
        <w:rPr>
          <w:rFonts w:ascii="Nunito Sans" w:hAnsi="Nunito Sans"/>
          <w:sz w:val="22"/>
          <w:szCs w:val="22"/>
          <w:lang w:val="en-US"/>
        </w:rPr>
      </w:pPr>
    </w:p>
    <w:p w14:paraId="2CD1B3CC"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Lithuania’s gas transmission system operator Amber Grid continued strengthening its transmission system last year, enhancing resilience, reliability, and safety. In 2025, investments grew nearly 3.4 times, reaching EUR 21.8 million. More projects supporting the energy transition were launched — the amount of biomethane injected into the system more than doubled. And despite a decline in domestic natural gas demand due to a significant drop in the fertilizer sector’s consumption, the volume of gas transported to regional customers increased by 15%.</w:t>
      </w:r>
    </w:p>
    <w:p w14:paraId="03EB57D4" w14:textId="77777777" w:rsidR="00510A3F" w:rsidRPr="00510A3F" w:rsidRDefault="00510A3F" w:rsidP="00510A3F">
      <w:pPr>
        <w:spacing w:after="0" w:line="240" w:lineRule="auto"/>
        <w:jc w:val="both"/>
        <w:rPr>
          <w:rFonts w:ascii="Nunito Sans" w:hAnsi="Nunito Sans"/>
          <w:sz w:val="22"/>
          <w:szCs w:val="22"/>
          <w:lang w:val="en-US"/>
        </w:rPr>
      </w:pPr>
    </w:p>
    <w:p w14:paraId="769514C3"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“Last year was marked by significant structural changes in the national gas sector. Although overall gas consumption in Lithuania decreased due to lower demand from the fertilizer industry, international gas flows increased, further strengthening the strategic importance of our system: gas flows to Latvia and Poland rose significantly, and export volumes were driven by growing demand in Ukraine. We place special emphasis on the safety and reliability of the gas transmission system. Energy security is the foundation of sustainable national development. We continuously carry out technical inspections, maintenance, and restoration works, and business resilience remains a priority in our daily operations,” says Amber Grid CEO Nemunas Biknius.</w:t>
      </w:r>
    </w:p>
    <w:p w14:paraId="504A783F" w14:textId="77777777" w:rsidR="00510A3F" w:rsidRPr="00510A3F" w:rsidRDefault="00510A3F" w:rsidP="00510A3F">
      <w:pPr>
        <w:spacing w:after="0" w:line="240" w:lineRule="auto"/>
        <w:jc w:val="both"/>
        <w:rPr>
          <w:rFonts w:ascii="Nunito Sans" w:hAnsi="Nunito Sans"/>
          <w:sz w:val="22"/>
          <w:szCs w:val="22"/>
          <w:lang w:val="en-US"/>
        </w:rPr>
      </w:pPr>
    </w:p>
    <w:p w14:paraId="53F3E905" w14:textId="77777777" w:rsidR="00510A3F" w:rsidRPr="00510A3F" w:rsidRDefault="00510A3F" w:rsidP="00510A3F">
      <w:pPr>
        <w:spacing w:after="0" w:line="240" w:lineRule="auto"/>
        <w:jc w:val="both"/>
        <w:rPr>
          <w:rFonts w:ascii="Nunito Sans" w:hAnsi="Nunito Sans"/>
          <w:b/>
          <w:bCs/>
          <w:sz w:val="22"/>
          <w:szCs w:val="22"/>
          <w:lang w:val="en-US"/>
        </w:rPr>
      </w:pPr>
      <w:r w:rsidRPr="00510A3F">
        <w:rPr>
          <w:rFonts w:ascii="Nunito Sans" w:hAnsi="Nunito Sans"/>
          <w:b/>
          <w:bCs/>
          <w:sz w:val="22"/>
          <w:szCs w:val="22"/>
          <w:lang w:val="en-US"/>
        </w:rPr>
        <w:t>Increased Investments</w:t>
      </w:r>
    </w:p>
    <w:p w14:paraId="4F3F4061" w14:textId="77777777" w:rsidR="00510A3F" w:rsidRPr="00510A3F" w:rsidRDefault="00510A3F" w:rsidP="00510A3F">
      <w:pPr>
        <w:spacing w:after="0" w:line="240" w:lineRule="auto"/>
        <w:jc w:val="both"/>
        <w:rPr>
          <w:rFonts w:ascii="Nunito Sans" w:hAnsi="Nunito Sans"/>
          <w:sz w:val="22"/>
          <w:szCs w:val="22"/>
          <w:lang w:val="en-US"/>
        </w:rPr>
      </w:pPr>
    </w:p>
    <w:p w14:paraId="4895A1BA"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In 2025, Amber Grid’s net profit remained stable at EUR 10.0 million, compared to EUR 10.1 million in 2024. The company’s adjusted EBITDA (earnings before interest, taxes, depreciation, and amortization) also remained stable at EUR 27.4 million (2024: EUR 27.4 million).</w:t>
      </w:r>
    </w:p>
    <w:p w14:paraId="2F6A4A44"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 xml:space="preserve">Unadjusted net profit decreased more than sixfold to EUR 1.4 million (2024: EUR 8.3 million), while unadjusted EBITDA fell by nearly 35% to EUR 17.3 million (2024: EUR 26.5 million). These results were mainly driven by rising gas transmission operating costs and revenues falling below the levels set by the regulator. Temporary regulatory differences are </w:t>
      </w:r>
      <w:proofErr w:type="gramStart"/>
      <w:r w:rsidRPr="00510A3F">
        <w:rPr>
          <w:rFonts w:ascii="Nunito Sans" w:hAnsi="Nunito Sans"/>
          <w:sz w:val="22"/>
          <w:szCs w:val="22"/>
          <w:lang w:val="en-US"/>
        </w:rPr>
        <w:t>compensated</w:t>
      </w:r>
      <w:proofErr w:type="gramEnd"/>
      <w:r w:rsidRPr="00510A3F">
        <w:rPr>
          <w:rFonts w:ascii="Nunito Sans" w:hAnsi="Nunito Sans"/>
          <w:sz w:val="22"/>
          <w:szCs w:val="22"/>
          <w:lang w:val="en-US"/>
        </w:rPr>
        <w:t xml:space="preserve"> in subsequent regulatory periods.</w:t>
      </w:r>
    </w:p>
    <w:p w14:paraId="1BAFE98C" w14:textId="77777777" w:rsidR="00510A3F" w:rsidRPr="00510A3F" w:rsidRDefault="00510A3F" w:rsidP="00510A3F">
      <w:pPr>
        <w:spacing w:after="0" w:line="240" w:lineRule="auto"/>
        <w:jc w:val="both"/>
        <w:rPr>
          <w:rFonts w:ascii="Nunito Sans" w:hAnsi="Nunito Sans"/>
          <w:sz w:val="22"/>
          <w:szCs w:val="22"/>
          <w:lang w:val="en-US"/>
        </w:rPr>
      </w:pPr>
    </w:p>
    <w:p w14:paraId="469F6757"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 xml:space="preserve">Last year, Amber Grid invested EUR 21.8 million in infrastructure aimed at strengthening system safety, reliability, and resilience — nearly 3.4 times more than in 2024 (EUR 6.4 million). The increase was largely due to the launch of the </w:t>
      </w:r>
      <w:proofErr w:type="spellStart"/>
      <w:r w:rsidRPr="00510A3F">
        <w:rPr>
          <w:rFonts w:ascii="Nunito Sans" w:hAnsi="Nunito Sans"/>
          <w:sz w:val="22"/>
          <w:szCs w:val="22"/>
          <w:lang w:val="en-US"/>
        </w:rPr>
        <w:t>Jauniūnai</w:t>
      </w:r>
      <w:proofErr w:type="spellEnd"/>
      <w:r w:rsidRPr="00510A3F">
        <w:rPr>
          <w:rFonts w:ascii="Nunito Sans" w:hAnsi="Nunito Sans"/>
          <w:sz w:val="22"/>
          <w:szCs w:val="22"/>
          <w:lang w:val="en-US"/>
        </w:rPr>
        <w:t xml:space="preserve"> electric compressor construction project, valued at EUR 12.5 million.</w:t>
      </w:r>
    </w:p>
    <w:p w14:paraId="6C4C5962" w14:textId="77777777" w:rsidR="00510A3F" w:rsidRPr="00510A3F" w:rsidRDefault="00510A3F" w:rsidP="00510A3F">
      <w:pPr>
        <w:spacing w:after="0" w:line="240" w:lineRule="auto"/>
        <w:jc w:val="both"/>
        <w:rPr>
          <w:rFonts w:ascii="Nunito Sans" w:hAnsi="Nunito Sans"/>
          <w:sz w:val="22"/>
          <w:szCs w:val="22"/>
          <w:lang w:val="en-US"/>
        </w:rPr>
      </w:pPr>
    </w:p>
    <w:p w14:paraId="480DEA34" w14:textId="77777777" w:rsidR="00510A3F" w:rsidRPr="00510A3F" w:rsidRDefault="00510A3F" w:rsidP="00510A3F">
      <w:pPr>
        <w:spacing w:after="0" w:line="240" w:lineRule="auto"/>
        <w:jc w:val="both"/>
        <w:rPr>
          <w:rFonts w:ascii="Nunito Sans" w:hAnsi="Nunito Sans"/>
          <w:b/>
          <w:bCs/>
          <w:sz w:val="22"/>
          <w:szCs w:val="22"/>
          <w:lang w:val="en-US"/>
        </w:rPr>
      </w:pPr>
      <w:r w:rsidRPr="00510A3F">
        <w:rPr>
          <w:rFonts w:ascii="Nunito Sans" w:hAnsi="Nunito Sans"/>
          <w:b/>
          <w:bCs/>
          <w:sz w:val="22"/>
          <w:szCs w:val="22"/>
          <w:lang w:val="en-US"/>
        </w:rPr>
        <w:t>Higher Gas Transmission Volumes</w:t>
      </w:r>
    </w:p>
    <w:p w14:paraId="58DEB26B" w14:textId="77777777" w:rsidR="00510A3F" w:rsidRPr="00510A3F" w:rsidRDefault="00510A3F" w:rsidP="00510A3F">
      <w:pPr>
        <w:spacing w:after="0" w:line="240" w:lineRule="auto"/>
        <w:jc w:val="both"/>
        <w:rPr>
          <w:rFonts w:ascii="Nunito Sans" w:hAnsi="Nunito Sans"/>
          <w:sz w:val="22"/>
          <w:szCs w:val="22"/>
          <w:lang w:val="en-US"/>
        </w:rPr>
      </w:pPr>
    </w:p>
    <w:p w14:paraId="726F916E"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In 2025, Amber Grid transported 33.6 TWh of natural gas to consumers in Lithuania, Latvia, Estonia, Finland, and Poland (excluding transit to the Kaliningrad region). This is 15% more than in the same period of 2024, when 29.2 TWh were transmitted.</w:t>
      </w:r>
    </w:p>
    <w:p w14:paraId="3D2B0BA4"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 xml:space="preserve">To Lithuanian consumers, the operator delivered 15.9 TWh — 6% less than in 2024 (16.9 TWh). The annual decline in domestic gas consumption was driven by a significant drop in demand from the fertilizer production sector. In 2025, consumption in this sector fell by more than a quarter </w:t>
      </w:r>
      <w:r w:rsidRPr="00510A3F">
        <w:rPr>
          <w:rFonts w:ascii="Nunito Sans" w:hAnsi="Nunito Sans"/>
          <w:sz w:val="22"/>
          <w:szCs w:val="22"/>
          <w:lang w:val="en-US"/>
        </w:rPr>
        <w:lastRenderedPageBreak/>
        <w:t>(28.6%) to 5.7 TWh. Excluding this sector, gas consumption in Lithuania increased — rising nearly 14% to 10.1 TWh.</w:t>
      </w:r>
    </w:p>
    <w:p w14:paraId="376A74F6" w14:textId="77777777" w:rsidR="00510A3F" w:rsidRPr="00510A3F" w:rsidRDefault="00510A3F" w:rsidP="00510A3F">
      <w:pPr>
        <w:spacing w:after="0" w:line="240" w:lineRule="auto"/>
        <w:jc w:val="both"/>
        <w:rPr>
          <w:rFonts w:ascii="Nunito Sans" w:hAnsi="Nunito Sans"/>
          <w:sz w:val="22"/>
          <w:szCs w:val="22"/>
          <w:lang w:val="en-US"/>
        </w:rPr>
      </w:pPr>
    </w:p>
    <w:p w14:paraId="0A15C7CE"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For the needs of Latvia, Estonia, and Finland, 12.7 TWh of gas were transmitted through the Lithuania–Latvia interconnection — 31% more than in 2024 (9.7 TWh). Flows to Poland nearly doubled, from 2.55 TWh to 4.97 TWh. In 2025, part of the gas flows was redirected to meet newly emerging demand in Ukraine.</w:t>
      </w:r>
    </w:p>
    <w:p w14:paraId="009ED36D" w14:textId="77777777" w:rsidR="00510A3F" w:rsidRPr="00510A3F" w:rsidRDefault="00510A3F" w:rsidP="00510A3F">
      <w:pPr>
        <w:spacing w:after="0" w:line="240" w:lineRule="auto"/>
        <w:jc w:val="both"/>
        <w:rPr>
          <w:rFonts w:ascii="Nunito Sans" w:hAnsi="Nunito Sans"/>
          <w:sz w:val="22"/>
          <w:szCs w:val="22"/>
          <w:lang w:val="en-US"/>
        </w:rPr>
      </w:pPr>
    </w:p>
    <w:p w14:paraId="6821A8CE" w14:textId="77777777" w:rsidR="00510A3F" w:rsidRPr="00510A3F" w:rsidRDefault="00510A3F" w:rsidP="00510A3F">
      <w:pPr>
        <w:spacing w:after="0" w:line="240" w:lineRule="auto"/>
        <w:jc w:val="both"/>
        <w:rPr>
          <w:rFonts w:ascii="Nunito Sans" w:hAnsi="Nunito Sans"/>
          <w:b/>
          <w:bCs/>
          <w:sz w:val="22"/>
          <w:szCs w:val="22"/>
          <w:lang w:val="en-US"/>
        </w:rPr>
      </w:pPr>
      <w:r w:rsidRPr="00510A3F">
        <w:rPr>
          <w:rFonts w:ascii="Nunito Sans" w:hAnsi="Nunito Sans"/>
          <w:b/>
          <w:bCs/>
          <w:sz w:val="22"/>
          <w:szCs w:val="22"/>
          <w:lang w:val="en-US"/>
        </w:rPr>
        <w:t>Breakthrough in Biomethane Production</w:t>
      </w:r>
    </w:p>
    <w:p w14:paraId="6E55C71E" w14:textId="77777777" w:rsidR="00510A3F" w:rsidRPr="00510A3F" w:rsidRDefault="00510A3F" w:rsidP="00510A3F">
      <w:pPr>
        <w:spacing w:after="0" w:line="240" w:lineRule="auto"/>
        <w:jc w:val="both"/>
        <w:rPr>
          <w:rFonts w:ascii="Nunito Sans" w:hAnsi="Nunito Sans"/>
          <w:sz w:val="22"/>
          <w:szCs w:val="22"/>
          <w:lang w:val="en-US"/>
        </w:rPr>
      </w:pPr>
    </w:p>
    <w:p w14:paraId="6BC4BEDC"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2025 was a year of rapid growth in the biomethane market. Last year, 277 GWh of biomethane were injected into Lithuania’s gas transmission system — twice as much as in 2024 (127 GWh). Based on the plans of potential market participants, strong growth is expected to continue, and by 2030 the target set in the National Energy Strategy — 1.4 TWh of biomethane produced annually — is expected to be reached.</w:t>
      </w:r>
    </w:p>
    <w:p w14:paraId="75DAEC97" w14:textId="77777777" w:rsidR="00510A3F" w:rsidRPr="00510A3F" w:rsidRDefault="00510A3F" w:rsidP="00510A3F">
      <w:pPr>
        <w:spacing w:after="0" w:line="240" w:lineRule="auto"/>
        <w:jc w:val="both"/>
        <w:rPr>
          <w:rFonts w:ascii="Nunito Sans" w:hAnsi="Nunito Sans"/>
          <w:sz w:val="22"/>
          <w:szCs w:val="22"/>
          <w:lang w:val="en-US"/>
        </w:rPr>
      </w:pPr>
    </w:p>
    <w:p w14:paraId="6AB341A2"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In December, Amber Grid joined the European AIB (Association of Issuing Bodies) trading platform, creating favorable conditions for cross-border biomethane trade for Lithuanian market participants. Companies became more active in the international biomethane market, increasing export and import volumes and thus promoting the development of biomethane production in Lithuania.</w:t>
      </w:r>
    </w:p>
    <w:p w14:paraId="79E9C987" w14:textId="77777777" w:rsidR="00510A3F" w:rsidRPr="00510A3F" w:rsidRDefault="00510A3F" w:rsidP="00510A3F">
      <w:pPr>
        <w:spacing w:after="0" w:line="240" w:lineRule="auto"/>
        <w:jc w:val="both"/>
        <w:rPr>
          <w:rFonts w:ascii="Nunito Sans" w:hAnsi="Nunito Sans"/>
          <w:sz w:val="22"/>
          <w:szCs w:val="22"/>
          <w:lang w:val="en-US"/>
        </w:rPr>
      </w:pPr>
    </w:p>
    <w:p w14:paraId="18E52C8B" w14:textId="77777777" w:rsidR="00510A3F" w:rsidRPr="00510A3F" w:rsidRDefault="00510A3F" w:rsidP="00510A3F">
      <w:pPr>
        <w:spacing w:after="0" w:line="240" w:lineRule="auto"/>
        <w:jc w:val="both"/>
        <w:rPr>
          <w:rFonts w:ascii="Nunito Sans" w:hAnsi="Nunito Sans"/>
          <w:b/>
          <w:bCs/>
          <w:sz w:val="22"/>
          <w:szCs w:val="22"/>
          <w:lang w:val="en-US"/>
        </w:rPr>
      </w:pPr>
      <w:r w:rsidRPr="00510A3F">
        <w:rPr>
          <w:rFonts w:ascii="Nunito Sans" w:hAnsi="Nunito Sans"/>
          <w:b/>
          <w:bCs/>
          <w:sz w:val="22"/>
          <w:szCs w:val="22"/>
          <w:lang w:val="en-US"/>
        </w:rPr>
        <w:t>A New Stage</w:t>
      </w:r>
    </w:p>
    <w:p w14:paraId="2AEA8493" w14:textId="77777777" w:rsidR="00510A3F" w:rsidRPr="00510A3F" w:rsidRDefault="00510A3F" w:rsidP="00510A3F">
      <w:pPr>
        <w:spacing w:after="0" w:line="240" w:lineRule="auto"/>
        <w:jc w:val="both"/>
        <w:rPr>
          <w:rFonts w:ascii="Nunito Sans" w:hAnsi="Nunito Sans"/>
          <w:sz w:val="22"/>
          <w:szCs w:val="22"/>
          <w:lang w:val="en-US"/>
        </w:rPr>
      </w:pPr>
    </w:p>
    <w:p w14:paraId="01ECB819"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The year 2025 was also important for Lithuania’s hydrogen market. The North–Baltic Hydrogen Corridor (NBHC) project — aimed at connecting hydrogen production and consumption hubs between the Nordic countries and Central Europe — successfully entered the detailed study phase, supported by EU CEF funding. Transmission system operators from six countries will, by spring 2027, complete detailed route selection, define technical parameters, assess environmental impacts, and prepare a business model.</w:t>
      </w:r>
    </w:p>
    <w:p w14:paraId="715F4F80"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In addition, an expert working group established by the Ministry of Energy began drafting the Hydrogen Law and related legislative amendments to transpose the EU Hydrogen Directive. Parliamentary consideration is planned for the spring session — an important step in establishing the legal framework for hydrogen market development in Lithuania.</w:t>
      </w:r>
    </w:p>
    <w:p w14:paraId="7079D916" w14:textId="77777777" w:rsidR="00510A3F" w:rsidRPr="00510A3F" w:rsidRDefault="00510A3F" w:rsidP="00510A3F">
      <w:pPr>
        <w:spacing w:after="0" w:line="240" w:lineRule="auto"/>
        <w:jc w:val="both"/>
        <w:rPr>
          <w:rFonts w:ascii="Nunito Sans" w:hAnsi="Nunito Sans"/>
          <w:sz w:val="22"/>
          <w:szCs w:val="22"/>
          <w:lang w:val="en-US"/>
        </w:rPr>
      </w:pPr>
    </w:p>
    <w:p w14:paraId="0D8A0E04" w14:textId="77777777" w:rsidR="00510A3F" w:rsidRPr="00510A3F" w:rsidRDefault="00510A3F" w:rsidP="00510A3F">
      <w:pPr>
        <w:spacing w:after="0" w:line="240" w:lineRule="auto"/>
        <w:jc w:val="both"/>
        <w:rPr>
          <w:rFonts w:ascii="Nunito Sans" w:hAnsi="Nunito Sans"/>
          <w:b/>
          <w:bCs/>
          <w:sz w:val="22"/>
          <w:szCs w:val="22"/>
          <w:lang w:val="en-US"/>
        </w:rPr>
      </w:pPr>
      <w:r w:rsidRPr="00510A3F">
        <w:rPr>
          <w:rFonts w:ascii="Nunito Sans" w:hAnsi="Nunito Sans"/>
          <w:b/>
          <w:bCs/>
          <w:sz w:val="22"/>
          <w:szCs w:val="22"/>
          <w:lang w:val="en-US"/>
        </w:rPr>
        <w:t>Reduced Greenhouse Gas Emissions</w:t>
      </w:r>
    </w:p>
    <w:p w14:paraId="04486E06" w14:textId="77777777" w:rsidR="00510A3F" w:rsidRPr="00510A3F" w:rsidRDefault="00510A3F" w:rsidP="00510A3F">
      <w:pPr>
        <w:spacing w:after="0" w:line="240" w:lineRule="auto"/>
        <w:jc w:val="both"/>
        <w:rPr>
          <w:rFonts w:ascii="Nunito Sans" w:hAnsi="Nunito Sans"/>
          <w:sz w:val="22"/>
          <w:szCs w:val="22"/>
          <w:lang w:val="en-US"/>
        </w:rPr>
      </w:pPr>
    </w:p>
    <w:p w14:paraId="69B182FE" w14:textId="77777777" w:rsidR="00510A3F" w:rsidRPr="00510A3F" w:rsidRDefault="00510A3F" w:rsidP="00510A3F">
      <w:pPr>
        <w:spacing w:after="0" w:line="240" w:lineRule="auto"/>
        <w:jc w:val="both"/>
        <w:rPr>
          <w:rFonts w:ascii="Nunito Sans" w:hAnsi="Nunito Sans"/>
          <w:sz w:val="22"/>
          <w:szCs w:val="22"/>
          <w:lang w:val="en-US"/>
        </w:rPr>
      </w:pPr>
      <w:r w:rsidRPr="00510A3F">
        <w:rPr>
          <w:rFonts w:ascii="Nunito Sans" w:hAnsi="Nunito Sans"/>
          <w:sz w:val="22"/>
          <w:szCs w:val="22"/>
          <w:lang w:val="en-US"/>
        </w:rPr>
        <w:t>The company continued to significantly reduce greenhouse gas (GHG) emissions — in 2025 they were cut by 51%, continuing strong progress (55% in 2024, 36% in 2023). These results show that Amber Grid has already achieved part of its long-term emission reduction goals and is steadily moving toward a climate-neutral operating model. Emission management is based on advanced methodologies aligned with the European Green Deal and the Paris Agreement.</w:t>
      </w:r>
    </w:p>
    <w:p w14:paraId="59FB278F" w14:textId="77777777" w:rsidR="00510A3F" w:rsidRPr="00510A3F" w:rsidRDefault="00510A3F" w:rsidP="00510A3F">
      <w:pPr>
        <w:spacing w:after="0" w:line="240" w:lineRule="auto"/>
        <w:jc w:val="both"/>
        <w:rPr>
          <w:rFonts w:ascii="Nunito Sans" w:hAnsi="Nunito Sans"/>
          <w:sz w:val="22"/>
          <w:szCs w:val="22"/>
          <w:lang w:val="en-US"/>
        </w:rPr>
      </w:pPr>
    </w:p>
    <w:p w14:paraId="13297843" w14:textId="77777777" w:rsidR="00510A3F" w:rsidRPr="00510A3F" w:rsidRDefault="00510A3F" w:rsidP="00510A3F">
      <w:pPr>
        <w:spacing w:after="0" w:line="240" w:lineRule="auto"/>
        <w:jc w:val="both"/>
        <w:rPr>
          <w:rFonts w:ascii="Nunito Sans" w:hAnsi="Nunito Sans"/>
          <w:i/>
          <w:iCs/>
          <w:sz w:val="22"/>
          <w:szCs w:val="22"/>
          <w:lang w:val="en-US"/>
        </w:rPr>
      </w:pPr>
      <w:r w:rsidRPr="00510A3F">
        <w:rPr>
          <w:rFonts w:ascii="Nunito Sans" w:hAnsi="Nunito Sans"/>
          <w:i/>
          <w:iCs/>
          <w:sz w:val="22"/>
          <w:szCs w:val="22"/>
          <w:lang w:val="en-US"/>
        </w:rPr>
        <w:t>AB Amber Grid is Lithuania’s gas transmission system operator and part of the EPSO-G group. The company operates a 2,288 km high-pressure gas pipeline network across Lithuania. It also manages more than 60 gas distribution and metering stations and two gas compressor stations.</w:t>
      </w:r>
    </w:p>
    <w:p w14:paraId="38F7579D" w14:textId="77777777" w:rsidR="00510A3F" w:rsidRPr="00510A3F" w:rsidRDefault="00510A3F" w:rsidP="00510A3F">
      <w:pPr>
        <w:spacing w:after="0" w:line="240" w:lineRule="auto"/>
        <w:jc w:val="both"/>
        <w:rPr>
          <w:rFonts w:ascii="Nunito Sans" w:hAnsi="Nunito Sans"/>
          <w:i/>
          <w:iCs/>
          <w:sz w:val="22"/>
          <w:szCs w:val="22"/>
          <w:lang w:val="en-US"/>
        </w:rPr>
      </w:pPr>
      <w:r w:rsidRPr="00510A3F">
        <w:rPr>
          <w:rFonts w:ascii="Nunito Sans" w:hAnsi="Nunito Sans"/>
          <w:i/>
          <w:iCs/>
          <w:sz w:val="22"/>
          <w:szCs w:val="22"/>
          <w:lang w:val="en-US"/>
        </w:rPr>
        <w:lastRenderedPageBreak/>
        <w:t xml:space="preserve">Amber Grid’s system is interconnected with the gas transmission systems of four neighboring countries and the </w:t>
      </w:r>
      <w:proofErr w:type="spellStart"/>
      <w:r w:rsidRPr="00510A3F">
        <w:rPr>
          <w:rFonts w:ascii="Nunito Sans" w:hAnsi="Nunito Sans"/>
          <w:i/>
          <w:iCs/>
          <w:sz w:val="22"/>
          <w:szCs w:val="22"/>
          <w:lang w:val="en-US"/>
        </w:rPr>
        <w:t>Klaipėda</w:t>
      </w:r>
      <w:proofErr w:type="spellEnd"/>
      <w:r w:rsidRPr="00510A3F">
        <w:rPr>
          <w:rFonts w:ascii="Nunito Sans" w:hAnsi="Nunito Sans"/>
          <w:i/>
          <w:iCs/>
          <w:sz w:val="22"/>
          <w:szCs w:val="22"/>
          <w:lang w:val="en-US"/>
        </w:rPr>
        <w:t xml:space="preserve"> LNG terminal. Amber Grid shares are listed on the Nasdaq Vilnius Stock Exchange Baltic Secondary List. The company’s main shareholder is EPSO-G, whose shares are 100% owned by the Ministry of Energy of the Republic of Lithuania.</w:t>
      </w:r>
    </w:p>
    <w:p w14:paraId="03E9017F" w14:textId="77777777" w:rsidR="00510A3F" w:rsidRPr="00510A3F" w:rsidRDefault="00510A3F" w:rsidP="00510A3F">
      <w:pPr>
        <w:spacing w:after="0" w:line="240" w:lineRule="auto"/>
        <w:jc w:val="both"/>
        <w:rPr>
          <w:rFonts w:ascii="Nunito Sans" w:hAnsi="Nunito Sans"/>
          <w:i/>
          <w:iCs/>
          <w:sz w:val="22"/>
          <w:szCs w:val="22"/>
          <w:lang w:val="en-US"/>
        </w:rPr>
      </w:pPr>
    </w:p>
    <w:p w14:paraId="1CEB285A" w14:textId="77777777" w:rsidR="00510A3F" w:rsidRPr="00510A3F" w:rsidRDefault="00510A3F" w:rsidP="00510A3F">
      <w:pPr>
        <w:jc w:val="both"/>
        <w:rPr>
          <w:rFonts w:ascii="Nunito Sans" w:hAnsi="Nunito Sans"/>
          <w:i/>
          <w:iCs/>
          <w:sz w:val="22"/>
          <w:szCs w:val="22"/>
          <w:lang w:val="en-US"/>
        </w:rPr>
      </w:pPr>
    </w:p>
    <w:p w14:paraId="3FBB227B" w14:textId="77777777" w:rsidR="001F2496" w:rsidRPr="00510A3F" w:rsidRDefault="001F2496">
      <w:pPr>
        <w:rPr>
          <w:rFonts w:ascii="Nunito Sans" w:hAnsi="Nunito Sans"/>
          <w:i/>
          <w:iCs/>
          <w:lang w:val="en-US"/>
        </w:rPr>
      </w:pPr>
    </w:p>
    <w:sectPr w:rsidR="001F2496" w:rsidRPr="00510A3F">
      <w:headerReference w:type="default" r:id="rId6"/>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58C0" w14:textId="77777777" w:rsidR="00510A3F" w:rsidRDefault="00510A3F" w:rsidP="00510A3F">
      <w:pPr>
        <w:spacing w:after="0" w:line="240" w:lineRule="auto"/>
      </w:pPr>
      <w:r>
        <w:separator/>
      </w:r>
    </w:p>
  </w:endnote>
  <w:endnote w:type="continuationSeparator" w:id="0">
    <w:p w14:paraId="381C4B94" w14:textId="77777777" w:rsidR="00510A3F" w:rsidRDefault="00510A3F" w:rsidP="0051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altName w:val="Cambria"/>
    <w:charset w:val="BA"/>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983D" w14:textId="6EE9B506" w:rsidR="00510A3F" w:rsidRDefault="00510A3F">
    <w:pPr>
      <w:pStyle w:val="Footer"/>
    </w:pPr>
    <w:r>
      <w:rPr>
        <w:noProof/>
      </w:rPr>
      <w:drawing>
        <wp:inline distT="0" distB="0" distL="0" distR="0" wp14:anchorId="16D286CB" wp14:editId="2EF83F14">
          <wp:extent cx="6120130" cy="213360"/>
          <wp:effectExtent l="0" t="0" r="0" b="0"/>
          <wp:docPr id="446806934" name="Graphic 10">
            <a:extLst xmlns:a="http://schemas.openxmlformats.org/drawingml/2006/main">
              <a:ext uri="{FF2B5EF4-FFF2-40B4-BE49-F238E27FC236}">
                <a16:creationId xmlns:a16="http://schemas.microsoft.com/office/drawing/2014/main" id="{D1761311-7D6A-4DFD-A3D2-F68F226D2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120130" cy="213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6EFD" w14:textId="77777777" w:rsidR="00510A3F" w:rsidRDefault="00510A3F" w:rsidP="00510A3F">
      <w:pPr>
        <w:spacing w:after="0" w:line="240" w:lineRule="auto"/>
      </w:pPr>
      <w:r>
        <w:separator/>
      </w:r>
    </w:p>
  </w:footnote>
  <w:footnote w:type="continuationSeparator" w:id="0">
    <w:p w14:paraId="24733F73" w14:textId="77777777" w:rsidR="00510A3F" w:rsidRDefault="00510A3F" w:rsidP="0051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F705" w14:textId="74402FDA" w:rsidR="00510A3F" w:rsidRDefault="00510A3F">
    <w:pPr>
      <w:pStyle w:val="Header"/>
    </w:pPr>
    <w:r>
      <w:rPr>
        <w:noProof/>
      </w:rPr>
      <w:drawing>
        <wp:inline distT="0" distB="0" distL="0" distR="0" wp14:anchorId="5D78A479" wp14:editId="784A8D8C">
          <wp:extent cx="895350" cy="284884"/>
          <wp:effectExtent l="0" t="0" r="0" b="0"/>
          <wp:docPr id="2064413739" name="Graphic 1">
            <a:extLst xmlns:a="http://schemas.openxmlformats.org/drawingml/2006/main">
              <a:ext uri="{FF2B5EF4-FFF2-40B4-BE49-F238E27FC236}">
                <a16:creationId xmlns:a16="http://schemas.microsoft.com/office/drawing/2014/main" id="{0F69B741-74D9-4E1E-B3A7-C0093B75D4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75044" name="Graphic 1412275044"/>
                  <pic:cNvPicPr/>
                </pic:nvPicPr>
                <pic:blipFill>
                  <a:blip r:embed="rId1">
                    <a:extLst>
                      <a:ext uri="{96DAC541-7B7A-43D3-8B79-37D633B846F1}">
                        <asvg:svgBlip xmlns:asvg="http://schemas.microsoft.com/office/drawing/2016/SVG/main" r:embed="rId2"/>
                      </a:ext>
                    </a:extLst>
                  </a:blip>
                  <a:stretch>
                    <a:fillRect/>
                  </a:stretch>
                </pic:blipFill>
                <pic:spPr>
                  <a:xfrm>
                    <a:off x="0" y="0"/>
                    <a:ext cx="971682" cy="3091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3F"/>
    <w:rsid w:val="001F2496"/>
    <w:rsid w:val="00510A3F"/>
    <w:rsid w:val="005629A9"/>
    <w:rsid w:val="00C21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D3CB"/>
  <w15:chartTrackingRefBased/>
  <w15:docId w15:val="{B3CD851C-79A5-46F6-A844-F4AC08B4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3F"/>
  </w:style>
  <w:style w:type="paragraph" w:styleId="Heading1">
    <w:name w:val="heading 1"/>
    <w:basedOn w:val="Normal"/>
    <w:next w:val="Normal"/>
    <w:link w:val="Heading1Char"/>
    <w:uiPriority w:val="9"/>
    <w:qFormat/>
    <w:rsid w:val="00510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3F"/>
    <w:rPr>
      <w:rFonts w:eastAsiaTheme="majorEastAsia" w:cstheme="majorBidi"/>
      <w:color w:val="272727" w:themeColor="text1" w:themeTint="D8"/>
    </w:rPr>
  </w:style>
  <w:style w:type="paragraph" w:styleId="Title">
    <w:name w:val="Title"/>
    <w:basedOn w:val="Normal"/>
    <w:next w:val="Normal"/>
    <w:link w:val="TitleChar"/>
    <w:uiPriority w:val="10"/>
    <w:qFormat/>
    <w:rsid w:val="0051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3F"/>
    <w:pPr>
      <w:spacing w:before="160"/>
      <w:jc w:val="center"/>
    </w:pPr>
    <w:rPr>
      <w:i/>
      <w:iCs/>
      <w:color w:val="404040" w:themeColor="text1" w:themeTint="BF"/>
    </w:rPr>
  </w:style>
  <w:style w:type="character" w:customStyle="1" w:styleId="QuoteChar">
    <w:name w:val="Quote Char"/>
    <w:basedOn w:val="DefaultParagraphFont"/>
    <w:link w:val="Quote"/>
    <w:uiPriority w:val="29"/>
    <w:rsid w:val="00510A3F"/>
    <w:rPr>
      <w:i/>
      <w:iCs/>
      <w:color w:val="404040" w:themeColor="text1" w:themeTint="BF"/>
    </w:rPr>
  </w:style>
  <w:style w:type="paragraph" w:styleId="ListParagraph">
    <w:name w:val="List Paragraph"/>
    <w:basedOn w:val="Normal"/>
    <w:uiPriority w:val="34"/>
    <w:qFormat/>
    <w:rsid w:val="00510A3F"/>
    <w:pPr>
      <w:ind w:left="720"/>
      <w:contextualSpacing/>
    </w:pPr>
  </w:style>
  <w:style w:type="character" w:styleId="IntenseEmphasis">
    <w:name w:val="Intense Emphasis"/>
    <w:basedOn w:val="DefaultParagraphFont"/>
    <w:uiPriority w:val="21"/>
    <w:qFormat/>
    <w:rsid w:val="00510A3F"/>
    <w:rPr>
      <w:i/>
      <w:iCs/>
      <w:color w:val="0F4761" w:themeColor="accent1" w:themeShade="BF"/>
    </w:rPr>
  </w:style>
  <w:style w:type="paragraph" w:styleId="IntenseQuote">
    <w:name w:val="Intense Quote"/>
    <w:basedOn w:val="Normal"/>
    <w:next w:val="Normal"/>
    <w:link w:val="IntenseQuoteChar"/>
    <w:uiPriority w:val="30"/>
    <w:qFormat/>
    <w:rsid w:val="00510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3F"/>
    <w:rPr>
      <w:i/>
      <w:iCs/>
      <w:color w:val="0F4761" w:themeColor="accent1" w:themeShade="BF"/>
    </w:rPr>
  </w:style>
  <w:style w:type="character" w:styleId="IntenseReference">
    <w:name w:val="Intense Reference"/>
    <w:basedOn w:val="DefaultParagraphFont"/>
    <w:uiPriority w:val="32"/>
    <w:qFormat/>
    <w:rsid w:val="00510A3F"/>
    <w:rPr>
      <w:b/>
      <w:bCs/>
      <w:smallCaps/>
      <w:color w:val="0F4761" w:themeColor="accent1" w:themeShade="BF"/>
      <w:spacing w:val="5"/>
    </w:rPr>
  </w:style>
  <w:style w:type="paragraph" w:styleId="Header">
    <w:name w:val="header"/>
    <w:basedOn w:val="Normal"/>
    <w:link w:val="HeaderChar"/>
    <w:uiPriority w:val="99"/>
    <w:unhideWhenUsed/>
    <w:rsid w:val="00510A3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0A3F"/>
  </w:style>
  <w:style w:type="paragraph" w:styleId="Footer">
    <w:name w:val="footer"/>
    <w:basedOn w:val="Normal"/>
    <w:link w:val="FooterChar"/>
    <w:uiPriority w:val="99"/>
    <w:unhideWhenUsed/>
    <w:rsid w:val="00510A3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3989</Words>
  <Characters>2274</Characters>
  <Application>Microsoft Office Word</Application>
  <DocSecurity>0</DocSecurity>
  <Lines>18</Lines>
  <Paragraphs>12</Paragraphs>
  <ScaleCrop>false</ScaleCrop>
  <Company>AB AmberGrid</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Krasauskienė</dc:creator>
  <cp:keywords/>
  <dc:description/>
  <cp:lastModifiedBy>Eglė Krasauskienė</cp:lastModifiedBy>
  <cp:revision>1</cp:revision>
  <dcterms:created xsi:type="dcterms:W3CDTF">2026-03-25T13:16:00Z</dcterms:created>
  <dcterms:modified xsi:type="dcterms:W3CDTF">2026-03-25T13:18:00Z</dcterms:modified>
</cp:coreProperties>
</file>