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E9F" w14:textId="7AF4F678" w:rsidR="00592EB7" w:rsidRPr="00112925" w:rsidRDefault="00112925" w:rsidP="00592EB7">
      <w:pPr>
        <w:jc w:val="center"/>
        <w:rPr>
          <w:lang w:val="en-GB"/>
        </w:rPr>
      </w:pPr>
      <w:r w:rsidRPr="00112925">
        <w:rPr>
          <w:rFonts w:ascii="Arial" w:eastAsia="Arial" w:hAnsi="Arial" w:cs="Arial"/>
          <w:sz w:val="20"/>
          <w:szCs w:val="20"/>
          <w:lang w:val="en-GB"/>
        </w:rPr>
        <w:t>Press release</w:t>
      </w:r>
    </w:p>
    <w:p w14:paraId="0726C8F6" w14:textId="0DF75FF7" w:rsidR="000C49E7" w:rsidRPr="00112925" w:rsidRDefault="000C49E7" w:rsidP="005C2385">
      <w:pPr>
        <w:jc w:val="center"/>
        <w:rPr>
          <w:rFonts w:ascii="Arial" w:eastAsia="Arial" w:hAnsi="Arial" w:cs="Arial"/>
          <w:sz w:val="20"/>
          <w:szCs w:val="20"/>
          <w:lang w:val="en-GB"/>
        </w:rPr>
      </w:pPr>
      <w:r w:rsidRPr="00112925">
        <w:rPr>
          <w:rFonts w:ascii="Arial" w:eastAsia="Arial" w:hAnsi="Arial" w:cs="Arial"/>
          <w:sz w:val="20"/>
          <w:szCs w:val="20"/>
          <w:lang w:val="en-GB"/>
        </w:rPr>
        <w:t>202</w:t>
      </w:r>
      <w:r w:rsidR="000F2EBC" w:rsidRPr="00112925">
        <w:rPr>
          <w:rFonts w:ascii="Arial" w:eastAsia="Arial" w:hAnsi="Arial" w:cs="Arial"/>
          <w:sz w:val="20"/>
          <w:szCs w:val="20"/>
          <w:lang w:val="en-GB"/>
        </w:rPr>
        <w:t>5</w:t>
      </w:r>
      <w:r w:rsidRPr="00112925">
        <w:rPr>
          <w:rFonts w:ascii="Arial" w:eastAsia="Arial" w:hAnsi="Arial" w:cs="Arial"/>
          <w:sz w:val="20"/>
          <w:szCs w:val="20"/>
          <w:lang w:val="en-GB"/>
        </w:rPr>
        <w:t>-0</w:t>
      </w:r>
      <w:r w:rsidR="007776FF">
        <w:rPr>
          <w:rFonts w:ascii="Arial" w:eastAsia="Arial" w:hAnsi="Arial" w:cs="Arial"/>
          <w:sz w:val="20"/>
          <w:szCs w:val="20"/>
          <w:lang w:val="en-GB"/>
        </w:rPr>
        <w:t>5</w:t>
      </w:r>
      <w:r w:rsidRPr="00112925">
        <w:rPr>
          <w:rFonts w:ascii="Arial" w:eastAsia="Arial" w:hAnsi="Arial" w:cs="Arial"/>
          <w:sz w:val="20"/>
          <w:szCs w:val="20"/>
          <w:lang w:val="en-GB"/>
        </w:rPr>
        <w:t>-</w:t>
      </w:r>
      <w:r w:rsidR="007776FF">
        <w:rPr>
          <w:rFonts w:ascii="Arial" w:eastAsia="Arial" w:hAnsi="Arial" w:cs="Arial"/>
          <w:sz w:val="20"/>
          <w:szCs w:val="20"/>
          <w:lang w:val="en-GB"/>
        </w:rPr>
        <w:t>09</w:t>
      </w:r>
    </w:p>
    <w:p w14:paraId="21DFB97C" w14:textId="455A23CE" w:rsidR="007C4F6E" w:rsidRPr="00112925" w:rsidRDefault="007C4F6E" w:rsidP="00592EB7">
      <w:pPr>
        <w:jc w:val="center"/>
        <w:rPr>
          <w:rFonts w:ascii="Arial" w:eastAsia="Times New Roman" w:hAnsi="Arial" w:cs="Arial"/>
          <w:b/>
          <w:bCs/>
          <w:sz w:val="24"/>
          <w:szCs w:val="24"/>
          <w:lang w:val="en-GB" w:eastAsia="en-GB"/>
        </w:rPr>
      </w:pPr>
      <w:r w:rsidRPr="00112925">
        <w:rPr>
          <w:rFonts w:ascii="Arial" w:eastAsia="Times New Roman" w:hAnsi="Arial" w:cs="Arial"/>
          <w:b/>
          <w:bCs/>
          <w:sz w:val="24"/>
          <w:szCs w:val="24"/>
          <w:lang w:val="en-GB" w:eastAsia="en-GB"/>
        </w:rPr>
        <w:t xml:space="preserve">Litgrid </w:t>
      </w:r>
      <w:r w:rsidR="007776FF">
        <w:rPr>
          <w:rFonts w:ascii="Arial" w:eastAsia="Times New Roman" w:hAnsi="Arial" w:cs="Arial"/>
          <w:b/>
          <w:bCs/>
          <w:sz w:val="24"/>
          <w:szCs w:val="24"/>
          <w:lang w:val="en-GB" w:eastAsia="en-GB"/>
        </w:rPr>
        <w:t>first quarter</w:t>
      </w:r>
      <w:r w:rsidR="00B007CE" w:rsidRPr="00112925">
        <w:rPr>
          <w:rFonts w:ascii="Arial" w:eastAsia="Times New Roman" w:hAnsi="Arial" w:cs="Arial"/>
          <w:b/>
          <w:bCs/>
          <w:sz w:val="24"/>
          <w:szCs w:val="24"/>
          <w:lang w:val="en-GB" w:eastAsia="en-GB"/>
        </w:rPr>
        <w:t xml:space="preserve"> </w:t>
      </w:r>
      <w:r w:rsidR="00112925" w:rsidRPr="00112925">
        <w:rPr>
          <w:rFonts w:ascii="Arial" w:eastAsia="Times New Roman" w:hAnsi="Arial" w:cs="Arial"/>
          <w:b/>
          <w:bCs/>
          <w:sz w:val="24"/>
          <w:szCs w:val="24"/>
          <w:lang w:val="en-GB" w:eastAsia="en-GB"/>
        </w:rPr>
        <w:t>results</w:t>
      </w:r>
      <w:r w:rsidR="00B007CE" w:rsidRPr="00112925">
        <w:rPr>
          <w:rFonts w:ascii="Arial" w:eastAsia="Times New Roman" w:hAnsi="Arial" w:cs="Arial"/>
          <w:b/>
          <w:bCs/>
          <w:sz w:val="24"/>
          <w:szCs w:val="24"/>
          <w:lang w:val="en-GB" w:eastAsia="en-GB"/>
        </w:rPr>
        <w:t xml:space="preserve">: </w:t>
      </w:r>
      <w:r w:rsidR="007776FF">
        <w:rPr>
          <w:rFonts w:ascii="Arial" w:eastAsia="Times New Roman" w:hAnsi="Arial" w:cs="Arial"/>
          <w:b/>
          <w:bCs/>
          <w:sz w:val="24"/>
          <w:szCs w:val="24"/>
          <w:lang w:val="en-GB" w:eastAsia="en-GB"/>
        </w:rPr>
        <w:t>energy independence achieved, reliable electricity supply ensured</w:t>
      </w:r>
    </w:p>
    <w:p w14:paraId="7A3BA198" w14:textId="4FFB041E" w:rsidR="007B5656" w:rsidRPr="00A22E83" w:rsidRDefault="007B5656" w:rsidP="007B5656">
      <w:pPr>
        <w:jc w:val="both"/>
        <w:rPr>
          <w:rFonts w:ascii="Arial" w:eastAsia="Times New Roman" w:hAnsi="Arial" w:cs="Arial"/>
          <w:b/>
          <w:sz w:val="20"/>
          <w:szCs w:val="20"/>
          <w:lang w:val="en-GB" w:eastAsia="en-GB"/>
        </w:rPr>
      </w:pPr>
      <w:r w:rsidRPr="00A22E83">
        <w:rPr>
          <w:rFonts w:ascii="Arial" w:eastAsia="Times New Roman" w:hAnsi="Arial" w:cs="Arial"/>
          <w:b/>
          <w:sz w:val="20"/>
          <w:szCs w:val="20"/>
          <w:lang w:val="en-GB" w:eastAsia="en-GB"/>
        </w:rPr>
        <w:t xml:space="preserve">On February 9, 2025, Litgrid, the Lithuanian electricity transmission system operator, successfully completed the </w:t>
      </w:r>
      <w:r w:rsidR="00F21859">
        <w:rPr>
          <w:rFonts w:ascii="Arial" w:eastAsia="Times New Roman" w:hAnsi="Arial" w:cs="Arial"/>
          <w:b/>
          <w:sz w:val="20"/>
          <w:szCs w:val="20"/>
          <w:lang w:val="en-GB" w:eastAsia="en-GB"/>
        </w:rPr>
        <w:t xml:space="preserve">Baltic </w:t>
      </w:r>
      <w:r w:rsidRPr="00A22E83">
        <w:rPr>
          <w:rFonts w:ascii="Arial" w:eastAsia="Times New Roman" w:hAnsi="Arial" w:cs="Arial"/>
          <w:b/>
          <w:sz w:val="20"/>
          <w:szCs w:val="20"/>
          <w:lang w:val="en-GB" w:eastAsia="en-GB"/>
        </w:rPr>
        <w:t>synchroni</w:t>
      </w:r>
      <w:r w:rsidR="00A22E83">
        <w:rPr>
          <w:rFonts w:ascii="Arial" w:eastAsia="Times New Roman" w:hAnsi="Arial" w:cs="Arial"/>
          <w:b/>
          <w:sz w:val="20"/>
          <w:szCs w:val="20"/>
          <w:lang w:val="en-GB" w:eastAsia="en-GB"/>
        </w:rPr>
        <w:t>s</w:t>
      </w:r>
      <w:r w:rsidRPr="00A22E83">
        <w:rPr>
          <w:rFonts w:ascii="Arial" w:eastAsia="Times New Roman" w:hAnsi="Arial" w:cs="Arial"/>
          <w:b/>
          <w:sz w:val="20"/>
          <w:szCs w:val="20"/>
          <w:lang w:val="en-GB" w:eastAsia="en-GB"/>
        </w:rPr>
        <w:t>ation with continental Europe, which had been planned for more than 10 years. The reliability of electricity supply continued to be ensured during the first three months of this year. Due to temporary factors affecting the electricity balancing market, the company incurred losses, but the adjusted financial results were better than in the same period last year.</w:t>
      </w:r>
    </w:p>
    <w:p w14:paraId="5CB34A57" w14:textId="48D2BE2F" w:rsidR="007B5656" w:rsidRPr="007B5656" w:rsidRDefault="00F21859" w:rsidP="007B5656">
      <w:pPr>
        <w:jc w:val="both"/>
        <w:rPr>
          <w:rFonts w:ascii="Arial" w:eastAsia="Times New Roman" w:hAnsi="Arial" w:cs="Arial"/>
          <w:bCs/>
          <w:sz w:val="20"/>
          <w:szCs w:val="20"/>
          <w:lang w:val="en-GB" w:eastAsia="en-GB"/>
        </w:rPr>
      </w:pPr>
      <w:r>
        <w:rPr>
          <w:rFonts w:ascii="Arial" w:eastAsia="Times New Roman" w:hAnsi="Arial" w:cs="Arial"/>
          <w:bCs/>
          <w:sz w:val="20"/>
          <w:szCs w:val="20"/>
          <w:lang w:val="en-GB" w:eastAsia="en-GB"/>
        </w:rPr>
        <w:t>“</w:t>
      </w:r>
      <w:r w:rsidR="007B5656" w:rsidRPr="007B5656">
        <w:rPr>
          <w:rFonts w:ascii="Arial" w:eastAsia="Times New Roman" w:hAnsi="Arial" w:cs="Arial"/>
          <w:bCs/>
          <w:sz w:val="20"/>
          <w:szCs w:val="20"/>
          <w:lang w:val="en-GB" w:eastAsia="en-GB"/>
        </w:rPr>
        <w:t xml:space="preserve">In February this year, we disconnected from the Russian-controlled electricity system without any disruptions and joined the </w:t>
      </w:r>
      <w:r w:rsidR="0081467E">
        <w:rPr>
          <w:rFonts w:ascii="Arial" w:eastAsia="Times New Roman" w:hAnsi="Arial" w:cs="Arial"/>
          <w:bCs/>
          <w:sz w:val="20"/>
          <w:szCs w:val="20"/>
          <w:lang w:val="en-GB" w:eastAsia="en-GB"/>
        </w:rPr>
        <w:t>C</w:t>
      </w:r>
      <w:r w:rsidR="007B5656" w:rsidRPr="007B5656">
        <w:rPr>
          <w:rFonts w:ascii="Arial" w:eastAsia="Times New Roman" w:hAnsi="Arial" w:cs="Arial"/>
          <w:bCs/>
          <w:sz w:val="20"/>
          <w:szCs w:val="20"/>
          <w:lang w:val="en-GB" w:eastAsia="en-GB"/>
        </w:rPr>
        <w:t>ontinental Europe</w:t>
      </w:r>
      <w:r w:rsidR="0081467E">
        <w:rPr>
          <w:rFonts w:ascii="Arial" w:eastAsia="Times New Roman" w:hAnsi="Arial" w:cs="Arial"/>
          <w:bCs/>
          <w:sz w:val="20"/>
          <w:szCs w:val="20"/>
          <w:lang w:val="en-GB" w:eastAsia="en-GB"/>
        </w:rPr>
        <w:t xml:space="preserve"> Synchronous Area</w:t>
      </w:r>
      <w:r w:rsidR="007B5656" w:rsidRPr="007B5656">
        <w:rPr>
          <w:rFonts w:ascii="Arial" w:eastAsia="Times New Roman" w:hAnsi="Arial" w:cs="Arial"/>
          <w:bCs/>
          <w:sz w:val="20"/>
          <w:szCs w:val="20"/>
          <w:lang w:val="en-GB" w:eastAsia="en-GB"/>
        </w:rPr>
        <w:t>. The date of synchronisation – 9 February – has already gone down in history as the</w:t>
      </w:r>
      <w:r w:rsidR="00215868">
        <w:rPr>
          <w:rFonts w:ascii="Arial" w:eastAsia="Times New Roman" w:hAnsi="Arial" w:cs="Arial"/>
          <w:bCs/>
          <w:sz w:val="20"/>
          <w:szCs w:val="20"/>
          <w:lang w:val="en-GB" w:eastAsia="en-GB"/>
        </w:rPr>
        <w:t xml:space="preserve"> Baltic </w:t>
      </w:r>
      <w:r w:rsidR="00E503E5">
        <w:rPr>
          <w:rFonts w:ascii="Arial" w:eastAsia="Times New Roman" w:hAnsi="Arial" w:cs="Arial"/>
          <w:bCs/>
          <w:sz w:val="20"/>
          <w:szCs w:val="20"/>
          <w:lang w:val="en-GB" w:eastAsia="en-GB"/>
        </w:rPr>
        <w:t>E</w:t>
      </w:r>
      <w:r w:rsidR="00215868">
        <w:rPr>
          <w:rFonts w:ascii="Arial" w:eastAsia="Times New Roman" w:hAnsi="Arial" w:cs="Arial"/>
          <w:bCs/>
          <w:sz w:val="20"/>
          <w:szCs w:val="20"/>
          <w:lang w:val="en-GB" w:eastAsia="en-GB"/>
        </w:rPr>
        <w:t xml:space="preserve">nergy </w:t>
      </w:r>
      <w:r w:rsidR="00E503E5">
        <w:rPr>
          <w:rFonts w:ascii="Arial" w:eastAsia="Times New Roman" w:hAnsi="Arial" w:cs="Arial"/>
          <w:bCs/>
          <w:sz w:val="20"/>
          <w:szCs w:val="20"/>
          <w:lang w:val="en-GB" w:eastAsia="en-GB"/>
        </w:rPr>
        <w:t>I</w:t>
      </w:r>
      <w:r w:rsidR="00215868">
        <w:rPr>
          <w:rFonts w:ascii="Arial" w:eastAsia="Times New Roman" w:hAnsi="Arial" w:cs="Arial"/>
          <w:bCs/>
          <w:sz w:val="20"/>
          <w:szCs w:val="20"/>
          <w:lang w:val="en-GB" w:eastAsia="en-GB"/>
        </w:rPr>
        <w:t xml:space="preserve">ndependence </w:t>
      </w:r>
      <w:r w:rsidR="00E503E5">
        <w:rPr>
          <w:rFonts w:ascii="Arial" w:eastAsia="Times New Roman" w:hAnsi="Arial" w:cs="Arial"/>
          <w:bCs/>
          <w:sz w:val="20"/>
          <w:szCs w:val="20"/>
          <w:lang w:val="en-GB" w:eastAsia="en-GB"/>
        </w:rPr>
        <w:t>D</w:t>
      </w:r>
      <w:r w:rsidR="00215868">
        <w:rPr>
          <w:rFonts w:ascii="Arial" w:eastAsia="Times New Roman" w:hAnsi="Arial" w:cs="Arial"/>
          <w:bCs/>
          <w:sz w:val="20"/>
          <w:szCs w:val="20"/>
          <w:lang w:val="en-GB" w:eastAsia="en-GB"/>
        </w:rPr>
        <w:t>ay</w:t>
      </w:r>
      <w:r w:rsidR="007B5656" w:rsidRPr="007B5656">
        <w:rPr>
          <w:rFonts w:ascii="Arial" w:eastAsia="Times New Roman" w:hAnsi="Arial" w:cs="Arial"/>
          <w:bCs/>
          <w:sz w:val="20"/>
          <w:szCs w:val="20"/>
          <w:lang w:val="en-GB" w:eastAsia="en-GB"/>
        </w:rPr>
        <w:t xml:space="preserve">, following a decision by the </w:t>
      </w:r>
      <w:r w:rsidR="00A62768">
        <w:rPr>
          <w:rFonts w:ascii="Arial" w:eastAsia="Times New Roman" w:hAnsi="Arial" w:cs="Arial"/>
          <w:bCs/>
          <w:sz w:val="20"/>
          <w:szCs w:val="20"/>
          <w:lang w:val="en-GB" w:eastAsia="en-GB"/>
        </w:rPr>
        <w:t>Parliament</w:t>
      </w:r>
      <w:r w:rsidR="007B5656" w:rsidRPr="007B5656">
        <w:rPr>
          <w:rFonts w:ascii="Arial" w:eastAsia="Times New Roman" w:hAnsi="Arial" w:cs="Arial"/>
          <w:bCs/>
          <w:sz w:val="20"/>
          <w:szCs w:val="20"/>
          <w:lang w:val="en-GB" w:eastAsia="en-GB"/>
        </w:rPr>
        <w:t xml:space="preserve"> of the Republic of Lithuania. In implementing the synchronisation programme, we completed a number of important projects in the last quarter that will strengthen Lithuania's electricity transmission </w:t>
      </w:r>
      <w:r w:rsidR="00516C24">
        <w:rPr>
          <w:rFonts w:ascii="Arial" w:eastAsia="Times New Roman" w:hAnsi="Arial" w:cs="Arial"/>
          <w:bCs/>
          <w:sz w:val="20"/>
          <w:szCs w:val="20"/>
          <w:lang w:val="en-GB" w:eastAsia="en-GB"/>
        </w:rPr>
        <w:t>grid</w:t>
      </w:r>
      <w:r w:rsidR="007B5656" w:rsidRPr="007B5656">
        <w:rPr>
          <w:rFonts w:ascii="Arial" w:eastAsia="Times New Roman" w:hAnsi="Arial" w:cs="Arial"/>
          <w:bCs/>
          <w:sz w:val="20"/>
          <w:szCs w:val="20"/>
          <w:lang w:val="en-GB" w:eastAsia="en-GB"/>
        </w:rPr>
        <w:t xml:space="preserve">: we commissioned the second synchronous </w:t>
      </w:r>
      <w:r w:rsidR="00674385">
        <w:rPr>
          <w:rFonts w:ascii="Arial" w:eastAsia="Times New Roman" w:hAnsi="Arial" w:cs="Arial"/>
          <w:bCs/>
          <w:sz w:val="20"/>
          <w:szCs w:val="20"/>
          <w:lang w:val="en-GB" w:eastAsia="en-GB"/>
        </w:rPr>
        <w:t>condenser</w:t>
      </w:r>
      <w:r w:rsidR="007B5656" w:rsidRPr="007B5656">
        <w:rPr>
          <w:rFonts w:ascii="Arial" w:eastAsia="Times New Roman" w:hAnsi="Arial" w:cs="Arial"/>
          <w:bCs/>
          <w:sz w:val="20"/>
          <w:szCs w:val="20"/>
          <w:lang w:val="en-GB" w:eastAsia="en-GB"/>
        </w:rPr>
        <w:t xml:space="preserve"> in Alytus, the </w:t>
      </w:r>
      <w:proofErr w:type="spellStart"/>
      <w:r w:rsidR="007B5656" w:rsidRPr="007B5656">
        <w:rPr>
          <w:rFonts w:ascii="Arial" w:eastAsia="Times New Roman" w:hAnsi="Arial" w:cs="Arial"/>
          <w:bCs/>
          <w:sz w:val="20"/>
          <w:szCs w:val="20"/>
          <w:lang w:val="en-GB" w:eastAsia="en-GB"/>
        </w:rPr>
        <w:t>Kruoni</w:t>
      </w:r>
      <w:r w:rsidR="00CF4B57">
        <w:rPr>
          <w:rFonts w:ascii="Arial" w:eastAsia="Times New Roman" w:hAnsi="Arial" w:cs="Arial"/>
          <w:bCs/>
          <w:sz w:val="20"/>
          <w:szCs w:val="20"/>
          <w:lang w:val="en-GB" w:eastAsia="en-GB"/>
        </w:rPr>
        <w:t>s</w:t>
      </w:r>
      <w:proofErr w:type="spellEnd"/>
      <w:r w:rsidR="007B5656" w:rsidRPr="007B5656">
        <w:rPr>
          <w:rFonts w:ascii="Arial" w:eastAsia="Times New Roman" w:hAnsi="Arial" w:cs="Arial"/>
          <w:bCs/>
          <w:sz w:val="20"/>
          <w:szCs w:val="20"/>
          <w:lang w:val="en-GB" w:eastAsia="en-GB"/>
        </w:rPr>
        <w:t xml:space="preserve"> HAE–</w:t>
      </w:r>
      <w:proofErr w:type="spellStart"/>
      <w:r w:rsidR="007B5656" w:rsidRPr="007B5656">
        <w:rPr>
          <w:rFonts w:ascii="Arial" w:eastAsia="Times New Roman" w:hAnsi="Arial" w:cs="Arial"/>
          <w:bCs/>
          <w:sz w:val="20"/>
          <w:szCs w:val="20"/>
          <w:lang w:val="en-GB" w:eastAsia="en-GB"/>
        </w:rPr>
        <w:t>Bitėnai</w:t>
      </w:r>
      <w:proofErr w:type="spellEnd"/>
      <w:r w:rsidR="007B5656" w:rsidRPr="007B5656">
        <w:rPr>
          <w:rFonts w:ascii="Arial" w:eastAsia="Times New Roman" w:hAnsi="Arial" w:cs="Arial"/>
          <w:bCs/>
          <w:sz w:val="20"/>
          <w:szCs w:val="20"/>
          <w:lang w:val="en-GB" w:eastAsia="en-GB"/>
        </w:rPr>
        <w:t xml:space="preserve"> power transmission line, and completed the reconstruction of the Neris substation, the construction of the </w:t>
      </w:r>
      <w:proofErr w:type="spellStart"/>
      <w:r w:rsidR="007B5656" w:rsidRPr="007B5656">
        <w:rPr>
          <w:rFonts w:ascii="Arial" w:eastAsia="Times New Roman" w:hAnsi="Arial" w:cs="Arial"/>
          <w:bCs/>
          <w:sz w:val="20"/>
          <w:szCs w:val="20"/>
          <w:lang w:val="en-GB" w:eastAsia="en-GB"/>
        </w:rPr>
        <w:t>Darbėnai</w:t>
      </w:r>
      <w:proofErr w:type="spellEnd"/>
      <w:r w:rsidR="007B5656" w:rsidRPr="007B5656">
        <w:rPr>
          <w:rFonts w:ascii="Arial" w:eastAsia="Times New Roman" w:hAnsi="Arial" w:cs="Arial"/>
          <w:bCs/>
          <w:sz w:val="20"/>
          <w:szCs w:val="20"/>
          <w:lang w:val="en-GB" w:eastAsia="en-GB"/>
        </w:rPr>
        <w:t>–</w:t>
      </w:r>
      <w:proofErr w:type="spellStart"/>
      <w:r w:rsidR="007B5656" w:rsidRPr="007B5656">
        <w:rPr>
          <w:rFonts w:ascii="Arial" w:eastAsia="Times New Roman" w:hAnsi="Arial" w:cs="Arial"/>
          <w:bCs/>
          <w:sz w:val="20"/>
          <w:szCs w:val="20"/>
          <w:lang w:val="en-GB" w:eastAsia="en-GB"/>
        </w:rPr>
        <w:t>Bitėnai</w:t>
      </w:r>
      <w:proofErr w:type="spellEnd"/>
      <w:r w:rsidR="007B5656" w:rsidRPr="007B5656">
        <w:rPr>
          <w:rFonts w:ascii="Arial" w:eastAsia="Times New Roman" w:hAnsi="Arial" w:cs="Arial"/>
          <w:bCs/>
          <w:sz w:val="20"/>
          <w:szCs w:val="20"/>
          <w:lang w:val="en-GB" w:eastAsia="en-GB"/>
        </w:rPr>
        <w:t xml:space="preserve"> line, and the frequency stability assessment system projects,</w:t>
      </w:r>
      <w:r>
        <w:rPr>
          <w:rFonts w:ascii="Arial" w:eastAsia="Times New Roman" w:hAnsi="Arial" w:cs="Arial"/>
          <w:bCs/>
          <w:sz w:val="20"/>
          <w:szCs w:val="20"/>
          <w:lang w:val="en-GB" w:eastAsia="en-GB"/>
        </w:rPr>
        <w:t>”</w:t>
      </w:r>
      <w:r w:rsidR="007B5656" w:rsidRPr="007B5656">
        <w:rPr>
          <w:rFonts w:ascii="Arial" w:eastAsia="Times New Roman" w:hAnsi="Arial" w:cs="Arial"/>
          <w:bCs/>
          <w:sz w:val="20"/>
          <w:szCs w:val="20"/>
          <w:lang w:val="en-GB" w:eastAsia="en-GB"/>
        </w:rPr>
        <w:t xml:space="preserve"> says Rokas Masiulis, CEO of Litgrid.</w:t>
      </w:r>
    </w:p>
    <w:p w14:paraId="6537CAD6" w14:textId="77777777"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According to him, significant steps were also taken at the beginning of the year towards the implementation of other strategic projects.</w:t>
      </w:r>
    </w:p>
    <w:p w14:paraId="286D6EC7" w14:textId="1F53CA9C" w:rsidR="007B5656" w:rsidRPr="007B5656" w:rsidRDefault="000553B7" w:rsidP="007B5656">
      <w:pPr>
        <w:jc w:val="both"/>
        <w:rPr>
          <w:rFonts w:ascii="Arial" w:eastAsia="Times New Roman" w:hAnsi="Arial" w:cs="Arial"/>
          <w:bCs/>
          <w:sz w:val="20"/>
          <w:szCs w:val="20"/>
          <w:lang w:val="en-GB" w:eastAsia="en-GB"/>
        </w:rPr>
      </w:pPr>
      <w:r>
        <w:rPr>
          <w:rFonts w:ascii="Arial" w:eastAsia="Times New Roman" w:hAnsi="Arial" w:cs="Arial"/>
          <w:bCs/>
          <w:sz w:val="20"/>
          <w:szCs w:val="20"/>
          <w:lang w:val="en-GB" w:eastAsia="en-GB"/>
        </w:rPr>
        <w:t>“</w:t>
      </w:r>
      <w:r w:rsidR="007B5656" w:rsidRPr="007B5656">
        <w:rPr>
          <w:rFonts w:ascii="Arial" w:eastAsia="Times New Roman" w:hAnsi="Arial" w:cs="Arial"/>
          <w:bCs/>
          <w:sz w:val="20"/>
          <w:szCs w:val="20"/>
          <w:lang w:val="en-GB" w:eastAsia="en-GB"/>
        </w:rPr>
        <w:t xml:space="preserve">We have obtained construction permits and signed a contract for the connection of the newly built </w:t>
      </w:r>
      <w:proofErr w:type="spellStart"/>
      <w:r w:rsidR="007B5656" w:rsidRPr="007B5656">
        <w:rPr>
          <w:rFonts w:ascii="Arial" w:eastAsia="Times New Roman" w:hAnsi="Arial" w:cs="Arial"/>
          <w:bCs/>
          <w:sz w:val="20"/>
          <w:szCs w:val="20"/>
          <w:lang w:val="en-GB" w:eastAsia="en-GB"/>
        </w:rPr>
        <w:t>Kuprioniškės</w:t>
      </w:r>
      <w:proofErr w:type="spellEnd"/>
      <w:r w:rsidR="007B5656" w:rsidRPr="007B5656">
        <w:rPr>
          <w:rFonts w:ascii="Arial" w:eastAsia="Times New Roman" w:hAnsi="Arial" w:cs="Arial"/>
          <w:bCs/>
          <w:sz w:val="20"/>
          <w:szCs w:val="20"/>
          <w:lang w:val="en-GB" w:eastAsia="en-GB"/>
        </w:rPr>
        <w:t xml:space="preserve"> transformer substation to the electricity transmission </w:t>
      </w:r>
      <w:r>
        <w:rPr>
          <w:rFonts w:ascii="Arial" w:eastAsia="Times New Roman" w:hAnsi="Arial" w:cs="Arial"/>
          <w:bCs/>
          <w:sz w:val="20"/>
          <w:szCs w:val="20"/>
          <w:lang w:val="en-GB" w:eastAsia="en-GB"/>
        </w:rPr>
        <w:t>grid</w:t>
      </w:r>
      <w:r w:rsidR="007B5656" w:rsidRPr="007B5656">
        <w:rPr>
          <w:rFonts w:ascii="Arial" w:eastAsia="Times New Roman" w:hAnsi="Arial" w:cs="Arial"/>
          <w:bCs/>
          <w:sz w:val="20"/>
          <w:szCs w:val="20"/>
          <w:lang w:val="en-GB" w:eastAsia="en-GB"/>
        </w:rPr>
        <w:t xml:space="preserve">. This will ensure the supply of electricity to the new </w:t>
      </w:r>
      <w:proofErr w:type="spellStart"/>
      <w:r w:rsidR="007B5656" w:rsidRPr="007B5656">
        <w:rPr>
          <w:rFonts w:ascii="Arial" w:eastAsia="Times New Roman" w:hAnsi="Arial" w:cs="Arial"/>
          <w:bCs/>
          <w:sz w:val="20"/>
          <w:szCs w:val="20"/>
          <w:lang w:val="en-GB" w:eastAsia="en-GB"/>
        </w:rPr>
        <w:t>Teltonika</w:t>
      </w:r>
      <w:proofErr w:type="spellEnd"/>
      <w:r w:rsidR="007B5656" w:rsidRPr="007B5656">
        <w:rPr>
          <w:rFonts w:ascii="Arial" w:eastAsia="Times New Roman" w:hAnsi="Arial" w:cs="Arial"/>
          <w:bCs/>
          <w:sz w:val="20"/>
          <w:szCs w:val="20"/>
          <w:lang w:val="en-GB" w:eastAsia="en-GB"/>
        </w:rPr>
        <w:t xml:space="preserve"> High-Tech Hill technology park in Vilnius. We have also completed the engineering infrastructure development plan for the Harmony Link land connection and the strategic environmental impact assessment report, and last month we began design work on the connection,</w:t>
      </w:r>
      <w:r>
        <w:rPr>
          <w:rFonts w:ascii="Arial" w:eastAsia="Times New Roman" w:hAnsi="Arial" w:cs="Arial"/>
          <w:bCs/>
          <w:sz w:val="20"/>
          <w:szCs w:val="20"/>
          <w:lang w:val="en-GB" w:eastAsia="en-GB"/>
        </w:rPr>
        <w:t>”</w:t>
      </w:r>
      <w:r w:rsidR="007B5656" w:rsidRPr="007B5656">
        <w:rPr>
          <w:rFonts w:ascii="Arial" w:eastAsia="Times New Roman" w:hAnsi="Arial" w:cs="Arial"/>
          <w:bCs/>
          <w:sz w:val="20"/>
          <w:szCs w:val="20"/>
          <w:lang w:val="en-GB" w:eastAsia="en-GB"/>
        </w:rPr>
        <w:t xml:space="preserve"> </w:t>
      </w:r>
      <w:r w:rsidR="002A534D" w:rsidRPr="007B5656">
        <w:rPr>
          <w:rFonts w:ascii="Arial" w:eastAsia="Times New Roman" w:hAnsi="Arial" w:cs="Arial"/>
          <w:bCs/>
          <w:sz w:val="20"/>
          <w:szCs w:val="20"/>
          <w:lang w:val="en-GB" w:eastAsia="en-GB"/>
        </w:rPr>
        <w:t xml:space="preserve">says </w:t>
      </w:r>
      <w:r w:rsidR="007B5656" w:rsidRPr="007B5656">
        <w:rPr>
          <w:rFonts w:ascii="Arial" w:eastAsia="Times New Roman" w:hAnsi="Arial" w:cs="Arial"/>
          <w:bCs/>
          <w:sz w:val="20"/>
          <w:szCs w:val="20"/>
          <w:lang w:val="en-GB" w:eastAsia="en-GB"/>
        </w:rPr>
        <w:t xml:space="preserve">the </w:t>
      </w:r>
      <w:r>
        <w:rPr>
          <w:rFonts w:ascii="Arial" w:eastAsia="Times New Roman" w:hAnsi="Arial" w:cs="Arial"/>
          <w:bCs/>
          <w:sz w:val="20"/>
          <w:szCs w:val="20"/>
          <w:lang w:val="en-GB" w:eastAsia="en-GB"/>
        </w:rPr>
        <w:t>CEO</w:t>
      </w:r>
      <w:r w:rsidR="007B5656" w:rsidRPr="007B5656">
        <w:rPr>
          <w:rFonts w:ascii="Arial" w:eastAsia="Times New Roman" w:hAnsi="Arial" w:cs="Arial"/>
          <w:bCs/>
          <w:sz w:val="20"/>
          <w:szCs w:val="20"/>
          <w:lang w:val="en-GB" w:eastAsia="en-GB"/>
        </w:rPr>
        <w:t xml:space="preserve"> of Litgrid.</w:t>
      </w:r>
    </w:p>
    <w:p w14:paraId="093F8583" w14:textId="77777777" w:rsidR="007B5656" w:rsidRPr="009045F3" w:rsidRDefault="007B5656" w:rsidP="007B5656">
      <w:pPr>
        <w:jc w:val="both"/>
        <w:rPr>
          <w:rFonts w:ascii="Arial" w:eastAsia="Times New Roman" w:hAnsi="Arial" w:cs="Arial"/>
          <w:b/>
          <w:sz w:val="20"/>
          <w:szCs w:val="20"/>
          <w:lang w:val="en-GB" w:eastAsia="en-GB"/>
        </w:rPr>
      </w:pPr>
      <w:r w:rsidRPr="009045F3">
        <w:rPr>
          <w:rFonts w:ascii="Arial" w:eastAsia="Times New Roman" w:hAnsi="Arial" w:cs="Arial"/>
          <w:b/>
          <w:sz w:val="20"/>
          <w:szCs w:val="20"/>
          <w:lang w:val="en-GB" w:eastAsia="en-GB"/>
        </w:rPr>
        <w:t>Supply reliability</w:t>
      </w:r>
    </w:p>
    <w:p w14:paraId="64F1B56D" w14:textId="77777777"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The amount of electricity transmitted through Lithuania's transmission networks decreased at the beginning of the year. In the first quarter of 2025, the amount of electricity transmitted to meet the country's needs reached 2.683 TWh, which is 3.6% less than in the same period in 2024, when 2.782 TWh was transmitted.</w:t>
      </w:r>
    </w:p>
    <w:p w14:paraId="27C9F156" w14:textId="6C0CC2A5"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 xml:space="preserve">By supervising and managing the electricity transmission system, Litgrid continued to implement its planned electricity supply reliability targets. In the first quarter of 2025, the average interruption </w:t>
      </w:r>
      <w:r w:rsidR="00430446">
        <w:rPr>
          <w:rFonts w:ascii="Arial" w:eastAsia="Times New Roman" w:hAnsi="Arial" w:cs="Arial"/>
          <w:bCs/>
          <w:sz w:val="20"/>
          <w:szCs w:val="20"/>
          <w:lang w:val="en-GB" w:eastAsia="en-GB"/>
        </w:rPr>
        <w:t>time</w:t>
      </w:r>
      <w:r w:rsidRPr="007B5656">
        <w:rPr>
          <w:rFonts w:ascii="Arial" w:eastAsia="Times New Roman" w:hAnsi="Arial" w:cs="Arial"/>
          <w:bCs/>
          <w:sz w:val="20"/>
          <w:szCs w:val="20"/>
          <w:lang w:val="en-GB" w:eastAsia="en-GB"/>
        </w:rPr>
        <w:t xml:space="preserve"> (AIT) </w:t>
      </w:r>
      <w:r w:rsidR="00E11F18">
        <w:rPr>
          <w:rFonts w:ascii="Arial" w:eastAsia="Times New Roman" w:hAnsi="Arial" w:cs="Arial"/>
          <w:bCs/>
          <w:sz w:val="20"/>
          <w:szCs w:val="20"/>
          <w:lang w:val="en-GB" w:eastAsia="en-GB"/>
        </w:rPr>
        <w:t xml:space="preserve">indicator </w:t>
      </w:r>
      <w:r w:rsidRPr="007B5656">
        <w:rPr>
          <w:rFonts w:ascii="Arial" w:eastAsia="Times New Roman" w:hAnsi="Arial" w:cs="Arial"/>
          <w:bCs/>
          <w:sz w:val="20"/>
          <w:szCs w:val="20"/>
          <w:lang w:val="en-GB" w:eastAsia="en-GB"/>
        </w:rPr>
        <w:t xml:space="preserve">was 0.01 minutes, while the energy </w:t>
      </w:r>
      <w:r w:rsidR="00430446">
        <w:rPr>
          <w:rFonts w:ascii="Arial" w:eastAsia="Times New Roman" w:hAnsi="Arial" w:cs="Arial"/>
          <w:bCs/>
          <w:sz w:val="20"/>
          <w:szCs w:val="20"/>
          <w:lang w:val="en-GB" w:eastAsia="en-GB"/>
        </w:rPr>
        <w:t>not supplied</w:t>
      </w:r>
      <w:r w:rsidRPr="007B5656">
        <w:rPr>
          <w:rFonts w:ascii="Arial" w:eastAsia="Times New Roman" w:hAnsi="Arial" w:cs="Arial"/>
          <w:bCs/>
          <w:sz w:val="20"/>
          <w:szCs w:val="20"/>
          <w:lang w:val="en-GB" w:eastAsia="en-GB"/>
        </w:rPr>
        <w:t xml:space="preserve"> (ENS) </w:t>
      </w:r>
      <w:r w:rsidR="00E11F18">
        <w:rPr>
          <w:rFonts w:ascii="Arial" w:eastAsia="Times New Roman" w:hAnsi="Arial" w:cs="Arial"/>
          <w:bCs/>
          <w:sz w:val="20"/>
          <w:szCs w:val="20"/>
          <w:lang w:val="en-GB" w:eastAsia="en-GB"/>
        </w:rPr>
        <w:t xml:space="preserve">indicator </w:t>
      </w:r>
      <w:r w:rsidRPr="007B5656">
        <w:rPr>
          <w:rFonts w:ascii="Arial" w:eastAsia="Times New Roman" w:hAnsi="Arial" w:cs="Arial"/>
          <w:bCs/>
          <w:sz w:val="20"/>
          <w:szCs w:val="20"/>
          <w:lang w:val="en-GB" w:eastAsia="en-GB"/>
        </w:rPr>
        <w:t>was 0.22 MWh. By comparison, the National Energy Regulatory Council (</w:t>
      </w:r>
      <w:r w:rsidR="008549ED">
        <w:rPr>
          <w:rFonts w:ascii="Arial" w:eastAsia="Times New Roman" w:hAnsi="Arial" w:cs="Arial"/>
          <w:bCs/>
          <w:sz w:val="20"/>
          <w:szCs w:val="20"/>
          <w:lang w:val="en-GB" w:eastAsia="en-GB"/>
        </w:rPr>
        <w:t>NERC</w:t>
      </w:r>
      <w:r w:rsidRPr="007B5656">
        <w:rPr>
          <w:rFonts w:ascii="Arial" w:eastAsia="Times New Roman" w:hAnsi="Arial" w:cs="Arial"/>
          <w:bCs/>
          <w:sz w:val="20"/>
          <w:szCs w:val="20"/>
          <w:lang w:val="en-GB" w:eastAsia="en-GB"/>
        </w:rPr>
        <w:t>) has set a target of 0.934 minutes for the AIT and 27.251 MWh for the ENS for the whole year.</w:t>
      </w:r>
    </w:p>
    <w:p w14:paraId="093C48D0" w14:textId="77777777"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The overall availability of interconnections with Sweden (NordBalt) and Poland (LitPol Link) was 96.8% and 99.4%, respectively. The availability of the NordBalt interconnection decreased due to a failure at a converter station in Sweden at the end of March.</w:t>
      </w:r>
    </w:p>
    <w:p w14:paraId="68C1FB7F" w14:textId="77777777" w:rsidR="007B5656" w:rsidRPr="00E11F18" w:rsidRDefault="007B5656" w:rsidP="007B5656">
      <w:pPr>
        <w:jc w:val="both"/>
        <w:rPr>
          <w:rFonts w:ascii="Arial" w:eastAsia="Times New Roman" w:hAnsi="Arial" w:cs="Arial"/>
          <w:b/>
          <w:sz w:val="20"/>
          <w:szCs w:val="20"/>
          <w:lang w:val="en-GB" w:eastAsia="en-GB"/>
        </w:rPr>
      </w:pPr>
      <w:r w:rsidRPr="00E11F18">
        <w:rPr>
          <w:rFonts w:ascii="Arial" w:eastAsia="Times New Roman" w:hAnsi="Arial" w:cs="Arial"/>
          <w:b/>
          <w:sz w:val="20"/>
          <w:szCs w:val="20"/>
          <w:lang w:val="en-GB" w:eastAsia="en-GB"/>
        </w:rPr>
        <w:t>Financial results</w:t>
      </w:r>
    </w:p>
    <w:p w14:paraId="74DA3038" w14:textId="4A1E0CCF"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According to unaudited data, Litgrid revenue in the first quarter of 2025 amounted to EUR 108.7 million. Compared to the same period last year, it was 4% lower.</w:t>
      </w:r>
    </w:p>
    <w:p w14:paraId="7178C290" w14:textId="1A2E1CF4" w:rsidR="007B5656" w:rsidRPr="007B5656" w:rsidRDefault="00262944" w:rsidP="007B5656">
      <w:pPr>
        <w:jc w:val="both"/>
        <w:rPr>
          <w:rFonts w:ascii="Arial" w:eastAsia="Times New Roman" w:hAnsi="Arial" w:cs="Arial"/>
          <w:bCs/>
          <w:sz w:val="20"/>
          <w:szCs w:val="20"/>
          <w:lang w:val="en-GB" w:eastAsia="en-GB"/>
        </w:rPr>
      </w:pPr>
      <w:r>
        <w:rPr>
          <w:rFonts w:ascii="Arial" w:eastAsia="Times New Roman" w:hAnsi="Arial" w:cs="Arial"/>
          <w:bCs/>
          <w:sz w:val="20"/>
          <w:szCs w:val="20"/>
          <w:lang w:val="en-GB" w:eastAsia="en-GB"/>
        </w:rPr>
        <w:t>E</w:t>
      </w:r>
      <w:r w:rsidR="007B5656" w:rsidRPr="007B5656">
        <w:rPr>
          <w:rFonts w:ascii="Arial" w:eastAsia="Times New Roman" w:hAnsi="Arial" w:cs="Arial"/>
          <w:bCs/>
          <w:sz w:val="20"/>
          <w:szCs w:val="20"/>
          <w:lang w:val="en-GB" w:eastAsia="en-GB"/>
        </w:rPr>
        <w:t>lectricity transmission</w:t>
      </w:r>
      <w:r>
        <w:rPr>
          <w:rFonts w:ascii="Arial" w:eastAsia="Times New Roman" w:hAnsi="Arial" w:cs="Arial"/>
          <w:bCs/>
          <w:sz w:val="20"/>
          <w:szCs w:val="20"/>
          <w:lang w:val="en-GB" w:eastAsia="en-GB"/>
        </w:rPr>
        <w:t xml:space="preserve"> revenue</w:t>
      </w:r>
      <w:r w:rsidR="007B5656" w:rsidRPr="007B5656">
        <w:rPr>
          <w:rFonts w:ascii="Arial" w:eastAsia="Times New Roman" w:hAnsi="Arial" w:cs="Arial"/>
          <w:bCs/>
          <w:sz w:val="20"/>
          <w:szCs w:val="20"/>
          <w:lang w:val="en-GB" w:eastAsia="en-GB"/>
        </w:rPr>
        <w:t xml:space="preserve"> (including EUR 8.6 million in congestion </w:t>
      </w:r>
      <w:r w:rsidR="00FD1A0B">
        <w:rPr>
          <w:rFonts w:ascii="Arial" w:eastAsia="Times New Roman" w:hAnsi="Arial" w:cs="Arial"/>
          <w:bCs/>
          <w:sz w:val="20"/>
          <w:szCs w:val="20"/>
          <w:lang w:val="en-GB" w:eastAsia="en-GB"/>
        </w:rPr>
        <w:t xml:space="preserve">management </w:t>
      </w:r>
      <w:r w:rsidR="007B5656" w:rsidRPr="007B5656">
        <w:rPr>
          <w:rFonts w:ascii="Arial" w:eastAsia="Times New Roman" w:hAnsi="Arial" w:cs="Arial"/>
          <w:bCs/>
          <w:sz w:val="20"/>
          <w:szCs w:val="20"/>
          <w:lang w:val="en-GB" w:eastAsia="en-GB"/>
        </w:rPr>
        <w:t xml:space="preserve">revenue used for tariff reductions in 2025) decreased by 2% to EUR 37.1 million due to a 3.6% decrease in the volume of electricity transmitted. </w:t>
      </w:r>
    </w:p>
    <w:p w14:paraId="40CCEFA5" w14:textId="154FD2F3" w:rsidR="007B5656" w:rsidRPr="007B5656" w:rsidRDefault="00262944" w:rsidP="00F66034">
      <w:pP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Ancillary services r</w:t>
      </w:r>
      <w:r w:rsidR="007B5656" w:rsidRPr="007B5656">
        <w:rPr>
          <w:rFonts w:ascii="Arial" w:eastAsia="Times New Roman" w:hAnsi="Arial" w:cs="Arial"/>
          <w:bCs/>
          <w:sz w:val="20"/>
          <w:szCs w:val="20"/>
          <w:lang w:val="en-GB" w:eastAsia="en-GB"/>
        </w:rPr>
        <w:t xml:space="preserve">evenue increased by 21% to EUR 49.2 million. The main reason for the change was the 28% increase in the transmission price component for the purchase of </w:t>
      </w:r>
      <w:r w:rsidR="005837EB">
        <w:rPr>
          <w:rFonts w:ascii="Arial" w:eastAsia="Times New Roman" w:hAnsi="Arial" w:cs="Arial"/>
          <w:bCs/>
          <w:sz w:val="20"/>
          <w:szCs w:val="20"/>
          <w:lang w:val="en-GB" w:eastAsia="en-GB"/>
        </w:rPr>
        <w:t>ancillary</w:t>
      </w:r>
      <w:r w:rsidR="007B5656" w:rsidRPr="007B5656">
        <w:rPr>
          <w:rFonts w:ascii="Arial" w:eastAsia="Times New Roman" w:hAnsi="Arial" w:cs="Arial"/>
          <w:bCs/>
          <w:sz w:val="20"/>
          <w:szCs w:val="20"/>
          <w:lang w:val="en-GB" w:eastAsia="en-GB"/>
        </w:rPr>
        <w:t xml:space="preserve"> services set by </w:t>
      </w:r>
      <w:r w:rsidR="00F66034">
        <w:rPr>
          <w:rFonts w:ascii="Arial" w:eastAsia="Times New Roman" w:hAnsi="Arial" w:cs="Arial"/>
          <w:bCs/>
          <w:sz w:val="20"/>
          <w:szCs w:val="20"/>
          <w:lang w:val="en-GB" w:eastAsia="en-GB"/>
        </w:rPr>
        <w:t>NERC</w:t>
      </w:r>
      <w:r w:rsidR="007B5656" w:rsidRPr="007B5656">
        <w:rPr>
          <w:rFonts w:ascii="Arial" w:eastAsia="Times New Roman" w:hAnsi="Arial" w:cs="Arial"/>
          <w:bCs/>
          <w:sz w:val="20"/>
          <w:szCs w:val="20"/>
          <w:lang w:val="en-GB" w:eastAsia="en-GB"/>
        </w:rPr>
        <w:t>.</w:t>
      </w:r>
    </w:p>
    <w:p w14:paraId="111264FC" w14:textId="77777777"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Balancing activity revenue decreased by 45% to EUR 18.7 million due to lower sales prices. The system balancing service provided by Litgrid is always zero-profit, i.e. changes in revenue do not affect the amount of profit (loss) as this revenue only covers the actual costs incurred.</w:t>
      </w:r>
    </w:p>
    <w:p w14:paraId="09B8DB70" w14:textId="542AB1B5"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 xml:space="preserve">In the first quarter of 2025, earnings before interest, taxes, depreciation, and amortization (EBITDA), after adjustments for temporary regulatory deviations from the amounts approved by </w:t>
      </w:r>
      <w:r w:rsidR="001A4F58">
        <w:rPr>
          <w:rFonts w:ascii="Arial" w:eastAsia="Times New Roman" w:hAnsi="Arial" w:cs="Arial"/>
          <w:bCs/>
          <w:sz w:val="20"/>
          <w:szCs w:val="20"/>
          <w:lang w:val="en-GB" w:eastAsia="en-GB"/>
        </w:rPr>
        <w:t>NERC</w:t>
      </w:r>
      <w:r w:rsidR="001A4F58" w:rsidRPr="007B5656">
        <w:rPr>
          <w:rFonts w:ascii="Arial" w:eastAsia="Times New Roman" w:hAnsi="Arial" w:cs="Arial"/>
          <w:bCs/>
          <w:sz w:val="20"/>
          <w:szCs w:val="20"/>
          <w:lang w:val="en-GB" w:eastAsia="en-GB"/>
        </w:rPr>
        <w:t xml:space="preserve"> </w:t>
      </w:r>
      <w:r w:rsidRPr="007B5656">
        <w:rPr>
          <w:rFonts w:ascii="Arial" w:eastAsia="Times New Roman" w:hAnsi="Arial" w:cs="Arial"/>
          <w:bCs/>
          <w:sz w:val="20"/>
          <w:szCs w:val="20"/>
          <w:lang w:val="en-GB" w:eastAsia="en-GB"/>
        </w:rPr>
        <w:t xml:space="preserve">and eliminating other non-recurring income or losses, amounted to EUR 14.2 million. In comparison, adjusted EBITDA for the first quarter of 2024 was EUR 12.5 million. Adjusted net profit for the first quarter of 2025 amounted to EUR 8.2 million, 14% more than in the same period last year, when adjusted net profit was EUR 7.2 million. The adjusted profit indicators were mainly driven by higher return on investment due to the increase in the value of regulated assets and higher return on investment. </w:t>
      </w:r>
    </w:p>
    <w:p w14:paraId="13C6FA88" w14:textId="2E22FA19" w:rsidR="007B5656" w:rsidRP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 xml:space="preserve">In the first quarter of 2025, the company's unadjusted EBITDA was negative (-33.6) million euros, compared to 23.8 million euros in the same period last year. Unadjusted net loss in the first quarter of 2025 amounted to (-27) million euros, compared to a net profit of 21.5 million euros in January-March 2024. The negative unadjusted profit indicators were mainly due to increased costs of </w:t>
      </w:r>
      <w:r w:rsidR="00AD396F">
        <w:rPr>
          <w:rFonts w:ascii="Arial" w:eastAsia="Times New Roman" w:hAnsi="Arial" w:cs="Arial"/>
          <w:bCs/>
          <w:sz w:val="20"/>
          <w:szCs w:val="20"/>
          <w:lang w:val="en-GB" w:eastAsia="en-GB"/>
        </w:rPr>
        <w:t>ancillary</w:t>
      </w:r>
      <w:r w:rsidRPr="007B5656">
        <w:rPr>
          <w:rFonts w:ascii="Arial" w:eastAsia="Times New Roman" w:hAnsi="Arial" w:cs="Arial"/>
          <w:bCs/>
          <w:sz w:val="20"/>
          <w:szCs w:val="20"/>
          <w:lang w:val="en-GB" w:eastAsia="en-GB"/>
        </w:rPr>
        <w:t xml:space="preserve"> services related to balancing reserve costs. On April 30, </w:t>
      </w:r>
      <w:r w:rsidR="001A4F58">
        <w:rPr>
          <w:rFonts w:ascii="Arial" w:eastAsia="Times New Roman" w:hAnsi="Arial" w:cs="Arial"/>
          <w:bCs/>
          <w:sz w:val="20"/>
          <w:szCs w:val="20"/>
          <w:lang w:val="en-GB" w:eastAsia="en-GB"/>
        </w:rPr>
        <w:t>NERC</w:t>
      </w:r>
      <w:r w:rsidR="001A4F58" w:rsidRPr="007B5656">
        <w:rPr>
          <w:rFonts w:ascii="Arial" w:eastAsia="Times New Roman" w:hAnsi="Arial" w:cs="Arial"/>
          <w:bCs/>
          <w:sz w:val="20"/>
          <w:szCs w:val="20"/>
          <w:lang w:val="en-GB" w:eastAsia="en-GB"/>
        </w:rPr>
        <w:t xml:space="preserve"> </w:t>
      </w:r>
      <w:r w:rsidRPr="007B5656">
        <w:rPr>
          <w:rFonts w:ascii="Arial" w:eastAsia="Times New Roman" w:hAnsi="Arial" w:cs="Arial"/>
          <w:bCs/>
          <w:sz w:val="20"/>
          <w:szCs w:val="20"/>
          <w:lang w:val="en-GB" w:eastAsia="en-GB"/>
        </w:rPr>
        <w:t xml:space="preserve">adopted a resolution on a new </w:t>
      </w:r>
      <w:r w:rsidR="00AD396F">
        <w:rPr>
          <w:rFonts w:ascii="Arial" w:eastAsia="Times New Roman" w:hAnsi="Arial" w:cs="Arial"/>
          <w:bCs/>
          <w:sz w:val="20"/>
          <w:szCs w:val="20"/>
          <w:lang w:val="en-GB" w:eastAsia="en-GB"/>
        </w:rPr>
        <w:t xml:space="preserve">mechanism of </w:t>
      </w:r>
      <w:r w:rsidRPr="007B5656">
        <w:rPr>
          <w:rFonts w:ascii="Arial" w:eastAsia="Times New Roman" w:hAnsi="Arial" w:cs="Arial"/>
          <w:bCs/>
          <w:sz w:val="20"/>
          <w:szCs w:val="20"/>
          <w:lang w:val="en-GB" w:eastAsia="en-GB"/>
        </w:rPr>
        <w:t>unplanned</w:t>
      </w:r>
      <w:r w:rsidR="00AD396F">
        <w:rPr>
          <w:rFonts w:ascii="Arial" w:eastAsia="Times New Roman" w:hAnsi="Arial" w:cs="Arial"/>
          <w:bCs/>
          <w:sz w:val="20"/>
          <w:szCs w:val="20"/>
          <w:lang w:val="en-GB" w:eastAsia="en-GB"/>
        </w:rPr>
        <w:t>-</w:t>
      </w:r>
      <w:r w:rsidRPr="007B5656">
        <w:rPr>
          <w:rFonts w:ascii="Arial" w:eastAsia="Times New Roman" w:hAnsi="Arial" w:cs="Arial"/>
          <w:bCs/>
          <w:sz w:val="20"/>
          <w:szCs w:val="20"/>
          <w:lang w:val="en-GB" w:eastAsia="en-GB"/>
        </w:rPr>
        <w:t xml:space="preserve">profit sharing, according to which the component of </w:t>
      </w:r>
      <w:r w:rsidR="00AD396F">
        <w:rPr>
          <w:rFonts w:ascii="Arial" w:eastAsia="Times New Roman" w:hAnsi="Arial" w:cs="Arial"/>
          <w:bCs/>
          <w:sz w:val="20"/>
          <w:szCs w:val="20"/>
          <w:lang w:val="en-GB" w:eastAsia="en-GB"/>
        </w:rPr>
        <w:t>ancillary</w:t>
      </w:r>
      <w:r w:rsidRPr="007B5656">
        <w:rPr>
          <w:rFonts w:ascii="Arial" w:eastAsia="Times New Roman" w:hAnsi="Arial" w:cs="Arial"/>
          <w:bCs/>
          <w:sz w:val="20"/>
          <w:szCs w:val="20"/>
          <w:lang w:val="en-GB" w:eastAsia="en-GB"/>
        </w:rPr>
        <w:t xml:space="preserve"> services purchased will be reduced by the unplanned</w:t>
      </w:r>
      <w:r w:rsidR="00AD396F">
        <w:rPr>
          <w:rFonts w:ascii="Arial" w:eastAsia="Times New Roman" w:hAnsi="Arial" w:cs="Arial"/>
          <w:bCs/>
          <w:sz w:val="20"/>
          <w:szCs w:val="20"/>
          <w:lang w:val="en-GB" w:eastAsia="en-GB"/>
        </w:rPr>
        <w:t>-</w:t>
      </w:r>
      <w:r w:rsidRPr="007B5656">
        <w:rPr>
          <w:rFonts w:ascii="Arial" w:eastAsia="Times New Roman" w:hAnsi="Arial" w:cs="Arial"/>
          <w:bCs/>
          <w:sz w:val="20"/>
          <w:szCs w:val="20"/>
          <w:lang w:val="en-GB" w:eastAsia="en-GB"/>
        </w:rPr>
        <w:t xml:space="preserve">profit earned by electricity producers from electricity balancing services. This will allow to </w:t>
      </w:r>
      <w:r w:rsidR="008A79E2">
        <w:rPr>
          <w:rFonts w:ascii="Arial" w:eastAsia="Times New Roman" w:hAnsi="Arial" w:cs="Arial"/>
          <w:bCs/>
          <w:sz w:val="20"/>
          <w:szCs w:val="20"/>
          <w:lang w:val="en-GB" w:eastAsia="en-GB"/>
        </w:rPr>
        <w:t>reduce the impact on electricity consumer tariff</w:t>
      </w:r>
      <w:r w:rsidRPr="007B5656">
        <w:rPr>
          <w:rFonts w:ascii="Arial" w:eastAsia="Times New Roman" w:hAnsi="Arial" w:cs="Arial"/>
          <w:bCs/>
          <w:sz w:val="20"/>
          <w:szCs w:val="20"/>
          <w:lang w:val="en-GB" w:eastAsia="en-GB"/>
        </w:rPr>
        <w:t xml:space="preserve"> increase due to higher </w:t>
      </w:r>
      <w:r w:rsidR="008A79E2">
        <w:rPr>
          <w:rFonts w:ascii="Arial" w:eastAsia="Times New Roman" w:hAnsi="Arial" w:cs="Arial"/>
          <w:bCs/>
          <w:sz w:val="20"/>
          <w:szCs w:val="20"/>
          <w:lang w:val="en-GB" w:eastAsia="en-GB"/>
        </w:rPr>
        <w:t>ancillary</w:t>
      </w:r>
      <w:r w:rsidRPr="007B5656">
        <w:rPr>
          <w:rFonts w:ascii="Arial" w:eastAsia="Times New Roman" w:hAnsi="Arial" w:cs="Arial"/>
          <w:bCs/>
          <w:sz w:val="20"/>
          <w:szCs w:val="20"/>
          <w:lang w:val="en-GB" w:eastAsia="en-GB"/>
        </w:rPr>
        <w:t xml:space="preserve"> service costs. According to the pricing of </w:t>
      </w:r>
      <w:r w:rsidR="008A79E2">
        <w:rPr>
          <w:rFonts w:ascii="Arial" w:eastAsia="Times New Roman" w:hAnsi="Arial" w:cs="Arial"/>
          <w:bCs/>
          <w:sz w:val="20"/>
          <w:szCs w:val="20"/>
          <w:lang w:val="en-GB" w:eastAsia="en-GB"/>
        </w:rPr>
        <w:t>ancillary</w:t>
      </w:r>
      <w:r w:rsidRPr="007B5656">
        <w:rPr>
          <w:rFonts w:ascii="Arial" w:eastAsia="Times New Roman" w:hAnsi="Arial" w:cs="Arial"/>
          <w:bCs/>
          <w:sz w:val="20"/>
          <w:szCs w:val="20"/>
          <w:lang w:val="en-GB" w:eastAsia="en-GB"/>
        </w:rPr>
        <w:t xml:space="preserve"> services, the result of </w:t>
      </w:r>
      <w:r w:rsidR="008A79E2">
        <w:rPr>
          <w:rFonts w:ascii="Arial" w:eastAsia="Times New Roman" w:hAnsi="Arial" w:cs="Arial"/>
          <w:bCs/>
          <w:sz w:val="20"/>
          <w:szCs w:val="20"/>
          <w:lang w:val="en-GB" w:eastAsia="en-GB"/>
        </w:rPr>
        <w:t>ancillary</w:t>
      </w:r>
      <w:r w:rsidRPr="007B5656">
        <w:rPr>
          <w:rFonts w:ascii="Arial" w:eastAsia="Times New Roman" w:hAnsi="Arial" w:cs="Arial"/>
          <w:bCs/>
          <w:sz w:val="20"/>
          <w:szCs w:val="20"/>
          <w:lang w:val="en-GB" w:eastAsia="en-GB"/>
        </w:rPr>
        <w:t xml:space="preserve"> services in the previous year is assessed when determining the component for the purchase of additional services in subsequent years, so the result of this activity is zero profitability over a period of several years.</w:t>
      </w:r>
    </w:p>
    <w:p w14:paraId="5385F8A4" w14:textId="762FDCC3" w:rsidR="007B5656" w:rsidRPr="007B5656" w:rsidRDefault="007B5656" w:rsidP="007B5656">
      <w:pPr>
        <w:jc w:val="both"/>
        <w:rPr>
          <w:rFonts w:ascii="Arial" w:eastAsia="Times New Roman" w:hAnsi="Arial" w:cs="Arial"/>
          <w:bCs/>
          <w:sz w:val="20"/>
          <w:szCs w:val="20"/>
          <w:lang w:val="en-GB" w:eastAsia="en-GB"/>
        </w:rPr>
      </w:pPr>
      <w:proofErr w:type="spellStart"/>
      <w:r w:rsidRPr="007B5656">
        <w:rPr>
          <w:rFonts w:ascii="Arial" w:eastAsia="Times New Roman" w:hAnsi="Arial" w:cs="Arial"/>
          <w:bCs/>
          <w:sz w:val="20"/>
          <w:szCs w:val="20"/>
          <w:lang w:val="en-GB" w:eastAsia="en-GB"/>
        </w:rPr>
        <w:t>Litgrid</w:t>
      </w:r>
      <w:r w:rsidR="001459BC">
        <w:rPr>
          <w:rFonts w:ascii="Arial" w:eastAsia="Times New Roman" w:hAnsi="Arial" w:cs="Arial"/>
          <w:bCs/>
          <w:sz w:val="20"/>
          <w:szCs w:val="20"/>
          <w:lang w:val="en-GB" w:eastAsia="en-GB"/>
        </w:rPr>
        <w:t>’s</w:t>
      </w:r>
      <w:proofErr w:type="spellEnd"/>
      <w:r w:rsidRPr="007B5656">
        <w:rPr>
          <w:rFonts w:ascii="Arial" w:eastAsia="Times New Roman" w:hAnsi="Arial" w:cs="Arial"/>
          <w:bCs/>
          <w:sz w:val="20"/>
          <w:szCs w:val="20"/>
          <w:lang w:val="en-GB" w:eastAsia="en-GB"/>
        </w:rPr>
        <w:t xml:space="preserve"> investments in the first quarter of 2025 amounted to EUR 41.2 million. Of this amount, 58% was allocated to the implementation of strategic and nationally important electricity projects, and 42% to the reconstruction and expansion of the transmission network and operational maintenance.</w:t>
      </w:r>
    </w:p>
    <w:p w14:paraId="72B99157" w14:textId="7A48522B" w:rsidR="007B5656" w:rsidRDefault="007B5656" w:rsidP="007B5656">
      <w:pPr>
        <w:jc w:val="both"/>
        <w:rPr>
          <w:rFonts w:ascii="Arial" w:eastAsia="Times New Roman" w:hAnsi="Arial" w:cs="Arial"/>
          <w:bCs/>
          <w:sz w:val="20"/>
          <w:szCs w:val="20"/>
          <w:lang w:val="en-GB" w:eastAsia="en-GB"/>
        </w:rPr>
      </w:pPr>
      <w:r w:rsidRPr="007B5656">
        <w:rPr>
          <w:rFonts w:ascii="Arial" w:eastAsia="Times New Roman" w:hAnsi="Arial" w:cs="Arial"/>
          <w:bCs/>
          <w:sz w:val="20"/>
          <w:szCs w:val="20"/>
          <w:lang w:val="en-GB" w:eastAsia="en-GB"/>
        </w:rPr>
        <w:t xml:space="preserve">In the first quarter of 2025, congestion management revenue amounted to EUR 31.3 million, up 4% compared to the same period last year. The congestion management revenue received </w:t>
      </w:r>
      <w:r w:rsidR="00101B99">
        <w:rPr>
          <w:rFonts w:ascii="Arial" w:eastAsia="Times New Roman" w:hAnsi="Arial" w:cs="Arial"/>
          <w:bCs/>
          <w:sz w:val="20"/>
          <w:szCs w:val="20"/>
          <w:lang w:val="en-GB" w:eastAsia="en-GB"/>
        </w:rPr>
        <w:t>is</w:t>
      </w:r>
      <w:r w:rsidRPr="007B5656">
        <w:rPr>
          <w:rFonts w:ascii="Arial" w:eastAsia="Times New Roman" w:hAnsi="Arial" w:cs="Arial"/>
          <w:bCs/>
          <w:sz w:val="20"/>
          <w:szCs w:val="20"/>
          <w:lang w:val="en-GB" w:eastAsia="en-GB"/>
        </w:rPr>
        <w:t xml:space="preserve"> not recognized as income and do</w:t>
      </w:r>
      <w:r w:rsidR="00101B99">
        <w:rPr>
          <w:rFonts w:ascii="Arial" w:eastAsia="Times New Roman" w:hAnsi="Arial" w:cs="Arial"/>
          <w:bCs/>
          <w:sz w:val="20"/>
          <w:szCs w:val="20"/>
          <w:lang w:val="en-GB" w:eastAsia="en-GB"/>
        </w:rPr>
        <w:t>es</w:t>
      </w:r>
      <w:r w:rsidRPr="007B5656">
        <w:rPr>
          <w:rFonts w:ascii="Arial" w:eastAsia="Times New Roman" w:hAnsi="Arial" w:cs="Arial"/>
          <w:bCs/>
          <w:sz w:val="20"/>
          <w:szCs w:val="20"/>
          <w:lang w:val="en-GB" w:eastAsia="en-GB"/>
        </w:rPr>
        <w:t xml:space="preserve"> not directly affect </w:t>
      </w:r>
      <w:proofErr w:type="spellStart"/>
      <w:r w:rsidRPr="007B5656">
        <w:rPr>
          <w:rFonts w:ascii="Arial" w:eastAsia="Times New Roman" w:hAnsi="Arial" w:cs="Arial"/>
          <w:bCs/>
          <w:sz w:val="20"/>
          <w:szCs w:val="20"/>
          <w:lang w:val="en-GB" w:eastAsia="en-GB"/>
        </w:rPr>
        <w:t>Litgrid</w:t>
      </w:r>
      <w:r w:rsidR="001459BC">
        <w:rPr>
          <w:rFonts w:ascii="Arial" w:eastAsia="Times New Roman" w:hAnsi="Arial" w:cs="Arial"/>
          <w:bCs/>
          <w:sz w:val="20"/>
          <w:szCs w:val="20"/>
          <w:lang w:val="en-GB" w:eastAsia="en-GB"/>
        </w:rPr>
        <w:t>’s</w:t>
      </w:r>
      <w:proofErr w:type="spellEnd"/>
      <w:r w:rsidRPr="007B5656">
        <w:rPr>
          <w:rFonts w:ascii="Arial" w:eastAsia="Times New Roman" w:hAnsi="Arial" w:cs="Arial"/>
          <w:bCs/>
          <w:sz w:val="20"/>
          <w:szCs w:val="20"/>
          <w:lang w:val="en-GB" w:eastAsia="en-GB"/>
        </w:rPr>
        <w:t xml:space="preserve"> operating results. </w:t>
      </w:r>
      <w:r w:rsidR="0036242B">
        <w:rPr>
          <w:rFonts w:ascii="Arial" w:eastAsia="Times New Roman" w:hAnsi="Arial" w:cs="Arial"/>
          <w:bCs/>
          <w:sz w:val="20"/>
          <w:szCs w:val="20"/>
          <w:lang w:val="en-GB" w:eastAsia="en-GB"/>
        </w:rPr>
        <w:t>Its</w:t>
      </w:r>
      <w:r w:rsidRPr="007B5656">
        <w:rPr>
          <w:rFonts w:ascii="Arial" w:eastAsia="Times New Roman" w:hAnsi="Arial" w:cs="Arial"/>
          <w:bCs/>
          <w:sz w:val="20"/>
          <w:szCs w:val="20"/>
          <w:lang w:val="en-GB" w:eastAsia="en-GB"/>
        </w:rPr>
        <w:t xml:space="preserve"> use is regulated by Regulation (EU) 2019/943 of the European Parliament and of the Council and the methodology approved by the Agency for the Cooperation of Energy Regulators (ACER). </w:t>
      </w:r>
      <w:r w:rsidR="0036242B">
        <w:rPr>
          <w:rFonts w:ascii="Arial" w:eastAsia="Times New Roman" w:hAnsi="Arial" w:cs="Arial"/>
          <w:bCs/>
          <w:sz w:val="20"/>
          <w:szCs w:val="20"/>
          <w:lang w:val="en-GB" w:eastAsia="en-GB"/>
        </w:rPr>
        <w:t>C</w:t>
      </w:r>
      <w:r w:rsidR="0036242B" w:rsidRPr="007B5656">
        <w:rPr>
          <w:rFonts w:ascii="Arial" w:eastAsia="Times New Roman" w:hAnsi="Arial" w:cs="Arial"/>
          <w:bCs/>
          <w:sz w:val="20"/>
          <w:szCs w:val="20"/>
          <w:lang w:val="en-GB" w:eastAsia="en-GB"/>
        </w:rPr>
        <w:t xml:space="preserve">ongestion management revenue </w:t>
      </w:r>
      <w:r w:rsidRPr="007B5656">
        <w:rPr>
          <w:rFonts w:ascii="Arial" w:eastAsia="Times New Roman" w:hAnsi="Arial" w:cs="Arial"/>
          <w:bCs/>
          <w:sz w:val="20"/>
          <w:szCs w:val="20"/>
          <w:lang w:val="en-GB" w:eastAsia="en-GB"/>
        </w:rPr>
        <w:t>is mainly used to partially finance the company's investments in increasing the capacity of interconnections.</w:t>
      </w:r>
    </w:p>
    <w:sectPr w:rsidR="007B565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8F56" w14:textId="77777777" w:rsidR="007C20FD" w:rsidRDefault="007C20FD" w:rsidP="0071396B">
      <w:pPr>
        <w:spacing w:after="0" w:line="240" w:lineRule="auto"/>
      </w:pPr>
      <w:r>
        <w:separator/>
      </w:r>
    </w:p>
  </w:endnote>
  <w:endnote w:type="continuationSeparator" w:id="0">
    <w:p w14:paraId="66099785" w14:textId="77777777" w:rsidR="007C20FD" w:rsidRDefault="007C20FD" w:rsidP="0071396B">
      <w:pPr>
        <w:spacing w:after="0" w:line="240" w:lineRule="auto"/>
      </w:pPr>
      <w:r>
        <w:continuationSeparator/>
      </w:r>
    </w:p>
  </w:endnote>
  <w:endnote w:type="continuationNotice" w:id="1">
    <w:p w14:paraId="33C14CC0" w14:textId="77777777" w:rsidR="007C20FD" w:rsidRDefault="007C2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100E" w14:textId="77777777" w:rsidR="007C20FD" w:rsidRDefault="007C20FD" w:rsidP="0071396B">
      <w:pPr>
        <w:spacing w:after="0" w:line="240" w:lineRule="auto"/>
      </w:pPr>
      <w:r>
        <w:separator/>
      </w:r>
    </w:p>
  </w:footnote>
  <w:footnote w:type="continuationSeparator" w:id="0">
    <w:p w14:paraId="3F206F62" w14:textId="77777777" w:rsidR="007C20FD" w:rsidRDefault="007C20FD" w:rsidP="0071396B">
      <w:pPr>
        <w:spacing w:after="0" w:line="240" w:lineRule="auto"/>
      </w:pPr>
      <w:r>
        <w:continuationSeparator/>
      </w:r>
    </w:p>
  </w:footnote>
  <w:footnote w:type="continuationNotice" w:id="1">
    <w:p w14:paraId="5BF602B5" w14:textId="77777777" w:rsidR="007C20FD" w:rsidRDefault="007C2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F5" w14:textId="5848076A" w:rsidR="0071396B" w:rsidRDefault="008E38CE">
    <w:pPr>
      <w:pStyle w:val="Header"/>
    </w:pPr>
    <w:r>
      <w:rPr>
        <w:noProof/>
      </w:rPr>
      <w:drawing>
        <wp:inline distT="0" distB="0" distL="0" distR="0" wp14:anchorId="13988461" wp14:editId="5E514CF7">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8"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4"/>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00061"/>
    <w:rsid w:val="00001C65"/>
    <w:rsid w:val="000033DD"/>
    <w:rsid w:val="00004478"/>
    <w:rsid w:val="00007612"/>
    <w:rsid w:val="00007C0C"/>
    <w:rsid w:val="0001012B"/>
    <w:rsid w:val="00010DCC"/>
    <w:rsid w:val="00011736"/>
    <w:rsid w:val="00014558"/>
    <w:rsid w:val="00014DB8"/>
    <w:rsid w:val="00016786"/>
    <w:rsid w:val="000203B8"/>
    <w:rsid w:val="00020DC4"/>
    <w:rsid w:val="000213BA"/>
    <w:rsid w:val="00021E4D"/>
    <w:rsid w:val="00021E84"/>
    <w:rsid w:val="0002631F"/>
    <w:rsid w:val="00027556"/>
    <w:rsid w:val="00027764"/>
    <w:rsid w:val="0002784A"/>
    <w:rsid w:val="000304DB"/>
    <w:rsid w:val="00030E26"/>
    <w:rsid w:val="00030F75"/>
    <w:rsid w:val="0003226E"/>
    <w:rsid w:val="00032A7C"/>
    <w:rsid w:val="00034722"/>
    <w:rsid w:val="00036104"/>
    <w:rsid w:val="000376A9"/>
    <w:rsid w:val="000378A6"/>
    <w:rsid w:val="00044395"/>
    <w:rsid w:val="00044C9B"/>
    <w:rsid w:val="0004611D"/>
    <w:rsid w:val="0004679E"/>
    <w:rsid w:val="00047145"/>
    <w:rsid w:val="0005060F"/>
    <w:rsid w:val="00050818"/>
    <w:rsid w:val="000521B5"/>
    <w:rsid w:val="000522D3"/>
    <w:rsid w:val="00052986"/>
    <w:rsid w:val="00052A55"/>
    <w:rsid w:val="00052F63"/>
    <w:rsid w:val="000553B7"/>
    <w:rsid w:val="00056135"/>
    <w:rsid w:val="0005690F"/>
    <w:rsid w:val="0006075D"/>
    <w:rsid w:val="0006299F"/>
    <w:rsid w:val="0006397B"/>
    <w:rsid w:val="00065DC8"/>
    <w:rsid w:val="00067ED5"/>
    <w:rsid w:val="0007178E"/>
    <w:rsid w:val="00071E59"/>
    <w:rsid w:val="00072394"/>
    <w:rsid w:val="00074C28"/>
    <w:rsid w:val="00075ABD"/>
    <w:rsid w:val="000774DD"/>
    <w:rsid w:val="000800AA"/>
    <w:rsid w:val="000801DA"/>
    <w:rsid w:val="000805AD"/>
    <w:rsid w:val="00080F1A"/>
    <w:rsid w:val="00081EBE"/>
    <w:rsid w:val="00081F0F"/>
    <w:rsid w:val="00082501"/>
    <w:rsid w:val="0008290F"/>
    <w:rsid w:val="00082DC9"/>
    <w:rsid w:val="0008368C"/>
    <w:rsid w:val="00085900"/>
    <w:rsid w:val="0008600F"/>
    <w:rsid w:val="000877BF"/>
    <w:rsid w:val="00090EEB"/>
    <w:rsid w:val="00091745"/>
    <w:rsid w:val="00091C43"/>
    <w:rsid w:val="0009223C"/>
    <w:rsid w:val="00092A2E"/>
    <w:rsid w:val="00093C56"/>
    <w:rsid w:val="00096378"/>
    <w:rsid w:val="000972D3"/>
    <w:rsid w:val="0009746D"/>
    <w:rsid w:val="00097479"/>
    <w:rsid w:val="000A115F"/>
    <w:rsid w:val="000A18B1"/>
    <w:rsid w:val="000A221A"/>
    <w:rsid w:val="000A31F5"/>
    <w:rsid w:val="000A36A1"/>
    <w:rsid w:val="000A4285"/>
    <w:rsid w:val="000B0CAF"/>
    <w:rsid w:val="000B4EEC"/>
    <w:rsid w:val="000B6265"/>
    <w:rsid w:val="000B6307"/>
    <w:rsid w:val="000B70FF"/>
    <w:rsid w:val="000B7489"/>
    <w:rsid w:val="000C06A4"/>
    <w:rsid w:val="000C1288"/>
    <w:rsid w:val="000C17AD"/>
    <w:rsid w:val="000C2250"/>
    <w:rsid w:val="000C276C"/>
    <w:rsid w:val="000C4805"/>
    <w:rsid w:val="000C49E7"/>
    <w:rsid w:val="000C4EB8"/>
    <w:rsid w:val="000C5BE8"/>
    <w:rsid w:val="000D180F"/>
    <w:rsid w:val="000D2770"/>
    <w:rsid w:val="000D4DDF"/>
    <w:rsid w:val="000D5EC1"/>
    <w:rsid w:val="000D5F2E"/>
    <w:rsid w:val="000E1C03"/>
    <w:rsid w:val="000E1C1F"/>
    <w:rsid w:val="000E2079"/>
    <w:rsid w:val="000E2F4C"/>
    <w:rsid w:val="000E3AAF"/>
    <w:rsid w:val="000E5015"/>
    <w:rsid w:val="000E5844"/>
    <w:rsid w:val="000E74B2"/>
    <w:rsid w:val="000F01F2"/>
    <w:rsid w:val="000F1171"/>
    <w:rsid w:val="000F267F"/>
    <w:rsid w:val="000F2CD4"/>
    <w:rsid w:val="000F2EBC"/>
    <w:rsid w:val="000F3231"/>
    <w:rsid w:val="000F3285"/>
    <w:rsid w:val="000F36A8"/>
    <w:rsid w:val="000F37AB"/>
    <w:rsid w:val="000F43B5"/>
    <w:rsid w:val="000F4DE3"/>
    <w:rsid w:val="000F5060"/>
    <w:rsid w:val="000F524D"/>
    <w:rsid w:val="000F5B9D"/>
    <w:rsid w:val="000F7CF5"/>
    <w:rsid w:val="00100ADE"/>
    <w:rsid w:val="00101677"/>
    <w:rsid w:val="00101B99"/>
    <w:rsid w:val="00102130"/>
    <w:rsid w:val="0010236E"/>
    <w:rsid w:val="001032B9"/>
    <w:rsid w:val="00103DC9"/>
    <w:rsid w:val="0010521A"/>
    <w:rsid w:val="00105641"/>
    <w:rsid w:val="00105B21"/>
    <w:rsid w:val="00110279"/>
    <w:rsid w:val="001103E5"/>
    <w:rsid w:val="00110CF4"/>
    <w:rsid w:val="0011212E"/>
    <w:rsid w:val="00112925"/>
    <w:rsid w:val="00112A88"/>
    <w:rsid w:val="00113325"/>
    <w:rsid w:val="00113371"/>
    <w:rsid w:val="00113900"/>
    <w:rsid w:val="00113E6D"/>
    <w:rsid w:val="00113FC8"/>
    <w:rsid w:val="00115865"/>
    <w:rsid w:val="00115939"/>
    <w:rsid w:val="001213DE"/>
    <w:rsid w:val="0012287A"/>
    <w:rsid w:val="00122C39"/>
    <w:rsid w:val="001230C8"/>
    <w:rsid w:val="00123704"/>
    <w:rsid w:val="00123DE6"/>
    <w:rsid w:val="00124B3E"/>
    <w:rsid w:val="00124E1B"/>
    <w:rsid w:val="00125DD9"/>
    <w:rsid w:val="00127DB2"/>
    <w:rsid w:val="00136156"/>
    <w:rsid w:val="001413D8"/>
    <w:rsid w:val="00141B09"/>
    <w:rsid w:val="00144D4B"/>
    <w:rsid w:val="001459BC"/>
    <w:rsid w:val="00146A94"/>
    <w:rsid w:val="00147292"/>
    <w:rsid w:val="0015123D"/>
    <w:rsid w:val="001518E8"/>
    <w:rsid w:val="00152359"/>
    <w:rsid w:val="00152E89"/>
    <w:rsid w:val="00153468"/>
    <w:rsid w:val="00154822"/>
    <w:rsid w:val="001618C7"/>
    <w:rsid w:val="001632CD"/>
    <w:rsid w:val="00164455"/>
    <w:rsid w:val="00165455"/>
    <w:rsid w:val="00167746"/>
    <w:rsid w:val="00175AAF"/>
    <w:rsid w:val="00176A7B"/>
    <w:rsid w:val="00176DEB"/>
    <w:rsid w:val="00177052"/>
    <w:rsid w:val="001770F3"/>
    <w:rsid w:val="00177989"/>
    <w:rsid w:val="0018029B"/>
    <w:rsid w:val="001805CE"/>
    <w:rsid w:val="00182C05"/>
    <w:rsid w:val="001849D3"/>
    <w:rsid w:val="00185956"/>
    <w:rsid w:val="001863B1"/>
    <w:rsid w:val="00186950"/>
    <w:rsid w:val="00187781"/>
    <w:rsid w:val="00190573"/>
    <w:rsid w:val="001908CA"/>
    <w:rsid w:val="0019101F"/>
    <w:rsid w:val="00191A96"/>
    <w:rsid w:val="0019278D"/>
    <w:rsid w:val="00193B63"/>
    <w:rsid w:val="00194F91"/>
    <w:rsid w:val="0019524D"/>
    <w:rsid w:val="001962DE"/>
    <w:rsid w:val="00197862"/>
    <w:rsid w:val="001A0F4E"/>
    <w:rsid w:val="001A134C"/>
    <w:rsid w:val="001A2ED8"/>
    <w:rsid w:val="001A388C"/>
    <w:rsid w:val="001A40C9"/>
    <w:rsid w:val="001A4F58"/>
    <w:rsid w:val="001A54B4"/>
    <w:rsid w:val="001A55B7"/>
    <w:rsid w:val="001A5C80"/>
    <w:rsid w:val="001A6AF6"/>
    <w:rsid w:val="001A78EF"/>
    <w:rsid w:val="001B315A"/>
    <w:rsid w:val="001B466D"/>
    <w:rsid w:val="001B5F6C"/>
    <w:rsid w:val="001C0E83"/>
    <w:rsid w:val="001C115A"/>
    <w:rsid w:val="001C14CD"/>
    <w:rsid w:val="001C1938"/>
    <w:rsid w:val="001C39B6"/>
    <w:rsid w:val="001C4C15"/>
    <w:rsid w:val="001C53B8"/>
    <w:rsid w:val="001C66E9"/>
    <w:rsid w:val="001C7DF4"/>
    <w:rsid w:val="001D1989"/>
    <w:rsid w:val="001D2043"/>
    <w:rsid w:val="001D2865"/>
    <w:rsid w:val="001D2ABD"/>
    <w:rsid w:val="001D6230"/>
    <w:rsid w:val="001D6457"/>
    <w:rsid w:val="001D66BA"/>
    <w:rsid w:val="001E0E11"/>
    <w:rsid w:val="001E11B0"/>
    <w:rsid w:val="001E1A75"/>
    <w:rsid w:val="001E1BDE"/>
    <w:rsid w:val="001E25DF"/>
    <w:rsid w:val="001E2C3E"/>
    <w:rsid w:val="001E2CC6"/>
    <w:rsid w:val="001E2CD1"/>
    <w:rsid w:val="001E3313"/>
    <w:rsid w:val="001E3C5D"/>
    <w:rsid w:val="001E4144"/>
    <w:rsid w:val="001E4F1C"/>
    <w:rsid w:val="001E5E72"/>
    <w:rsid w:val="001F07DA"/>
    <w:rsid w:val="001F0D76"/>
    <w:rsid w:val="001F0E4B"/>
    <w:rsid w:val="001F3334"/>
    <w:rsid w:val="001F5B24"/>
    <w:rsid w:val="001F60FA"/>
    <w:rsid w:val="001F631B"/>
    <w:rsid w:val="001F7017"/>
    <w:rsid w:val="001F7368"/>
    <w:rsid w:val="001F76FB"/>
    <w:rsid w:val="001F7FDB"/>
    <w:rsid w:val="0020253B"/>
    <w:rsid w:val="0020515D"/>
    <w:rsid w:val="002057FA"/>
    <w:rsid w:val="002062E7"/>
    <w:rsid w:val="00206AEC"/>
    <w:rsid w:val="00207EEA"/>
    <w:rsid w:val="0021472A"/>
    <w:rsid w:val="00214885"/>
    <w:rsid w:val="00215868"/>
    <w:rsid w:val="00215DCB"/>
    <w:rsid w:val="002162C0"/>
    <w:rsid w:val="00216758"/>
    <w:rsid w:val="002168C5"/>
    <w:rsid w:val="00222620"/>
    <w:rsid w:val="00222CD1"/>
    <w:rsid w:val="0022344B"/>
    <w:rsid w:val="002238B9"/>
    <w:rsid w:val="00224A3E"/>
    <w:rsid w:val="0022596C"/>
    <w:rsid w:val="0022677F"/>
    <w:rsid w:val="00226EBB"/>
    <w:rsid w:val="00226F4F"/>
    <w:rsid w:val="00227080"/>
    <w:rsid w:val="00227380"/>
    <w:rsid w:val="00227BCF"/>
    <w:rsid w:val="002305F4"/>
    <w:rsid w:val="002307EC"/>
    <w:rsid w:val="00231746"/>
    <w:rsid w:val="00231828"/>
    <w:rsid w:val="0023254C"/>
    <w:rsid w:val="002349E1"/>
    <w:rsid w:val="00234EFD"/>
    <w:rsid w:val="00235CA6"/>
    <w:rsid w:val="00237F57"/>
    <w:rsid w:val="00240CA1"/>
    <w:rsid w:val="002414C8"/>
    <w:rsid w:val="00243ACE"/>
    <w:rsid w:val="00243F14"/>
    <w:rsid w:val="002445B4"/>
    <w:rsid w:val="00246035"/>
    <w:rsid w:val="00246804"/>
    <w:rsid w:val="00246BF5"/>
    <w:rsid w:val="002504B6"/>
    <w:rsid w:val="00250BDC"/>
    <w:rsid w:val="00251EC1"/>
    <w:rsid w:val="00252FF4"/>
    <w:rsid w:val="0025593C"/>
    <w:rsid w:val="002570F3"/>
    <w:rsid w:val="00261061"/>
    <w:rsid w:val="00262944"/>
    <w:rsid w:val="00263238"/>
    <w:rsid w:val="00263373"/>
    <w:rsid w:val="00263784"/>
    <w:rsid w:val="0026398F"/>
    <w:rsid w:val="00263E2B"/>
    <w:rsid w:val="00263F6C"/>
    <w:rsid w:val="00265C50"/>
    <w:rsid w:val="00266714"/>
    <w:rsid w:val="0026693D"/>
    <w:rsid w:val="00271F92"/>
    <w:rsid w:val="00272031"/>
    <w:rsid w:val="00272BCB"/>
    <w:rsid w:val="002758FF"/>
    <w:rsid w:val="00275E49"/>
    <w:rsid w:val="00276103"/>
    <w:rsid w:val="00276211"/>
    <w:rsid w:val="00276815"/>
    <w:rsid w:val="00276A45"/>
    <w:rsid w:val="00277112"/>
    <w:rsid w:val="00277266"/>
    <w:rsid w:val="00277982"/>
    <w:rsid w:val="0028411A"/>
    <w:rsid w:val="0028477D"/>
    <w:rsid w:val="00284B6E"/>
    <w:rsid w:val="002858F7"/>
    <w:rsid w:val="002869A3"/>
    <w:rsid w:val="00286D2C"/>
    <w:rsid w:val="00287C25"/>
    <w:rsid w:val="00287C78"/>
    <w:rsid w:val="002903D4"/>
    <w:rsid w:val="002916D7"/>
    <w:rsid w:val="0029337E"/>
    <w:rsid w:val="00293B41"/>
    <w:rsid w:val="00294201"/>
    <w:rsid w:val="0029509A"/>
    <w:rsid w:val="00297099"/>
    <w:rsid w:val="002979C7"/>
    <w:rsid w:val="00297D21"/>
    <w:rsid w:val="002A0055"/>
    <w:rsid w:val="002A045B"/>
    <w:rsid w:val="002A1D27"/>
    <w:rsid w:val="002A221E"/>
    <w:rsid w:val="002A45B6"/>
    <w:rsid w:val="002A4A82"/>
    <w:rsid w:val="002A4BFB"/>
    <w:rsid w:val="002A534D"/>
    <w:rsid w:val="002B01ED"/>
    <w:rsid w:val="002B3DCF"/>
    <w:rsid w:val="002B45E6"/>
    <w:rsid w:val="002B471A"/>
    <w:rsid w:val="002B4B5F"/>
    <w:rsid w:val="002B5CB0"/>
    <w:rsid w:val="002B64E5"/>
    <w:rsid w:val="002B7B03"/>
    <w:rsid w:val="002C05C7"/>
    <w:rsid w:val="002C10EF"/>
    <w:rsid w:val="002C12DD"/>
    <w:rsid w:val="002C1E1F"/>
    <w:rsid w:val="002C2BB1"/>
    <w:rsid w:val="002C30E3"/>
    <w:rsid w:val="002C4CF8"/>
    <w:rsid w:val="002C6DCA"/>
    <w:rsid w:val="002C7638"/>
    <w:rsid w:val="002C7E90"/>
    <w:rsid w:val="002D064A"/>
    <w:rsid w:val="002D07F5"/>
    <w:rsid w:val="002D0A5D"/>
    <w:rsid w:val="002D198B"/>
    <w:rsid w:val="002D276F"/>
    <w:rsid w:val="002D3766"/>
    <w:rsid w:val="002D4C3E"/>
    <w:rsid w:val="002D5E29"/>
    <w:rsid w:val="002D6110"/>
    <w:rsid w:val="002D7DCB"/>
    <w:rsid w:val="002E0522"/>
    <w:rsid w:val="002E0700"/>
    <w:rsid w:val="002E091E"/>
    <w:rsid w:val="002E1752"/>
    <w:rsid w:val="002E3098"/>
    <w:rsid w:val="002E3A3F"/>
    <w:rsid w:val="002E619E"/>
    <w:rsid w:val="002F0056"/>
    <w:rsid w:val="002F0116"/>
    <w:rsid w:val="002F1710"/>
    <w:rsid w:val="002F23B6"/>
    <w:rsid w:val="002F276A"/>
    <w:rsid w:val="002F2907"/>
    <w:rsid w:val="002F3448"/>
    <w:rsid w:val="002F48F6"/>
    <w:rsid w:val="002F755E"/>
    <w:rsid w:val="003000F6"/>
    <w:rsid w:val="00300E19"/>
    <w:rsid w:val="00300EC3"/>
    <w:rsid w:val="003028B5"/>
    <w:rsid w:val="00303948"/>
    <w:rsid w:val="0030477D"/>
    <w:rsid w:val="00304DCF"/>
    <w:rsid w:val="00304F96"/>
    <w:rsid w:val="00305E19"/>
    <w:rsid w:val="003073DD"/>
    <w:rsid w:val="00310CBB"/>
    <w:rsid w:val="003118B7"/>
    <w:rsid w:val="00314037"/>
    <w:rsid w:val="00314091"/>
    <w:rsid w:val="00314698"/>
    <w:rsid w:val="00317EEA"/>
    <w:rsid w:val="0032081E"/>
    <w:rsid w:val="00320A7B"/>
    <w:rsid w:val="00320BA4"/>
    <w:rsid w:val="00320FA1"/>
    <w:rsid w:val="0032342E"/>
    <w:rsid w:val="00323648"/>
    <w:rsid w:val="00323940"/>
    <w:rsid w:val="00324CDA"/>
    <w:rsid w:val="003268A2"/>
    <w:rsid w:val="00327126"/>
    <w:rsid w:val="00327BF3"/>
    <w:rsid w:val="00330808"/>
    <w:rsid w:val="00330C2B"/>
    <w:rsid w:val="003315AC"/>
    <w:rsid w:val="00332A53"/>
    <w:rsid w:val="00334FDD"/>
    <w:rsid w:val="0033710F"/>
    <w:rsid w:val="003405AC"/>
    <w:rsid w:val="00340B66"/>
    <w:rsid w:val="00341784"/>
    <w:rsid w:val="00341973"/>
    <w:rsid w:val="00341ED4"/>
    <w:rsid w:val="00342206"/>
    <w:rsid w:val="0034259E"/>
    <w:rsid w:val="003434DD"/>
    <w:rsid w:val="00344991"/>
    <w:rsid w:val="00345870"/>
    <w:rsid w:val="003461C6"/>
    <w:rsid w:val="00346BA2"/>
    <w:rsid w:val="00350608"/>
    <w:rsid w:val="00351EAC"/>
    <w:rsid w:val="00351F32"/>
    <w:rsid w:val="00355399"/>
    <w:rsid w:val="0035611F"/>
    <w:rsid w:val="00356165"/>
    <w:rsid w:val="00356C67"/>
    <w:rsid w:val="003601E6"/>
    <w:rsid w:val="00360D2C"/>
    <w:rsid w:val="00361B9D"/>
    <w:rsid w:val="00362261"/>
    <w:rsid w:val="0036242B"/>
    <w:rsid w:val="00363598"/>
    <w:rsid w:val="00364DDE"/>
    <w:rsid w:val="00365433"/>
    <w:rsid w:val="00366B99"/>
    <w:rsid w:val="00370184"/>
    <w:rsid w:val="003722CE"/>
    <w:rsid w:val="00372AD3"/>
    <w:rsid w:val="0037696C"/>
    <w:rsid w:val="0038252F"/>
    <w:rsid w:val="00383529"/>
    <w:rsid w:val="00383689"/>
    <w:rsid w:val="00384AB7"/>
    <w:rsid w:val="00384B77"/>
    <w:rsid w:val="0038513D"/>
    <w:rsid w:val="003868C8"/>
    <w:rsid w:val="003874D7"/>
    <w:rsid w:val="00393088"/>
    <w:rsid w:val="003937BC"/>
    <w:rsid w:val="003970FE"/>
    <w:rsid w:val="00397520"/>
    <w:rsid w:val="00397AB2"/>
    <w:rsid w:val="003A05EE"/>
    <w:rsid w:val="003A0676"/>
    <w:rsid w:val="003A075F"/>
    <w:rsid w:val="003A0FC0"/>
    <w:rsid w:val="003A243E"/>
    <w:rsid w:val="003A297F"/>
    <w:rsid w:val="003A38ED"/>
    <w:rsid w:val="003A3ADE"/>
    <w:rsid w:val="003A5C89"/>
    <w:rsid w:val="003A7E76"/>
    <w:rsid w:val="003B3D01"/>
    <w:rsid w:val="003B43D1"/>
    <w:rsid w:val="003B5883"/>
    <w:rsid w:val="003B6F01"/>
    <w:rsid w:val="003B73A5"/>
    <w:rsid w:val="003B7611"/>
    <w:rsid w:val="003C0348"/>
    <w:rsid w:val="003C112D"/>
    <w:rsid w:val="003C2C5D"/>
    <w:rsid w:val="003C2D2E"/>
    <w:rsid w:val="003C32C2"/>
    <w:rsid w:val="003C382E"/>
    <w:rsid w:val="003C3FA6"/>
    <w:rsid w:val="003C4244"/>
    <w:rsid w:val="003C4A66"/>
    <w:rsid w:val="003C6341"/>
    <w:rsid w:val="003C63EE"/>
    <w:rsid w:val="003C6B82"/>
    <w:rsid w:val="003D39A2"/>
    <w:rsid w:val="003D3A9B"/>
    <w:rsid w:val="003D5B45"/>
    <w:rsid w:val="003D622C"/>
    <w:rsid w:val="003D6C05"/>
    <w:rsid w:val="003D7B6C"/>
    <w:rsid w:val="003E141D"/>
    <w:rsid w:val="003E1EB6"/>
    <w:rsid w:val="003E3949"/>
    <w:rsid w:val="003E395C"/>
    <w:rsid w:val="003E3E56"/>
    <w:rsid w:val="003E5BDF"/>
    <w:rsid w:val="003E5F2C"/>
    <w:rsid w:val="003E6732"/>
    <w:rsid w:val="003E787E"/>
    <w:rsid w:val="003F077F"/>
    <w:rsid w:val="003F1173"/>
    <w:rsid w:val="003F1A4B"/>
    <w:rsid w:val="003F1FFE"/>
    <w:rsid w:val="003F2109"/>
    <w:rsid w:val="003F21F3"/>
    <w:rsid w:val="003F2FD4"/>
    <w:rsid w:val="003F4040"/>
    <w:rsid w:val="003F40CD"/>
    <w:rsid w:val="003F6471"/>
    <w:rsid w:val="003F6664"/>
    <w:rsid w:val="004009F1"/>
    <w:rsid w:val="00400B76"/>
    <w:rsid w:val="00402880"/>
    <w:rsid w:val="00402B0B"/>
    <w:rsid w:val="004033AD"/>
    <w:rsid w:val="00403E0E"/>
    <w:rsid w:val="004055E1"/>
    <w:rsid w:val="00406C2D"/>
    <w:rsid w:val="00407500"/>
    <w:rsid w:val="00410026"/>
    <w:rsid w:val="004105F5"/>
    <w:rsid w:val="00411CC5"/>
    <w:rsid w:val="00414BEA"/>
    <w:rsid w:val="004150B6"/>
    <w:rsid w:val="00415BC4"/>
    <w:rsid w:val="004173EC"/>
    <w:rsid w:val="00417BE7"/>
    <w:rsid w:val="00417F65"/>
    <w:rsid w:val="00421EE9"/>
    <w:rsid w:val="00422FBB"/>
    <w:rsid w:val="0042415A"/>
    <w:rsid w:val="004243AD"/>
    <w:rsid w:val="00424CDF"/>
    <w:rsid w:val="00425D17"/>
    <w:rsid w:val="00426700"/>
    <w:rsid w:val="00426BEF"/>
    <w:rsid w:val="00427241"/>
    <w:rsid w:val="00430446"/>
    <w:rsid w:val="00430D8B"/>
    <w:rsid w:val="00432C0B"/>
    <w:rsid w:val="00432DD7"/>
    <w:rsid w:val="00433455"/>
    <w:rsid w:val="004335C8"/>
    <w:rsid w:val="004337E0"/>
    <w:rsid w:val="00434540"/>
    <w:rsid w:val="00435D56"/>
    <w:rsid w:val="00435F70"/>
    <w:rsid w:val="0044030D"/>
    <w:rsid w:val="00440429"/>
    <w:rsid w:val="00440CB2"/>
    <w:rsid w:val="00442595"/>
    <w:rsid w:val="00443674"/>
    <w:rsid w:val="004436DF"/>
    <w:rsid w:val="004440B2"/>
    <w:rsid w:val="00445CF5"/>
    <w:rsid w:val="0044617C"/>
    <w:rsid w:val="00446326"/>
    <w:rsid w:val="004467E7"/>
    <w:rsid w:val="00446904"/>
    <w:rsid w:val="00450811"/>
    <w:rsid w:val="00450C35"/>
    <w:rsid w:val="004518D4"/>
    <w:rsid w:val="004519B6"/>
    <w:rsid w:val="00451F77"/>
    <w:rsid w:val="00452CAA"/>
    <w:rsid w:val="0045300C"/>
    <w:rsid w:val="004540A3"/>
    <w:rsid w:val="00455326"/>
    <w:rsid w:val="00457749"/>
    <w:rsid w:val="00460033"/>
    <w:rsid w:val="0046230C"/>
    <w:rsid w:val="00462D22"/>
    <w:rsid w:val="00463903"/>
    <w:rsid w:val="00464042"/>
    <w:rsid w:val="004640B1"/>
    <w:rsid w:val="0046468F"/>
    <w:rsid w:val="004646BA"/>
    <w:rsid w:val="004654A1"/>
    <w:rsid w:val="00470156"/>
    <w:rsid w:val="004702C9"/>
    <w:rsid w:val="0047056D"/>
    <w:rsid w:val="004734D3"/>
    <w:rsid w:val="0047378D"/>
    <w:rsid w:val="0047473A"/>
    <w:rsid w:val="00475D8E"/>
    <w:rsid w:val="0048037B"/>
    <w:rsid w:val="004803ED"/>
    <w:rsid w:val="0048088A"/>
    <w:rsid w:val="004810ED"/>
    <w:rsid w:val="0048176E"/>
    <w:rsid w:val="00481D87"/>
    <w:rsid w:val="0048246B"/>
    <w:rsid w:val="0048382F"/>
    <w:rsid w:val="00485B4F"/>
    <w:rsid w:val="004868B1"/>
    <w:rsid w:val="004870A6"/>
    <w:rsid w:val="00487685"/>
    <w:rsid w:val="0048787E"/>
    <w:rsid w:val="00487A6A"/>
    <w:rsid w:val="00492089"/>
    <w:rsid w:val="00492B83"/>
    <w:rsid w:val="00492C22"/>
    <w:rsid w:val="00492CE0"/>
    <w:rsid w:val="00492EE6"/>
    <w:rsid w:val="0049422F"/>
    <w:rsid w:val="00494E3B"/>
    <w:rsid w:val="00496CBD"/>
    <w:rsid w:val="004A13D9"/>
    <w:rsid w:val="004A16B3"/>
    <w:rsid w:val="004A1C62"/>
    <w:rsid w:val="004A2C3B"/>
    <w:rsid w:val="004A39AC"/>
    <w:rsid w:val="004B25F7"/>
    <w:rsid w:val="004B4527"/>
    <w:rsid w:val="004B567A"/>
    <w:rsid w:val="004B5F95"/>
    <w:rsid w:val="004B75E5"/>
    <w:rsid w:val="004B7A2C"/>
    <w:rsid w:val="004C04B9"/>
    <w:rsid w:val="004C208E"/>
    <w:rsid w:val="004C326A"/>
    <w:rsid w:val="004C3E9B"/>
    <w:rsid w:val="004C4271"/>
    <w:rsid w:val="004C51C8"/>
    <w:rsid w:val="004C5C29"/>
    <w:rsid w:val="004C6138"/>
    <w:rsid w:val="004D0468"/>
    <w:rsid w:val="004D0EA1"/>
    <w:rsid w:val="004D1BAB"/>
    <w:rsid w:val="004D2292"/>
    <w:rsid w:val="004D3165"/>
    <w:rsid w:val="004D4B1F"/>
    <w:rsid w:val="004D544D"/>
    <w:rsid w:val="004D58DF"/>
    <w:rsid w:val="004D64CC"/>
    <w:rsid w:val="004D6F93"/>
    <w:rsid w:val="004D7681"/>
    <w:rsid w:val="004E1117"/>
    <w:rsid w:val="004E1E95"/>
    <w:rsid w:val="004E273E"/>
    <w:rsid w:val="004E2846"/>
    <w:rsid w:val="004E54D7"/>
    <w:rsid w:val="004E5E12"/>
    <w:rsid w:val="004E5F30"/>
    <w:rsid w:val="004E683F"/>
    <w:rsid w:val="004E70ED"/>
    <w:rsid w:val="004E7395"/>
    <w:rsid w:val="004F0AC3"/>
    <w:rsid w:val="004F0C13"/>
    <w:rsid w:val="004F1217"/>
    <w:rsid w:val="004F1750"/>
    <w:rsid w:val="004F2D0E"/>
    <w:rsid w:val="004F32F7"/>
    <w:rsid w:val="004F4B0A"/>
    <w:rsid w:val="004F4DB2"/>
    <w:rsid w:val="004F5212"/>
    <w:rsid w:val="004F5BCA"/>
    <w:rsid w:val="004F6230"/>
    <w:rsid w:val="004F73B6"/>
    <w:rsid w:val="004F7D7E"/>
    <w:rsid w:val="00501EAD"/>
    <w:rsid w:val="00502B9A"/>
    <w:rsid w:val="005040DF"/>
    <w:rsid w:val="005048D5"/>
    <w:rsid w:val="00504A50"/>
    <w:rsid w:val="00504B5E"/>
    <w:rsid w:val="00505386"/>
    <w:rsid w:val="00507501"/>
    <w:rsid w:val="00507C6F"/>
    <w:rsid w:val="00510926"/>
    <w:rsid w:val="00511434"/>
    <w:rsid w:val="005118CE"/>
    <w:rsid w:val="00512C97"/>
    <w:rsid w:val="005147BE"/>
    <w:rsid w:val="00516873"/>
    <w:rsid w:val="00516BA3"/>
    <w:rsid w:val="00516C24"/>
    <w:rsid w:val="00517D7F"/>
    <w:rsid w:val="00520CBE"/>
    <w:rsid w:val="0052139F"/>
    <w:rsid w:val="0052303D"/>
    <w:rsid w:val="00523292"/>
    <w:rsid w:val="0052389F"/>
    <w:rsid w:val="005243E3"/>
    <w:rsid w:val="00524464"/>
    <w:rsid w:val="00524B19"/>
    <w:rsid w:val="00526FEE"/>
    <w:rsid w:val="00527C57"/>
    <w:rsid w:val="00531F78"/>
    <w:rsid w:val="005326FE"/>
    <w:rsid w:val="005336D2"/>
    <w:rsid w:val="00533832"/>
    <w:rsid w:val="00534221"/>
    <w:rsid w:val="00534D1A"/>
    <w:rsid w:val="00536DE0"/>
    <w:rsid w:val="0054024A"/>
    <w:rsid w:val="00541737"/>
    <w:rsid w:val="0054188D"/>
    <w:rsid w:val="005425CC"/>
    <w:rsid w:val="005433AA"/>
    <w:rsid w:val="00544443"/>
    <w:rsid w:val="00544799"/>
    <w:rsid w:val="00545FB3"/>
    <w:rsid w:val="00552503"/>
    <w:rsid w:val="00553D44"/>
    <w:rsid w:val="00555CDD"/>
    <w:rsid w:val="0055612F"/>
    <w:rsid w:val="00556CB7"/>
    <w:rsid w:val="00556F49"/>
    <w:rsid w:val="00560EEC"/>
    <w:rsid w:val="00560F0D"/>
    <w:rsid w:val="00561BFE"/>
    <w:rsid w:val="005621FC"/>
    <w:rsid w:val="005631F6"/>
    <w:rsid w:val="005637CC"/>
    <w:rsid w:val="00563CD3"/>
    <w:rsid w:val="0056468C"/>
    <w:rsid w:val="00566FF3"/>
    <w:rsid w:val="0056730E"/>
    <w:rsid w:val="00570DA8"/>
    <w:rsid w:val="00570EF2"/>
    <w:rsid w:val="005716A2"/>
    <w:rsid w:val="00572A52"/>
    <w:rsid w:val="00572A9D"/>
    <w:rsid w:val="00573650"/>
    <w:rsid w:val="00576FB7"/>
    <w:rsid w:val="005774C1"/>
    <w:rsid w:val="005776E1"/>
    <w:rsid w:val="00580FEF"/>
    <w:rsid w:val="0058153C"/>
    <w:rsid w:val="005816BD"/>
    <w:rsid w:val="00581B73"/>
    <w:rsid w:val="00582060"/>
    <w:rsid w:val="00582D57"/>
    <w:rsid w:val="005837EB"/>
    <w:rsid w:val="00584A1A"/>
    <w:rsid w:val="005904AB"/>
    <w:rsid w:val="00592EB7"/>
    <w:rsid w:val="00594E39"/>
    <w:rsid w:val="0059541C"/>
    <w:rsid w:val="0059578F"/>
    <w:rsid w:val="005A0A9B"/>
    <w:rsid w:val="005A0E23"/>
    <w:rsid w:val="005A1833"/>
    <w:rsid w:val="005A317F"/>
    <w:rsid w:val="005A40C7"/>
    <w:rsid w:val="005A49EA"/>
    <w:rsid w:val="005A4B9A"/>
    <w:rsid w:val="005A5F39"/>
    <w:rsid w:val="005A6169"/>
    <w:rsid w:val="005A6905"/>
    <w:rsid w:val="005A7164"/>
    <w:rsid w:val="005A7491"/>
    <w:rsid w:val="005A76DB"/>
    <w:rsid w:val="005A7F4F"/>
    <w:rsid w:val="005B034E"/>
    <w:rsid w:val="005B3198"/>
    <w:rsid w:val="005B372D"/>
    <w:rsid w:val="005B3D1E"/>
    <w:rsid w:val="005B429F"/>
    <w:rsid w:val="005B432E"/>
    <w:rsid w:val="005B448F"/>
    <w:rsid w:val="005B4F35"/>
    <w:rsid w:val="005B7241"/>
    <w:rsid w:val="005B7633"/>
    <w:rsid w:val="005C00D2"/>
    <w:rsid w:val="005C0B8C"/>
    <w:rsid w:val="005C1B7B"/>
    <w:rsid w:val="005C1C6F"/>
    <w:rsid w:val="005C2198"/>
    <w:rsid w:val="005C2385"/>
    <w:rsid w:val="005C535A"/>
    <w:rsid w:val="005C5ABD"/>
    <w:rsid w:val="005C66A9"/>
    <w:rsid w:val="005C780F"/>
    <w:rsid w:val="005C788D"/>
    <w:rsid w:val="005C7C68"/>
    <w:rsid w:val="005D11DE"/>
    <w:rsid w:val="005D2CD2"/>
    <w:rsid w:val="005D3631"/>
    <w:rsid w:val="005D3A3E"/>
    <w:rsid w:val="005D5552"/>
    <w:rsid w:val="005D6083"/>
    <w:rsid w:val="005D62E4"/>
    <w:rsid w:val="005D7014"/>
    <w:rsid w:val="005D7649"/>
    <w:rsid w:val="005E08DF"/>
    <w:rsid w:val="005E10BC"/>
    <w:rsid w:val="005E1AD7"/>
    <w:rsid w:val="005E2EF1"/>
    <w:rsid w:val="005E4AD4"/>
    <w:rsid w:val="005E5A83"/>
    <w:rsid w:val="005E78C4"/>
    <w:rsid w:val="005F0850"/>
    <w:rsid w:val="005F325A"/>
    <w:rsid w:val="005F35EF"/>
    <w:rsid w:val="005F3C9F"/>
    <w:rsid w:val="005F505C"/>
    <w:rsid w:val="005F522D"/>
    <w:rsid w:val="005F64D1"/>
    <w:rsid w:val="005F67EB"/>
    <w:rsid w:val="006015FE"/>
    <w:rsid w:val="00601D69"/>
    <w:rsid w:val="00603DD8"/>
    <w:rsid w:val="0060430A"/>
    <w:rsid w:val="00604543"/>
    <w:rsid w:val="00606520"/>
    <w:rsid w:val="00607FBB"/>
    <w:rsid w:val="00610CA0"/>
    <w:rsid w:val="006118D3"/>
    <w:rsid w:val="00613060"/>
    <w:rsid w:val="006130C0"/>
    <w:rsid w:val="00613750"/>
    <w:rsid w:val="00614F1B"/>
    <w:rsid w:val="0061555F"/>
    <w:rsid w:val="00616665"/>
    <w:rsid w:val="00616A03"/>
    <w:rsid w:val="00617A31"/>
    <w:rsid w:val="00620A63"/>
    <w:rsid w:val="006259B0"/>
    <w:rsid w:val="006262D9"/>
    <w:rsid w:val="006265D1"/>
    <w:rsid w:val="00627F70"/>
    <w:rsid w:val="00632770"/>
    <w:rsid w:val="006332B1"/>
    <w:rsid w:val="00636337"/>
    <w:rsid w:val="006376AA"/>
    <w:rsid w:val="006400F6"/>
    <w:rsid w:val="006411AF"/>
    <w:rsid w:val="00641786"/>
    <w:rsid w:val="00643DE2"/>
    <w:rsid w:val="00643DEA"/>
    <w:rsid w:val="00645F93"/>
    <w:rsid w:val="00646ECE"/>
    <w:rsid w:val="006470A1"/>
    <w:rsid w:val="006502D5"/>
    <w:rsid w:val="00650D00"/>
    <w:rsid w:val="00651099"/>
    <w:rsid w:val="006511A4"/>
    <w:rsid w:val="006511C5"/>
    <w:rsid w:val="0065162E"/>
    <w:rsid w:val="00652A36"/>
    <w:rsid w:val="00653327"/>
    <w:rsid w:val="00653CD7"/>
    <w:rsid w:val="00654023"/>
    <w:rsid w:val="0065439D"/>
    <w:rsid w:val="006558D4"/>
    <w:rsid w:val="00655E65"/>
    <w:rsid w:val="00656FF6"/>
    <w:rsid w:val="006608FE"/>
    <w:rsid w:val="00661F47"/>
    <w:rsid w:val="00665893"/>
    <w:rsid w:val="006658DB"/>
    <w:rsid w:val="00665CBE"/>
    <w:rsid w:val="006704F7"/>
    <w:rsid w:val="00670AE1"/>
    <w:rsid w:val="00670C10"/>
    <w:rsid w:val="006713C4"/>
    <w:rsid w:val="0067227F"/>
    <w:rsid w:val="00673053"/>
    <w:rsid w:val="00674385"/>
    <w:rsid w:val="006800B2"/>
    <w:rsid w:val="00680784"/>
    <w:rsid w:val="0068097E"/>
    <w:rsid w:val="0068193E"/>
    <w:rsid w:val="00681DB3"/>
    <w:rsid w:val="006839FF"/>
    <w:rsid w:val="0068555E"/>
    <w:rsid w:val="00685721"/>
    <w:rsid w:val="00685D1D"/>
    <w:rsid w:val="0068694A"/>
    <w:rsid w:val="00686AB3"/>
    <w:rsid w:val="00690A6C"/>
    <w:rsid w:val="00690B3C"/>
    <w:rsid w:val="0069143D"/>
    <w:rsid w:val="006915DF"/>
    <w:rsid w:val="006939B2"/>
    <w:rsid w:val="006942A0"/>
    <w:rsid w:val="006962CB"/>
    <w:rsid w:val="00696E6E"/>
    <w:rsid w:val="00697626"/>
    <w:rsid w:val="006A337B"/>
    <w:rsid w:val="006A6D20"/>
    <w:rsid w:val="006A6EBF"/>
    <w:rsid w:val="006A76AE"/>
    <w:rsid w:val="006A7967"/>
    <w:rsid w:val="006A7CA1"/>
    <w:rsid w:val="006B1187"/>
    <w:rsid w:val="006B162D"/>
    <w:rsid w:val="006B2849"/>
    <w:rsid w:val="006B3071"/>
    <w:rsid w:val="006B41CB"/>
    <w:rsid w:val="006B6E4B"/>
    <w:rsid w:val="006C2F51"/>
    <w:rsid w:val="006C3802"/>
    <w:rsid w:val="006C3BAD"/>
    <w:rsid w:val="006C4E93"/>
    <w:rsid w:val="006C57EF"/>
    <w:rsid w:val="006C6AAB"/>
    <w:rsid w:val="006C6F23"/>
    <w:rsid w:val="006D1D24"/>
    <w:rsid w:val="006D33B6"/>
    <w:rsid w:val="006D3E81"/>
    <w:rsid w:val="006D5307"/>
    <w:rsid w:val="006D5925"/>
    <w:rsid w:val="006E004A"/>
    <w:rsid w:val="006E1D4D"/>
    <w:rsid w:val="006E230C"/>
    <w:rsid w:val="006E28F8"/>
    <w:rsid w:val="006E29A8"/>
    <w:rsid w:val="006E2AA2"/>
    <w:rsid w:val="006E2D0E"/>
    <w:rsid w:val="006E3BFB"/>
    <w:rsid w:val="006E3D71"/>
    <w:rsid w:val="006E46D9"/>
    <w:rsid w:val="006E4934"/>
    <w:rsid w:val="006E5337"/>
    <w:rsid w:val="006E6CF8"/>
    <w:rsid w:val="006E7251"/>
    <w:rsid w:val="006E7658"/>
    <w:rsid w:val="006F2C46"/>
    <w:rsid w:val="006F330F"/>
    <w:rsid w:val="006F3830"/>
    <w:rsid w:val="006F3BDB"/>
    <w:rsid w:val="006F54FD"/>
    <w:rsid w:val="006F639B"/>
    <w:rsid w:val="006F6563"/>
    <w:rsid w:val="006F6D5D"/>
    <w:rsid w:val="006F7C73"/>
    <w:rsid w:val="0070078C"/>
    <w:rsid w:val="00702559"/>
    <w:rsid w:val="00702CD4"/>
    <w:rsid w:val="00702F99"/>
    <w:rsid w:val="0070449E"/>
    <w:rsid w:val="00705FD5"/>
    <w:rsid w:val="00706219"/>
    <w:rsid w:val="0070688C"/>
    <w:rsid w:val="00707BDE"/>
    <w:rsid w:val="007129F2"/>
    <w:rsid w:val="0071396B"/>
    <w:rsid w:val="007141A3"/>
    <w:rsid w:val="00717956"/>
    <w:rsid w:val="00717CF8"/>
    <w:rsid w:val="0072014F"/>
    <w:rsid w:val="00720BFD"/>
    <w:rsid w:val="00721F85"/>
    <w:rsid w:val="0072295F"/>
    <w:rsid w:val="007232F1"/>
    <w:rsid w:val="007233D0"/>
    <w:rsid w:val="00723BE1"/>
    <w:rsid w:val="00723DE7"/>
    <w:rsid w:val="00724644"/>
    <w:rsid w:val="007257A4"/>
    <w:rsid w:val="00730BF0"/>
    <w:rsid w:val="00730D76"/>
    <w:rsid w:val="00731335"/>
    <w:rsid w:val="00732E1F"/>
    <w:rsid w:val="00734D74"/>
    <w:rsid w:val="00735C52"/>
    <w:rsid w:val="007367BA"/>
    <w:rsid w:val="00740A24"/>
    <w:rsid w:val="00741582"/>
    <w:rsid w:val="007417F3"/>
    <w:rsid w:val="0074189C"/>
    <w:rsid w:val="00742310"/>
    <w:rsid w:val="007424B2"/>
    <w:rsid w:val="007428A2"/>
    <w:rsid w:val="0074667C"/>
    <w:rsid w:val="00746B51"/>
    <w:rsid w:val="00747ED9"/>
    <w:rsid w:val="00750535"/>
    <w:rsid w:val="00750AE8"/>
    <w:rsid w:val="00750F12"/>
    <w:rsid w:val="00752CCE"/>
    <w:rsid w:val="00754D0E"/>
    <w:rsid w:val="00754E1E"/>
    <w:rsid w:val="0075562C"/>
    <w:rsid w:val="00756F0A"/>
    <w:rsid w:val="007622FF"/>
    <w:rsid w:val="00762A90"/>
    <w:rsid w:val="00762B27"/>
    <w:rsid w:val="00764708"/>
    <w:rsid w:val="007652FE"/>
    <w:rsid w:val="0076579A"/>
    <w:rsid w:val="00765DC3"/>
    <w:rsid w:val="0076639B"/>
    <w:rsid w:val="007663C1"/>
    <w:rsid w:val="00767C4D"/>
    <w:rsid w:val="00767CAA"/>
    <w:rsid w:val="00767FC3"/>
    <w:rsid w:val="0077095F"/>
    <w:rsid w:val="00771A9B"/>
    <w:rsid w:val="007739E6"/>
    <w:rsid w:val="007744C7"/>
    <w:rsid w:val="0077454D"/>
    <w:rsid w:val="00774751"/>
    <w:rsid w:val="00774B35"/>
    <w:rsid w:val="00774DA0"/>
    <w:rsid w:val="00774FEF"/>
    <w:rsid w:val="00775496"/>
    <w:rsid w:val="007759C8"/>
    <w:rsid w:val="00775ADE"/>
    <w:rsid w:val="00775C67"/>
    <w:rsid w:val="00775FCA"/>
    <w:rsid w:val="00776402"/>
    <w:rsid w:val="00776BB8"/>
    <w:rsid w:val="007776FF"/>
    <w:rsid w:val="00784C27"/>
    <w:rsid w:val="00784C3A"/>
    <w:rsid w:val="00785CD2"/>
    <w:rsid w:val="0078605A"/>
    <w:rsid w:val="007866C9"/>
    <w:rsid w:val="0079165D"/>
    <w:rsid w:val="00791808"/>
    <w:rsid w:val="00791F39"/>
    <w:rsid w:val="00793FB0"/>
    <w:rsid w:val="0079583F"/>
    <w:rsid w:val="00795B37"/>
    <w:rsid w:val="00797581"/>
    <w:rsid w:val="00797B09"/>
    <w:rsid w:val="007A0B64"/>
    <w:rsid w:val="007A0FED"/>
    <w:rsid w:val="007A1EAD"/>
    <w:rsid w:val="007A2A4A"/>
    <w:rsid w:val="007A2B11"/>
    <w:rsid w:val="007A34FD"/>
    <w:rsid w:val="007A3A3E"/>
    <w:rsid w:val="007A482B"/>
    <w:rsid w:val="007A55E9"/>
    <w:rsid w:val="007A6951"/>
    <w:rsid w:val="007A7414"/>
    <w:rsid w:val="007A7516"/>
    <w:rsid w:val="007A785E"/>
    <w:rsid w:val="007A7F77"/>
    <w:rsid w:val="007B038C"/>
    <w:rsid w:val="007B05EC"/>
    <w:rsid w:val="007B132B"/>
    <w:rsid w:val="007B19CD"/>
    <w:rsid w:val="007B19EC"/>
    <w:rsid w:val="007B2593"/>
    <w:rsid w:val="007B30F8"/>
    <w:rsid w:val="007B3363"/>
    <w:rsid w:val="007B3EBD"/>
    <w:rsid w:val="007B427B"/>
    <w:rsid w:val="007B5656"/>
    <w:rsid w:val="007B5756"/>
    <w:rsid w:val="007B6C09"/>
    <w:rsid w:val="007B70EA"/>
    <w:rsid w:val="007B7174"/>
    <w:rsid w:val="007C142A"/>
    <w:rsid w:val="007C20FD"/>
    <w:rsid w:val="007C3DBA"/>
    <w:rsid w:val="007C4F6E"/>
    <w:rsid w:val="007C531A"/>
    <w:rsid w:val="007C74DA"/>
    <w:rsid w:val="007C7824"/>
    <w:rsid w:val="007D1310"/>
    <w:rsid w:val="007D2BB6"/>
    <w:rsid w:val="007D36C6"/>
    <w:rsid w:val="007D43D7"/>
    <w:rsid w:val="007D4B97"/>
    <w:rsid w:val="007D644B"/>
    <w:rsid w:val="007D6947"/>
    <w:rsid w:val="007E0CF2"/>
    <w:rsid w:val="007E0D0D"/>
    <w:rsid w:val="007E238E"/>
    <w:rsid w:val="007E30D3"/>
    <w:rsid w:val="007E4566"/>
    <w:rsid w:val="007F0B5A"/>
    <w:rsid w:val="007F3AC3"/>
    <w:rsid w:val="007F4E4F"/>
    <w:rsid w:val="007F5729"/>
    <w:rsid w:val="007F57EB"/>
    <w:rsid w:val="007F6521"/>
    <w:rsid w:val="007F6E10"/>
    <w:rsid w:val="007F71F0"/>
    <w:rsid w:val="00800D73"/>
    <w:rsid w:val="00800FAA"/>
    <w:rsid w:val="008026BB"/>
    <w:rsid w:val="008027D1"/>
    <w:rsid w:val="008045AF"/>
    <w:rsid w:val="00806553"/>
    <w:rsid w:val="0081087D"/>
    <w:rsid w:val="00810A38"/>
    <w:rsid w:val="008115A4"/>
    <w:rsid w:val="008117F4"/>
    <w:rsid w:val="0081467E"/>
    <w:rsid w:val="00816E7F"/>
    <w:rsid w:val="008174C2"/>
    <w:rsid w:val="00817CBA"/>
    <w:rsid w:val="0082269F"/>
    <w:rsid w:val="00822E0D"/>
    <w:rsid w:val="008242E0"/>
    <w:rsid w:val="00824307"/>
    <w:rsid w:val="008254A7"/>
    <w:rsid w:val="00825AB7"/>
    <w:rsid w:val="00826759"/>
    <w:rsid w:val="008277EC"/>
    <w:rsid w:val="00831D87"/>
    <w:rsid w:val="0083372F"/>
    <w:rsid w:val="00833E19"/>
    <w:rsid w:val="00834B3E"/>
    <w:rsid w:val="008356FD"/>
    <w:rsid w:val="00835D4E"/>
    <w:rsid w:val="00835EC7"/>
    <w:rsid w:val="0083743A"/>
    <w:rsid w:val="00837AEC"/>
    <w:rsid w:val="00840647"/>
    <w:rsid w:val="008427D7"/>
    <w:rsid w:val="008428EB"/>
    <w:rsid w:val="00842950"/>
    <w:rsid w:val="008435C3"/>
    <w:rsid w:val="00843E76"/>
    <w:rsid w:val="008449D2"/>
    <w:rsid w:val="00844DCE"/>
    <w:rsid w:val="0084627E"/>
    <w:rsid w:val="0085160E"/>
    <w:rsid w:val="00851841"/>
    <w:rsid w:val="00853FCA"/>
    <w:rsid w:val="0085474A"/>
    <w:rsid w:val="0085487B"/>
    <w:rsid w:val="008549ED"/>
    <w:rsid w:val="008569B3"/>
    <w:rsid w:val="00857105"/>
    <w:rsid w:val="008608C4"/>
    <w:rsid w:val="00862B77"/>
    <w:rsid w:val="00863BD1"/>
    <w:rsid w:val="00864291"/>
    <w:rsid w:val="00864936"/>
    <w:rsid w:val="00864AC3"/>
    <w:rsid w:val="00865BBC"/>
    <w:rsid w:val="00872C9E"/>
    <w:rsid w:val="00872D9D"/>
    <w:rsid w:val="008731D8"/>
    <w:rsid w:val="0087367A"/>
    <w:rsid w:val="00874393"/>
    <w:rsid w:val="00876AC2"/>
    <w:rsid w:val="00877814"/>
    <w:rsid w:val="00877963"/>
    <w:rsid w:val="00880C72"/>
    <w:rsid w:val="00880FCB"/>
    <w:rsid w:val="008817A9"/>
    <w:rsid w:val="00882932"/>
    <w:rsid w:val="00882F72"/>
    <w:rsid w:val="00884A7C"/>
    <w:rsid w:val="008862D5"/>
    <w:rsid w:val="00886EF6"/>
    <w:rsid w:val="0088772A"/>
    <w:rsid w:val="00887ABF"/>
    <w:rsid w:val="0089174A"/>
    <w:rsid w:val="00891FCE"/>
    <w:rsid w:val="00892A0D"/>
    <w:rsid w:val="008930C9"/>
    <w:rsid w:val="00895E99"/>
    <w:rsid w:val="008960A4"/>
    <w:rsid w:val="008965CB"/>
    <w:rsid w:val="00897CCE"/>
    <w:rsid w:val="008A286B"/>
    <w:rsid w:val="008A3141"/>
    <w:rsid w:val="008A4A50"/>
    <w:rsid w:val="008A53ED"/>
    <w:rsid w:val="008A5E63"/>
    <w:rsid w:val="008A6B15"/>
    <w:rsid w:val="008A6FFC"/>
    <w:rsid w:val="008A79E2"/>
    <w:rsid w:val="008A7FE3"/>
    <w:rsid w:val="008B10D5"/>
    <w:rsid w:val="008B1288"/>
    <w:rsid w:val="008B1B46"/>
    <w:rsid w:val="008B22A0"/>
    <w:rsid w:val="008B7313"/>
    <w:rsid w:val="008B771C"/>
    <w:rsid w:val="008B7FD0"/>
    <w:rsid w:val="008C23AC"/>
    <w:rsid w:val="008C5E34"/>
    <w:rsid w:val="008C5EDD"/>
    <w:rsid w:val="008C6DDF"/>
    <w:rsid w:val="008C727F"/>
    <w:rsid w:val="008C7C27"/>
    <w:rsid w:val="008D140F"/>
    <w:rsid w:val="008D1A69"/>
    <w:rsid w:val="008D2931"/>
    <w:rsid w:val="008D30AB"/>
    <w:rsid w:val="008D33E6"/>
    <w:rsid w:val="008D3E87"/>
    <w:rsid w:val="008D5C68"/>
    <w:rsid w:val="008D6CA1"/>
    <w:rsid w:val="008D6EAC"/>
    <w:rsid w:val="008E10BF"/>
    <w:rsid w:val="008E2D47"/>
    <w:rsid w:val="008E2DB7"/>
    <w:rsid w:val="008E38CE"/>
    <w:rsid w:val="008E38E0"/>
    <w:rsid w:val="008E3BEE"/>
    <w:rsid w:val="008E4505"/>
    <w:rsid w:val="008E4A28"/>
    <w:rsid w:val="008E63B9"/>
    <w:rsid w:val="008E77EE"/>
    <w:rsid w:val="008F03B0"/>
    <w:rsid w:val="008F077E"/>
    <w:rsid w:val="008F0F23"/>
    <w:rsid w:val="008F101B"/>
    <w:rsid w:val="008F10C5"/>
    <w:rsid w:val="008F1E2E"/>
    <w:rsid w:val="008F4A91"/>
    <w:rsid w:val="008F5783"/>
    <w:rsid w:val="008F6176"/>
    <w:rsid w:val="008F6652"/>
    <w:rsid w:val="008F669C"/>
    <w:rsid w:val="008F7E5F"/>
    <w:rsid w:val="00900681"/>
    <w:rsid w:val="00900FC8"/>
    <w:rsid w:val="00901583"/>
    <w:rsid w:val="00901C5F"/>
    <w:rsid w:val="009045F3"/>
    <w:rsid w:val="009048D1"/>
    <w:rsid w:val="009049B9"/>
    <w:rsid w:val="00906ED8"/>
    <w:rsid w:val="00911B75"/>
    <w:rsid w:val="00912CB3"/>
    <w:rsid w:val="00912DA8"/>
    <w:rsid w:val="00912F54"/>
    <w:rsid w:val="009130F8"/>
    <w:rsid w:val="009148DA"/>
    <w:rsid w:val="00915010"/>
    <w:rsid w:val="0091528F"/>
    <w:rsid w:val="00915C6F"/>
    <w:rsid w:val="00916917"/>
    <w:rsid w:val="009200BB"/>
    <w:rsid w:val="00921727"/>
    <w:rsid w:val="00921971"/>
    <w:rsid w:val="009223CC"/>
    <w:rsid w:val="00923AF6"/>
    <w:rsid w:val="00924A6D"/>
    <w:rsid w:val="0092748A"/>
    <w:rsid w:val="009279FF"/>
    <w:rsid w:val="00927A08"/>
    <w:rsid w:val="00927F55"/>
    <w:rsid w:val="00930DB4"/>
    <w:rsid w:val="00931918"/>
    <w:rsid w:val="00932124"/>
    <w:rsid w:val="0093436C"/>
    <w:rsid w:val="00934625"/>
    <w:rsid w:val="009352D5"/>
    <w:rsid w:val="00935F23"/>
    <w:rsid w:val="00936197"/>
    <w:rsid w:val="009366E9"/>
    <w:rsid w:val="00936F2D"/>
    <w:rsid w:val="00937712"/>
    <w:rsid w:val="00943B8C"/>
    <w:rsid w:val="00943C3E"/>
    <w:rsid w:val="0094446F"/>
    <w:rsid w:val="00944487"/>
    <w:rsid w:val="00947355"/>
    <w:rsid w:val="009500F6"/>
    <w:rsid w:val="0095097E"/>
    <w:rsid w:val="0095106B"/>
    <w:rsid w:val="00952543"/>
    <w:rsid w:val="009526C7"/>
    <w:rsid w:val="00953BEB"/>
    <w:rsid w:val="0095436B"/>
    <w:rsid w:val="009549DD"/>
    <w:rsid w:val="0095519A"/>
    <w:rsid w:val="00955439"/>
    <w:rsid w:val="00955BFF"/>
    <w:rsid w:val="0095722C"/>
    <w:rsid w:val="00957F12"/>
    <w:rsid w:val="009617C5"/>
    <w:rsid w:val="00961FD1"/>
    <w:rsid w:val="009626AE"/>
    <w:rsid w:val="009703CF"/>
    <w:rsid w:val="00970FEC"/>
    <w:rsid w:val="0097173C"/>
    <w:rsid w:val="00971CEF"/>
    <w:rsid w:val="00973097"/>
    <w:rsid w:val="00973180"/>
    <w:rsid w:val="00973D24"/>
    <w:rsid w:val="00974E77"/>
    <w:rsid w:val="00976614"/>
    <w:rsid w:val="00980539"/>
    <w:rsid w:val="0098177B"/>
    <w:rsid w:val="00984DF1"/>
    <w:rsid w:val="00985995"/>
    <w:rsid w:val="009861C5"/>
    <w:rsid w:val="00986B4A"/>
    <w:rsid w:val="0098784E"/>
    <w:rsid w:val="00987A80"/>
    <w:rsid w:val="009900D4"/>
    <w:rsid w:val="00990974"/>
    <w:rsid w:val="0099158E"/>
    <w:rsid w:val="009920A0"/>
    <w:rsid w:val="00992DA6"/>
    <w:rsid w:val="00993195"/>
    <w:rsid w:val="00993408"/>
    <w:rsid w:val="00993539"/>
    <w:rsid w:val="0099430D"/>
    <w:rsid w:val="00996AE2"/>
    <w:rsid w:val="00996C48"/>
    <w:rsid w:val="009A057F"/>
    <w:rsid w:val="009A1143"/>
    <w:rsid w:val="009A16CC"/>
    <w:rsid w:val="009A4C71"/>
    <w:rsid w:val="009A5163"/>
    <w:rsid w:val="009A564D"/>
    <w:rsid w:val="009A56DE"/>
    <w:rsid w:val="009A5BF0"/>
    <w:rsid w:val="009A688E"/>
    <w:rsid w:val="009B0370"/>
    <w:rsid w:val="009B0759"/>
    <w:rsid w:val="009B0FB2"/>
    <w:rsid w:val="009B3689"/>
    <w:rsid w:val="009B56C6"/>
    <w:rsid w:val="009B5F3C"/>
    <w:rsid w:val="009B6B78"/>
    <w:rsid w:val="009B73D5"/>
    <w:rsid w:val="009C01C9"/>
    <w:rsid w:val="009C10BD"/>
    <w:rsid w:val="009C2532"/>
    <w:rsid w:val="009C2EDF"/>
    <w:rsid w:val="009C3DE7"/>
    <w:rsid w:val="009C545A"/>
    <w:rsid w:val="009C601D"/>
    <w:rsid w:val="009C627C"/>
    <w:rsid w:val="009D0318"/>
    <w:rsid w:val="009D0611"/>
    <w:rsid w:val="009D0BE5"/>
    <w:rsid w:val="009D1EAE"/>
    <w:rsid w:val="009D2F03"/>
    <w:rsid w:val="009D32C4"/>
    <w:rsid w:val="009D3EE1"/>
    <w:rsid w:val="009D607A"/>
    <w:rsid w:val="009E03EA"/>
    <w:rsid w:val="009E1F62"/>
    <w:rsid w:val="009E21DA"/>
    <w:rsid w:val="009E364F"/>
    <w:rsid w:val="009E6C3D"/>
    <w:rsid w:val="009E72BA"/>
    <w:rsid w:val="009F0675"/>
    <w:rsid w:val="009F06C5"/>
    <w:rsid w:val="009F1DB3"/>
    <w:rsid w:val="009F5498"/>
    <w:rsid w:val="009F5708"/>
    <w:rsid w:val="009F5E70"/>
    <w:rsid w:val="009F68BD"/>
    <w:rsid w:val="00A02E53"/>
    <w:rsid w:val="00A03D6F"/>
    <w:rsid w:val="00A0510D"/>
    <w:rsid w:val="00A06DFF"/>
    <w:rsid w:val="00A0763B"/>
    <w:rsid w:val="00A07BE7"/>
    <w:rsid w:val="00A1057C"/>
    <w:rsid w:val="00A1187F"/>
    <w:rsid w:val="00A11937"/>
    <w:rsid w:val="00A13574"/>
    <w:rsid w:val="00A15464"/>
    <w:rsid w:val="00A158AA"/>
    <w:rsid w:val="00A17088"/>
    <w:rsid w:val="00A17148"/>
    <w:rsid w:val="00A1717D"/>
    <w:rsid w:val="00A17CB0"/>
    <w:rsid w:val="00A20565"/>
    <w:rsid w:val="00A22E1E"/>
    <w:rsid w:val="00A22E83"/>
    <w:rsid w:val="00A23EC0"/>
    <w:rsid w:val="00A25786"/>
    <w:rsid w:val="00A259E8"/>
    <w:rsid w:val="00A26129"/>
    <w:rsid w:val="00A26D74"/>
    <w:rsid w:val="00A27496"/>
    <w:rsid w:val="00A3155C"/>
    <w:rsid w:val="00A346FA"/>
    <w:rsid w:val="00A34792"/>
    <w:rsid w:val="00A3598F"/>
    <w:rsid w:val="00A365D6"/>
    <w:rsid w:val="00A439F3"/>
    <w:rsid w:val="00A43CEA"/>
    <w:rsid w:val="00A455A8"/>
    <w:rsid w:val="00A463EE"/>
    <w:rsid w:val="00A4737D"/>
    <w:rsid w:val="00A474CE"/>
    <w:rsid w:val="00A501C9"/>
    <w:rsid w:val="00A51508"/>
    <w:rsid w:val="00A5270B"/>
    <w:rsid w:val="00A534F3"/>
    <w:rsid w:val="00A562BF"/>
    <w:rsid w:val="00A572D8"/>
    <w:rsid w:val="00A57DE0"/>
    <w:rsid w:val="00A60F19"/>
    <w:rsid w:val="00A61B35"/>
    <w:rsid w:val="00A62383"/>
    <w:rsid w:val="00A62443"/>
    <w:rsid w:val="00A62768"/>
    <w:rsid w:val="00A62DA6"/>
    <w:rsid w:val="00A636A5"/>
    <w:rsid w:val="00A63EA8"/>
    <w:rsid w:val="00A643BD"/>
    <w:rsid w:val="00A6633F"/>
    <w:rsid w:val="00A673FA"/>
    <w:rsid w:val="00A7075B"/>
    <w:rsid w:val="00A7099A"/>
    <w:rsid w:val="00A734CC"/>
    <w:rsid w:val="00A777D7"/>
    <w:rsid w:val="00A778C6"/>
    <w:rsid w:val="00A80698"/>
    <w:rsid w:val="00A8097E"/>
    <w:rsid w:val="00A81125"/>
    <w:rsid w:val="00A830CF"/>
    <w:rsid w:val="00A83837"/>
    <w:rsid w:val="00A85436"/>
    <w:rsid w:val="00A85F24"/>
    <w:rsid w:val="00A86187"/>
    <w:rsid w:val="00A86552"/>
    <w:rsid w:val="00A87574"/>
    <w:rsid w:val="00A87B4F"/>
    <w:rsid w:val="00A902E1"/>
    <w:rsid w:val="00A90CDB"/>
    <w:rsid w:val="00A92282"/>
    <w:rsid w:val="00A93850"/>
    <w:rsid w:val="00A94023"/>
    <w:rsid w:val="00A9549F"/>
    <w:rsid w:val="00AA01FD"/>
    <w:rsid w:val="00AA0941"/>
    <w:rsid w:val="00AA0C4C"/>
    <w:rsid w:val="00AA0D0A"/>
    <w:rsid w:val="00AA1520"/>
    <w:rsid w:val="00AA3DBD"/>
    <w:rsid w:val="00AA506D"/>
    <w:rsid w:val="00AA61D4"/>
    <w:rsid w:val="00AA6A5A"/>
    <w:rsid w:val="00AA6AF3"/>
    <w:rsid w:val="00AA72AD"/>
    <w:rsid w:val="00AB1512"/>
    <w:rsid w:val="00AB2BD8"/>
    <w:rsid w:val="00AB344D"/>
    <w:rsid w:val="00AB4679"/>
    <w:rsid w:val="00AB49C4"/>
    <w:rsid w:val="00AB4D99"/>
    <w:rsid w:val="00AB6BB1"/>
    <w:rsid w:val="00AB7098"/>
    <w:rsid w:val="00AC2148"/>
    <w:rsid w:val="00AC3600"/>
    <w:rsid w:val="00AC4A2B"/>
    <w:rsid w:val="00AC5C27"/>
    <w:rsid w:val="00AC6375"/>
    <w:rsid w:val="00AC6880"/>
    <w:rsid w:val="00AC6CE3"/>
    <w:rsid w:val="00AC6F9D"/>
    <w:rsid w:val="00AC77FB"/>
    <w:rsid w:val="00AC7958"/>
    <w:rsid w:val="00AC7F37"/>
    <w:rsid w:val="00AD00AB"/>
    <w:rsid w:val="00AD169D"/>
    <w:rsid w:val="00AD1A00"/>
    <w:rsid w:val="00AD20B4"/>
    <w:rsid w:val="00AD25BA"/>
    <w:rsid w:val="00AD2CA0"/>
    <w:rsid w:val="00AD2CA4"/>
    <w:rsid w:val="00AD396F"/>
    <w:rsid w:val="00AD3AE2"/>
    <w:rsid w:val="00AD590E"/>
    <w:rsid w:val="00AD788B"/>
    <w:rsid w:val="00AE119F"/>
    <w:rsid w:val="00AE1B5A"/>
    <w:rsid w:val="00AE30A2"/>
    <w:rsid w:val="00AE351E"/>
    <w:rsid w:val="00AE3C8D"/>
    <w:rsid w:val="00AE5759"/>
    <w:rsid w:val="00AF1651"/>
    <w:rsid w:val="00AF2ADA"/>
    <w:rsid w:val="00AF32D9"/>
    <w:rsid w:val="00AF395B"/>
    <w:rsid w:val="00AF3E4F"/>
    <w:rsid w:val="00AF53F3"/>
    <w:rsid w:val="00AF54FF"/>
    <w:rsid w:val="00AF55C1"/>
    <w:rsid w:val="00AF6882"/>
    <w:rsid w:val="00AF6A54"/>
    <w:rsid w:val="00AF6AC9"/>
    <w:rsid w:val="00AF6C06"/>
    <w:rsid w:val="00B007CE"/>
    <w:rsid w:val="00B0091B"/>
    <w:rsid w:val="00B01D49"/>
    <w:rsid w:val="00B055A4"/>
    <w:rsid w:val="00B1094D"/>
    <w:rsid w:val="00B1234D"/>
    <w:rsid w:val="00B12822"/>
    <w:rsid w:val="00B13222"/>
    <w:rsid w:val="00B13473"/>
    <w:rsid w:val="00B16C24"/>
    <w:rsid w:val="00B174F3"/>
    <w:rsid w:val="00B17882"/>
    <w:rsid w:val="00B21240"/>
    <w:rsid w:val="00B21D46"/>
    <w:rsid w:val="00B21F32"/>
    <w:rsid w:val="00B2227C"/>
    <w:rsid w:val="00B225A3"/>
    <w:rsid w:val="00B2306D"/>
    <w:rsid w:val="00B239D2"/>
    <w:rsid w:val="00B25228"/>
    <w:rsid w:val="00B26C98"/>
    <w:rsid w:val="00B30D27"/>
    <w:rsid w:val="00B31CA1"/>
    <w:rsid w:val="00B32066"/>
    <w:rsid w:val="00B329D4"/>
    <w:rsid w:val="00B34359"/>
    <w:rsid w:val="00B345AD"/>
    <w:rsid w:val="00B368D3"/>
    <w:rsid w:val="00B36EDE"/>
    <w:rsid w:val="00B36F01"/>
    <w:rsid w:val="00B37E55"/>
    <w:rsid w:val="00B407B5"/>
    <w:rsid w:val="00B444F4"/>
    <w:rsid w:val="00B44F57"/>
    <w:rsid w:val="00B452B7"/>
    <w:rsid w:val="00B462D5"/>
    <w:rsid w:val="00B5022E"/>
    <w:rsid w:val="00B50918"/>
    <w:rsid w:val="00B50A8A"/>
    <w:rsid w:val="00B51075"/>
    <w:rsid w:val="00B55713"/>
    <w:rsid w:val="00B564C7"/>
    <w:rsid w:val="00B56B1F"/>
    <w:rsid w:val="00B571D9"/>
    <w:rsid w:val="00B57E97"/>
    <w:rsid w:val="00B6197D"/>
    <w:rsid w:val="00B62960"/>
    <w:rsid w:val="00B62D4B"/>
    <w:rsid w:val="00B6317A"/>
    <w:rsid w:val="00B64CCE"/>
    <w:rsid w:val="00B654FC"/>
    <w:rsid w:val="00B6786F"/>
    <w:rsid w:val="00B70633"/>
    <w:rsid w:val="00B72D2C"/>
    <w:rsid w:val="00B72E94"/>
    <w:rsid w:val="00B737A2"/>
    <w:rsid w:val="00B73DD7"/>
    <w:rsid w:val="00B73E8F"/>
    <w:rsid w:val="00B74708"/>
    <w:rsid w:val="00B74A9A"/>
    <w:rsid w:val="00B74CB5"/>
    <w:rsid w:val="00B7612A"/>
    <w:rsid w:val="00B764BE"/>
    <w:rsid w:val="00B76EE6"/>
    <w:rsid w:val="00B77362"/>
    <w:rsid w:val="00B807FD"/>
    <w:rsid w:val="00B808AD"/>
    <w:rsid w:val="00B81939"/>
    <w:rsid w:val="00B81FCB"/>
    <w:rsid w:val="00B82473"/>
    <w:rsid w:val="00B82F3D"/>
    <w:rsid w:val="00B83530"/>
    <w:rsid w:val="00B8409E"/>
    <w:rsid w:val="00B85112"/>
    <w:rsid w:val="00B85C08"/>
    <w:rsid w:val="00B8765B"/>
    <w:rsid w:val="00B87DBA"/>
    <w:rsid w:val="00B92EDE"/>
    <w:rsid w:val="00B93FDB"/>
    <w:rsid w:val="00B941C3"/>
    <w:rsid w:val="00B95116"/>
    <w:rsid w:val="00B952CD"/>
    <w:rsid w:val="00B953EA"/>
    <w:rsid w:val="00B95777"/>
    <w:rsid w:val="00B96171"/>
    <w:rsid w:val="00B961D8"/>
    <w:rsid w:val="00B96CFE"/>
    <w:rsid w:val="00BA1046"/>
    <w:rsid w:val="00BA1189"/>
    <w:rsid w:val="00BA11BE"/>
    <w:rsid w:val="00BA1E7A"/>
    <w:rsid w:val="00BA1F56"/>
    <w:rsid w:val="00BA23E2"/>
    <w:rsid w:val="00BA27A7"/>
    <w:rsid w:val="00BA44FA"/>
    <w:rsid w:val="00BA4556"/>
    <w:rsid w:val="00BA4B20"/>
    <w:rsid w:val="00BA61A2"/>
    <w:rsid w:val="00BA6499"/>
    <w:rsid w:val="00BA6593"/>
    <w:rsid w:val="00BA65EF"/>
    <w:rsid w:val="00BA6992"/>
    <w:rsid w:val="00BA6A6B"/>
    <w:rsid w:val="00BA7262"/>
    <w:rsid w:val="00BA7CC9"/>
    <w:rsid w:val="00BB1144"/>
    <w:rsid w:val="00BB156D"/>
    <w:rsid w:val="00BB2E33"/>
    <w:rsid w:val="00BB3559"/>
    <w:rsid w:val="00BB4676"/>
    <w:rsid w:val="00BB6093"/>
    <w:rsid w:val="00BB727A"/>
    <w:rsid w:val="00BC0DBD"/>
    <w:rsid w:val="00BC16C6"/>
    <w:rsid w:val="00BC18DE"/>
    <w:rsid w:val="00BC1933"/>
    <w:rsid w:val="00BC2043"/>
    <w:rsid w:val="00BC344E"/>
    <w:rsid w:val="00BC3B59"/>
    <w:rsid w:val="00BC4757"/>
    <w:rsid w:val="00BC487D"/>
    <w:rsid w:val="00BC4E98"/>
    <w:rsid w:val="00BD1BB7"/>
    <w:rsid w:val="00BD225F"/>
    <w:rsid w:val="00BD2E76"/>
    <w:rsid w:val="00BD3BC1"/>
    <w:rsid w:val="00BD3F31"/>
    <w:rsid w:val="00BD5F2F"/>
    <w:rsid w:val="00BD66CF"/>
    <w:rsid w:val="00BD75FA"/>
    <w:rsid w:val="00BD79A6"/>
    <w:rsid w:val="00BE2710"/>
    <w:rsid w:val="00BE3572"/>
    <w:rsid w:val="00BE5C67"/>
    <w:rsid w:val="00BE7D6C"/>
    <w:rsid w:val="00BE7ECB"/>
    <w:rsid w:val="00BF2086"/>
    <w:rsid w:val="00BF433E"/>
    <w:rsid w:val="00BF4479"/>
    <w:rsid w:val="00BF5064"/>
    <w:rsid w:val="00BF5CAC"/>
    <w:rsid w:val="00BF6419"/>
    <w:rsid w:val="00BF78DD"/>
    <w:rsid w:val="00BF7949"/>
    <w:rsid w:val="00C00357"/>
    <w:rsid w:val="00C04467"/>
    <w:rsid w:val="00C04924"/>
    <w:rsid w:val="00C068F0"/>
    <w:rsid w:val="00C13AE8"/>
    <w:rsid w:val="00C1616B"/>
    <w:rsid w:val="00C16EA2"/>
    <w:rsid w:val="00C17F41"/>
    <w:rsid w:val="00C20166"/>
    <w:rsid w:val="00C21477"/>
    <w:rsid w:val="00C21698"/>
    <w:rsid w:val="00C21823"/>
    <w:rsid w:val="00C21A32"/>
    <w:rsid w:val="00C21EBE"/>
    <w:rsid w:val="00C224D2"/>
    <w:rsid w:val="00C240D4"/>
    <w:rsid w:val="00C255B9"/>
    <w:rsid w:val="00C25D00"/>
    <w:rsid w:val="00C26389"/>
    <w:rsid w:val="00C2679E"/>
    <w:rsid w:val="00C274F9"/>
    <w:rsid w:val="00C30A85"/>
    <w:rsid w:val="00C3161D"/>
    <w:rsid w:val="00C31B63"/>
    <w:rsid w:val="00C34DDB"/>
    <w:rsid w:val="00C359C8"/>
    <w:rsid w:val="00C3674B"/>
    <w:rsid w:val="00C36FD7"/>
    <w:rsid w:val="00C37351"/>
    <w:rsid w:val="00C37C3A"/>
    <w:rsid w:val="00C40F1B"/>
    <w:rsid w:val="00C41DCE"/>
    <w:rsid w:val="00C4377D"/>
    <w:rsid w:val="00C43AC6"/>
    <w:rsid w:val="00C45318"/>
    <w:rsid w:val="00C456EA"/>
    <w:rsid w:val="00C4678A"/>
    <w:rsid w:val="00C467C3"/>
    <w:rsid w:val="00C46A04"/>
    <w:rsid w:val="00C50E91"/>
    <w:rsid w:val="00C5143E"/>
    <w:rsid w:val="00C514F4"/>
    <w:rsid w:val="00C51D30"/>
    <w:rsid w:val="00C528B7"/>
    <w:rsid w:val="00C52B2D"/>
    <w:rsid w:val="00C52F8C"/>
    <w:rsid w:val="00C5307E"/>
    <w:rsid w:val="00C55EEA"/>
    <w:rsid w:val="00C563F4"/>
    <w:rsid w:val="00C57DE8"/>
    <w:rsid w:val="00C6199A"/>
    <w:rsid w:val="00C62EB6"/>
    <w:rsid w:val="00C65699"/>
    <w:rsid w:val="00C65F89"/>
    <w:rsid w:val="00C71429"/>
    <w:rsid w:val="00C718FB"/>
    <w:rsid w:val="00C71A07"/>
    <w:rsid w:val="00C71C16"/>
    <w:rsid w:val="00C71C33"/>
    <w:rsid w:val="00C745F5"/>
    <w:rsid w:val="00C76152"/>
    <w:rsid w:val="00C76629"/>
    <w:rsid w:val="00C776C1"/>
    <w:rsid w:val="00C8003E"/>
    <w:rsid w:val="00C816A4"/>
    <w:rsid w:val="00C82F70"/>
    <w:rsid w:val="00C83351"/>
    <w:rsid w:val="00C84264"/>
    <w:rsid w:val="00C844A2"/>
    <w:rsid w:val="00C8521A"/>
    <w:rsid w:val="00C921B5"/>
    <w:rsid w:val="00C92531"/>
    <w:rsid w:val="00C93102"/>
    <w:rsid w:val="00C940CC"/>
    <w:rsid w:val="00C943E7"/>
    <w:rsid w:val="00C9443C"/>
    <w:rsid w:val="00C94721"/>
    <w:rsid w:val="00C94B75"/>
    <w:rsid w:val="00C94D45"/>
    <w:rsid w:val="00C94DE9"/>
    <w:rsid w:val="00C94EDB"/>
    <w:rsid w:val="00C9617D"/>
    <w:rsid w:val="00C97E4E"/>
    <w:rsid w:val="00CA0FB2"/>
    <w:rsid w:val="00CA1342"/>
    <w:rsid w:val="00CA1938"/>
    <w:rsid w:val="00CA2B9C"/>
    <w:rsid w:val="00CA323F"/>
    <w:rsid w:val="00CA4C2D"/>
    <w:rsid w:val="00CA65C6"/>
    <w:rsid w:val="00CA70BF"/>
    <w:rsid w:val="00CA7808"/>
    <w:rsid w:val="00CB03E0"/>
    <w:rsid w:val="00CB08D2"/>
    <w:rsid w:val="00CB119D"/>
    <w:rsid w:val="00CB2750"/>
    <w:rsid w:val="00CB2DDD"/>
    <w:rsid w:val="00CB2EEA"/>
    <w:rsid w:val="00CB4DBA"/>
    <w:rsid w:val="00CB625A"/>
    <w:rsid w:val="00CB697E"/>
    <w:rsid w:val="00CB6D25"/>
    <w:rsid w:val="00CB742E"/>
    <w:rsid w:val="00CC031D"/>
    <w:rsid w:val="00CC053E"/>
    <w:rsid w:val="00CC06BF"/>
    <w:rsid w:val="00CC14ED"/>
    <w:rsid w:val="00CC2478"/>
    <w:rsid w:val="00CC27BF"/>
    <w:rsid w:val="00CC3F8A"/>
    <w:rsid w:val="00CC5631"/>
    <w:rsid w:val="00CD0060"/>
    <w:rsid w:val="00CD0D6E"/>
    <w:rsid w:val="00CD3041"/>
    <w:rsid w:val="00CD5396"/>
    <w:rsid w:val="00CD74FD"/>
    <w:rsid w:val="00CD7720"/>
    <w:rsid w:val="00CE0208"/>
    <w:rsid w:val="00CE11A9"/>
    <w:rsid w:val="00CE142A"/>
    <w:rsid w:val="00CE2482"/>
    <w:rsid w:val="00CE6BA9"/>
    <w:rsid w:val="00CE6FE9"/>
    <w:rsid w:val="00CE7355"/>
    <w:rsid w:val="00CE79B5"/>
    <w:rsid w:val="00CE7B87"/>
    <w:rsid w:val="00CF017D"/>
    <w:rsid w:val="00CF05D4"/>
    <w:rsid w:val="00CF08C5"/>
    <w:rsid w:val="00CF1CDE"/>
    <w:rsid w:val="00CF2137"/>
    <w:rsid w:val="00CF235B"/>
    <w:rsid w:val="00CF359E"/>
    <w:rsid w:val="00CF4907"/>
    <w:rsid w:val="00CF4B57"/>
    <w:rsid w:val="00CF50D6"/>
    <w:rsid w:val="00CF6123"/>
    <w:rsid w:val="00D00D86"/>
    <w:rsid w:val="00D040DA"/>
    <w:rsid w:val="00D04943"/>
    <w:rsid w:val="00D04B74"/>
    <w:rsid w:val="00D06CAB"/>
    <w:rsid w:val="00D06F6C"/>
    <w:rsid w:val="00D070F7"/>
    <w:rsid w:val="00D07415"/>
    <w:rsid w:val="00D116CD"/>
    <w:rsid w:val="00D11FFD"/>
    <w:rsid w:val="00D12933"/>
    <w:rsid w:val="00D14101"/>
    <w:rsid w:val="00D14684"/>
    <w:rsid w:val="00D15B01"/>
    <w:rsid w:val="00D15E86"/>
    <w:rsid w:val="00D1618A"/>
    <w:rsid w:val="00D17417"/>
    <w:rsid w:val="00D17F65"/>
    <w:rsid w:val="00D23184"/>
    <w:rsid w:val="00D239F5"/>
    <w:rsid w:val="00D2412C"/>
    <w:rsid w:val="00D26E3B"/>
    <w:rsid w:val="00D27670"/>
    <w:rsid w:val="00D2799F"/>
    <w:rsid w:val="00D302AB"/>
    <w:rsid w:val="00D32477"/>
    <w:rsid w:val="00D32DCE"/>
    <w:rsid w:val="00D3462C"/>
    <w:rsid w:val="00D356F5"/>
    <w:rsid w:val="00D35CBB"/>
    <w:rsid w:val="00D35DE1"/>
    <w:rsid w:val="00D35E62"/>
    <w:rsid w:val="00D3676B"/>
    <w:rsid w:val="00D36EFB"/>
    <w:rsid w:val="00D4368B"/>
    <w:rsid w:val="00D438F6"/>
    <w:rsid w:val="00D4441C"/>
    <w:rsid w:val="00D4451E"/>
    <w:rsid w:val="00D447B6"/>
    <w:rsid w:val="00D4489F"/>
    <w:rsid w:val="00D45025"/>
    <w:rsid w:val="00D46714"/>
    <w:rsid w:val="00D46BBA"/>
    <w:rsid w:val="00D50F42"/>
    <w:rsid w:val="00D5251D"/>
    <w:rsid w:val="00D5372B"/>
    <w:rsid w:val="00D55302"/>
    <w:rsid w:val="00D56494"/>
    <w:rsid w:val="00D62729"/>
    <w:rsid w:val="00D62A35"/>
    <w:rsid w:val="00D62D13"/>
    <w:rsid w:val="00D6495D"/>
    <w:rsid w:val="00D65FDC"/>
    <w:rsid w:val="00D662AF"/>
    <w:rsid w:val="00D66598"/>
    <w:rsid w:val="00D673EE"/>
    <w:rsid w:val="00D70C1C"/>
    <w:rsid w:val="00D712F4"/>
    <w:rsid w:val="00D714E8"/>
    <w:rsid w:val="00D71CDA"/>
    <w:rsid w:val="00D73A4A"/>
    <w:rsid w:val="00D743FB"/>
    <w:rsid w:val="00D76F28"/>
    <w:rsid w:val="00D77106"/>
    <w:rsid w:val="00D776AA"/>
    <w:rsid w:val="00D830E6"/>
    <w:rsid w:val="00D835C5"/>
    <w:rsid w:val="00D83EE3"/>
    <w:rsid w:val="00D83EEB"/>
    <w:rsid w:val="00D8449F"/>
    <w:rsid w:val="00D84CFA"/>
    <w:rsid w:val="00D84EE1"/>
    <w:rsid w:val="00D853F1"/>
    <w:rsid w:val="00D854FD"/>
    <w:rsid w:val="00D85DCF"/>
    <w:rsid w:val="00D863FC"/>
    <w:rsid w:val="00D87CC0"/>
    <w:rsid w:val="00D9043C"/>
    <w:rsid w:val="00D906B2"/>
    <w:rsid w:val="00D91390"/>
    <w:rsid w:val="00D916B7"/>
    <w:rsid w:val="00D917D0"/>
    <w:rsid w:val="00D91E52"/>
    <w:rsid w:val="00D923BD"/>
    <w:rsid w:val="00D926ED"/>
    <w:rsid w:val="00D93E80"/>
    <w:rsid w:val="00D9508A"/>
    <w:rsid w:val="00DA13E1"/>
    <w:rsid w:val="00DA1777"/>
    <w:rsid w:val="00DA4DCF"/>
    <w:rsid w:val="00DA5B75"/>
    <w:rsid w:val="00DA7209"/>
    <w:rsid w:val="00DB02C1"/>
    <w:rsid w:val="00DB0727"/>
    <w:rsid w:val="00DB1DA5"/>
    <w:rsid w:val="00DB2620"/>
    <w:rsid w:val="00DB3006"/>
    <w:rsid w:val="00DB413F"/>
    <w:rsid w:val="00DB42A8"/>
    <w:rsid w:val="00DB4770"/>
    <w:rsid w:val="00DB481C"/>
    <w:rsid w:val="00DB491F"/>
    <w:rsid w:val="00DB57F4"/>
    <w:rsid w:val="00DB62B2"/>
    <w:rsid w:val="00DC0C0F"/>
    <w:rsid w:val="00DC0E95"/>
    <w:rsid w:val="00DC0F3F"/>
    <w:rsid w:val="00DC0F50"/>
    <w:rsid w:val="00DC1439"/>
    <w:rsid w:val="00DC19A4"/>
    <w:rsid w:val="00DC36D5"/>
    <w:rsid w:val="00DC3CDE"/>
    <w:rsid w:val="00DD0291"/>
    <w:rsid w:val="00DD0585"/>
    <w:rsid w:val="00DD2385"/>
    <w:rsid w:val="00DD269E"/>
    <w:rsid w:val="00DD3502"/>
    <w:rsid w:val="00DD3BE8"/>
    <w:rsid w:val="00DD460F"/>
    <w:rsid w:val="00DD52E8"/>
    <w:rsid w:val="00DD62E3"/>
    <w:rsid w:val="00DD63FA"/>
    <w:rsid w:val="00DD6593"/>
    <w:rsid w:val="00DD7CFE"/>
    <w:rsid w:val="00DE1D48"/>
    <w:rsid w:val="00DE42CB"/>
    <w:rsid w:val="00DE437B"/>
    <w:rsid w:val="00DE4573"/>
    <w:rsid w:val="00DE4D21"/>
    <w:rsid w:val="00DE52C2"/>
    <w:rsid w:val="00DE5348"/>
    <w:rsid w:val="00DE55D7"/>
    <w:rsid w:val="00DE6548"/>
    <w:rsid w:val="00DE67AF"/>
    <w:rsid w:val="00DF0410"/>
    <w:rsid w:val="00DF16FF"/>
    <w:rsid w:val="00DF1782"/>
    <w:rsid w:val="00DF3C96"/>
    <w:rsid w:val="00DF3FBC"/>
    <w:rsid w:val="00DF4A98"/>
    <w:rsid w:val="00DF66E8"/>
    <w:rsid w:val="00DF6A79"/>
    <w:rsid w:val="00E035F7"/>
    <w:rsid w:val="00E03D6E"/>
    <w:rsid w:val="00E048AF"/>
    <w:rsid w:val="00E052F1"/>
    <w:rsid w:val="00E05A21"/>
    <w:rsid w:val="00E067B5"/>
    <w:rsid w:val="00E069CF"/>
    <w:rsid w:val="00E07A33"/>
    <w:rsid w:val="00E07A37"/>
    <w:rsid w:val="00E07EB0"/>
    <w:rsid w:val="00E10B42"/>
    <w:rsid w:val="00E1107C"/>
    <w:rsid w:val="00E1193C"/>
    <w:rsid w:val="00E11F18"/>
    <w:rsid w:val="00E14456"/>
    <w:rsid w:val="00E1473C"/>
    <w:rsid w:val="00E154B3"/>
    <w:rsid w:val="00E1605E"/>
    <w:rsid w:val="00E1658B"/>
    <w:rsid w:val="00E1719B"/>
    <w:rsid w:val="00E20330"/>
    <w:rsid w:val="00E218C7"/>
    <w:rsid w:val="00E21B9F"/>
    <w:rsid w:val="00E2238E"/>
    <w:rsid w:val="00E231D7"/>
    <w:rsid w:val="00E23BB7"/>
    <w:rsid w:val="00E26D5D"/>
    <w:rsid w:val="00E30BE9"/>
    <w:rsid w:val="00E30F3C"/>
    <w:rsid w:val="00E31D9F"/>
    <w:rsid w:val="00E3234D"/>
    <w:rsid w:val="00E32367"/>
    <w:rsid w:val="00E323B9"/>
    <w:rsid w:val="00E33983"/>
    <w:rsid w:val="00E33F62"/>
    <w:rsid w:val="00E34A38"/>
    <w:rsid w:val="00E34E2D"/>
    <w:rsid w:val="00E35958"/>
    <w:rsid w:val="00E36649"/>
    <w:rsid w:val="00E36E5E"/>
    <w:rsid w:val="00E3710D"/>
    <w:rsid w:val="00E40910"/>
    <w:rsid w:val="00E40C72"/>
    <w:rsid w:val="00E4108C"/>
    <w:rsid w:val="00E413BF"/>
    <w:rsid w:val="00E4150F"/>
    <w:rsid w:val="00E42E15"/>
    <w:rsid w:val="00E43DAE"/>
    <w:rsid w:val="00E443C7"/>
    <w:rsid w:val="00E45267"/>
    <w:rsid w:val="00E453B5"/>
    <w:rsid w:val="00E459DA"/>
    <w:rsid w:val="00E46D32"/>
    <w:rsid w:val="00E503E5"/>
    <w:rsid w:val="00E51849"/>
    <w:rsid w:val="00E519C8"/>
    <w:rsid w:val="00E5226A"/>
    <w:rsid w:val="00E5238F"/>
    <w:rsid w:val="00E529D8"/>
    <w:rsid w:val="00E540E5"/>
    <w:rsid w:val="00E545A9"/>
    <w:rsid w:val="00E548E8"/>
    <w:rsid w:val="00E565C1"/>
    <w:rsid w:val="00E611FD"/>
    <w:rsid w:val="00E62D01"/>
    <w:rsid w:val="00E63312"/>
    <w:rsid w:val="00E64F93"/>
    <w:rsid w:val="00E65EBE"/>
    <w:rsid w:val="00E6683D"/>
    <w:rsid w:val="00E712B9"/>
    <w:rsid w:val="00E715BD"/>
    <w:rsid w:val="00E71FCC"/>
    <w:rsid w:val="00E72A0D"/>
    <w:rsid w:val="00E7334F"/>
    <w:rsid w:val="00E73701"/>
    <w:rsid w:val="00E737C8"/>
    <w:rsid w:val="00E7497E"/>
    <w:rsid w:val="00E7652E"/>
    <w:rsid w:val="00E80325"/>
    <w:rsid w:val="00E81972"/>
    <w:rsid w:val="00E81AA5"/>
    <w:rsid w:val="00E81E6E"/>
    <w:rsid w:val="00E82844"/>
    <w:rsid w:val="00E82D7B"/>
    <w:rsid w:val="00E85B08"/>
    <w:rsid w:val="00E860AC"/>
    <w:rsid w:val="00E86C4D"/>
    <w:rsid w:val="00E905F2"/>
    <w:rsid w:val="00E90C85"/>
    <w:rsid w:val="00E90DB4"/>
    <w:rsid w:val="00E9220E"/>
    <w:rsid w:val="00E926A1"/>
    <w:rsid w:val="00E92BD5"/>
    <w:rsid w:val="00E9390F"/>
    <w:rsid w:val="00E93AFE"/>
    <w:rsid w:val="00E94587"/>
    <w:rsid w:val="00E94DB4"/>
    <w:rsid w:val="00EA02C9"/>
    <w:rsid w:val="00EA1E14"/>
    <w:rsid w:val="00EA2AEF"/>
    <w:rsid w:val="00EA3006"/>
    <w:rsid w:val="00EA4451"/>
    <w:rsid w:val="00EA564B"/>
    <w:rsid w:val="00EA61DC"/>
    <w:rsid w:val="00EA65FD"/>
    <w:rsid w:val="00EA66FA"/>
    <w:rsid w:val="00EB2A13"/>
    <w:rsid w:val="00EB338E"/>
    <w:rsid w:val="00EB494B"/>
    <w:rsid w:val="00EB51D6"/>
    <w:rsid w:val="00EB52D1"/>
    <w:rsid w:val="00EB557F"/>
    <w:rsid w:val="00EB6767"/>
    <w:rsid w:val="00EB716F"/>
    <w:rsid w:val="00EB794F"/>
    <w:rsid w:val="00EC07EB"/>
    <w:rsid w:val="00EC0DA4"/>
    <w:rsid w:val="00EC17B2"/>
    <w:rsid w:val="00EC248F"/>
    <w:rsid w:val="00EC3B5A"/>
    <w:rsid w:val="00EC4743"/>
    <w:rsid w:val="00EC4C2C"/>
    <w:rsid w:val="00EC5804"/>
    <w:rsid w:val="00EC5A64"/>
    <w:rsid w:val="00EC5B4F"/>
    <w:rsid w:val="00EC6090"/>
    <w:rsid w:val="00EC7230"/>
    <w:rsid w:val="00EC7DA9"/>
    <w:rsid w:val="00ED01B5"/>
    <w:rsid w:val="00ED0469"/>
    <w:rsid w:val="00ED05AF"/>
    <w:rsid w:val="00ED1F1D"/>
    <w:rsid w:val="00ED2269"/>
    <w:rsid w:val="00ED2543"/>
    <w:rsid w:val="00ED2784"/>
    <w:rsid w:val="00ED330D"/>
    <w:rsid w:val="00ED437E"/>
    <w:rsid w:val="00ED50D3"/>
    <w:rsid w:val="00ED579C"/>
    <w:rsid w:val="00ED5924"/>
    <w:rsid w:val="00ED7B02"/>
    <w:rsid w:val="00EE0144"/>
    <w:rsid w:val="00EE0361"/>
    <w:rsid w:val="00EE05A8"/>
    <w:rsid w:val="00EE1508"/>
    <w:rsid w:val="00EE2312"/>
    <w:rsid w:val="00EE3B8F"/>
    <w:rsid w:val="00EE5AB9"/>
    <w:rsid w:val="00EE5AD7"/>
    <w:rsid w:val="00EF1711"/>
    <w:rsid w:val="00EF3B61"/>
    <w:rsid w:val="00EF3ED3"/>
    <w:rsid w:val="00EF433B"/>
    <w:rsid w:val="00EF46FE"/>
    <w:rsid w:val="00EF4E35"/>
    <w:rsid w:val="00EF5606"/>
    <w:rsid w:val="00EF60E1"/>
    <w:rsid w:val="00F010B2"/>
    <w:rsid w:val="00F04260"/>
    <w:rsid w:val="00F0490D"/>
    <w:rsid w:val="00F04F7A"/>
    <w:rsid w:val="00F0517F"/>
    <w:rsid w:val="00F064B6"/>
    <w:rsid w:val="00F067A4"/>
    <w:rsid w:val="00F07190"/>
    <w:rsid w:val="00F1296E"/>
    <w:rsid w:val="00F12F43"/>
    <w:rsid w:val="00F15578"/>
    <w:rsid w:val="00F164D1"/>
    <w:rsid w:val="00F173F8"/>
    <w:rsid w:val="00F204EF"/>
    <w:rsid w:val="00F20B9D"/>
    <w:rsid w:val="00F20ED0"/>
    <w:rsid w:val="00F21859"/>
    <w:rsid w:val="00F21B14"/>
    <w:rsid w:val="00F229DB"/>
    <w:rsid w:val="00F22B40"/>
    <w:rsid w:val="00F23293"/>
    <w:rsid w:val="00F232E0"/>
    <w:rsid w:val="00F243C2"/>
    <w:rsid w:val="00F256BF"/>
    <w:rsid w:val="00F27211"/>
    <w:rsid w:val="00F2776F"/>
    <w:rsid w:val="00F352AC"/>
    <w:rsid w:val="00F364ED"/>
    <w:rsid w:val="00F37970"/>
    <w:rsid w:val="00F402D8"/>
    <w:rsid w:val="00F40A9D"/>
    <w:rsid w:val="00F40E07"/>
    <w:rsid w:val="00F410C3"/>
    <w:rsid w:val="00F431F9"/>
    <w:rsid w:val="00F4486B"/>
    <w:rsid w:val="00F458A6"/>
    <w:rsid w:val="00F475F6"/>
    <w:rsid w:val="00F51573"/>
    <w:rsid w:val="00F51B96"/>
    <w:rsid w:val="00F539FB"/>
    <w:rsid w:val="00F54C04"/>
    <w:rsid w:val="00F54E55"/>
    <w:rsid w:val="00F555BD"/>
    <w:rsid w:val="00F56369"/>
    <w:rsid w:val="00F56F53"/>
    <w:rsid w:val="00F57192"/>
    <w:rsid w:val="00F602F4"/>
    <w:rsid w:val="00F610F0"/>
    <w:rsid w:val="00F61935"/>
    <w:rsid w:val="00F61C07"/>
    <w:rsid w:val="00F62484"/>
    <w:rsid w:val="00F62A2C"/>
    <w:rsid w:val="00F634BE"/>
    <w:rsid w:val="00F63BF3"/>
    <w:rsid w:val="00F650BD"/>
    <w:rsid w:val="00F655CF"/>
    <w:rsid w:val="00F65C75"/>
    <w:rsid w:val="00F65FC4"/>
    <w:rsid w:val="00F66034"/>
    <w:rsid w:val="00F662B1"/>
    <w:rsid w:val="00F674EC"/>
    <w:rsid w:val="00F676E8"/>
    <w:rsid w:val="00F67C41"/>
    <w:rsid w:val="00F67EFB"/>
    <w:rsid w:val="00F70F40"/>
    <w:rsid w:val="00F71E1A"/>
    <w:rsid w:val="00F727CC"/>
    <w:rsid w:val="00F72C8D"/>
    <w:rsid w:val="00F741C5"/>
    <w:rsid w:val="00F757B7"/>
    <w:rsid w:val="00F7678E"/>
    <w:rsid w:val="00F77110"/>
    <w:rsid w:val="00F77D63"/>
    <w:rsid w:val="00F8105B"/>
    <w:rsid w:val="00F8175C"/>
    <w:rsid w:val="00F824BF"/>
    <w:rsid w:val="00F8252C"/>
    <w:rsid w:val="00F8320C"/>
    <w:rsid w:val="00F83FD5"/>
    <w:rsid w:val="00F84199"/>
    <w:rsid w:val="00F846BE"/>
    <w:rsid w:val="00F84852"/>
    <w:rsid w:val="00F8695B"/>
    <w:rsid w:val="00F86ABC"/>
    <w:rsid w:val="00F86BF1"/>
    <w:rsid w:val="00F8718A"/>
    <w:rsid w:val="00F87839"/>
    <w:rsid w:val="00F87ACF"/>
    <w:rsid w:val="00F87BC2"/>
    <w:rsid w:val="00F907A3"/>
    <w:rsid w:val="00F90920"/>
    <w:rsid w:val="00F90F29"/>
    <w:rsid w:val="00F9119E"/>
    <w:rsid w:val="00F94D2B"/>
    <w:rsid w:val="00F96D8A"/>
    <w:rsid w:val="00F97697"/>
    <w:rsid w:val="00FA059C"/>
    <w:rsid w:val="00FA0EC7"/>
    <w:rsid w:val="00FA182B"/>
    <w:rsid w:val="00FA1CE0"/>
    <w:rsid w:val="00FA20EF"/>
    <w:rsid w:val="00FA354C"/>
    <w:rsid w:val="00FA35B2"/>
    <w:rsid w:val="00FA39F8"/>
    <w:rsid w:val="00FA419E"/>
    <w:rsid w:val="00FA4F6B"/>
    <w:rsid w:val="00FA6C90"/>
    <w:rsid w:val="00FB1264"/>
    <w:rsid w:val="00FB23D4"/>
    <w:rsid w:val="00FB2B81"/>
    <w:rsid w:val="00FB315E"/>
    <w:rsid w:val="00FB3922"/>
    <w:rsid w:val="00FB3EB9"/>
    <w:rsid w:val="00FB6758"/>
    <w:rsid w:val="00FB76AF"/>
    <w:rsid w:val="00FC0297"/>
    <w:rsid w:val="00FC0628"/>
    <w:rsid w:val="00FC1097"/>
    <w:rsid w:val="00FC1700"/>
    <w:rsid w:val="00FC493D"/>
    <w:rsid w:val="00FC533F"/>
    <w:rsid w:val="00FC5385"/>
    <w:rsid w:val="00FD1606"/>
    <w:rsid w:val="00FD1A0B"/>
    <w:rsid w:val="00FD1B37"/>
    <w:rsid w:val="00FD2507"/>
    <w:rsid w:val="00FD29DB"/>
    <w:rsid w:val="00FD2F67"/>
    <w:rsid w:val="00FD4B6F"/>
    <w:rsid w:val="00FD4CC8"/>
    <w:rsid w:val="00FD53AA"/>
    <w:rsid w:val="00FD6007"/>
    <w:rsid w:val="00FE0059"/>
    <w:rsid w:val="00FE1B24"/>
    <w:rsid w:val="00FE2337"/>
    <w:rsid w:val="00FE460C"/>
    <w:rsid w:val="00FE50B5"/>
    <w:rsid w:val="00FF1AAC"/>
    <w:rsid w:val="00FF25C0"/>
    <w:rsid w:val="00FF2D3F"/>
    <w:rsid w:val="00FF2DBA"/>
    <w:rsid w:val="00FF479A"/>
    <w:rsid w:val="00FF54C8"/>
    <w:rsid w:val="00FF5795"/>
    <w:rsid w:val="00FF5E6C"/>
    <w:rsid w:val="00FF6552"/>
    <w:rsid w:val="00FF6968"/>
    <w:rsid w:val="0B1AB2A4"/>
    <w:rsid w:val="0C0FEFDC"/>
    <w:rsid w:val="0E9188D9"/>
    <w:rsid w:val="102D593A"/>
    <w:rsid w:val="1112FC28"/>
    <w:rsid w:val="126E95A1"/>
    <w:rsid w:val="149AD412"/>
    <w:rsid w:val="2261EB68"/>
    <w:rsid w:val="2D66B6DB"/>
    <w:rsid w:val="2F8A3778"/>
    <w:rsid w:val="3335D114"/>
    <w:rsid w:val="34E54217"/>
    <w:rsid w:val="3509581E"/>
    <w:rsid w:val="39B0A47C"/>
    <w:rsid w:val="3FB3A100"/>
    <w:rsid w:val="42F82C1A"/>
    <w:rsid w:val="4392390C"/>
    <w:rsid w:val="43AEDE84"/>
    <w:rsid w:val="45CD6007"/>
    <w:rsid w:val="46F3EE96"/>
    <w:rsid w:val="4AB6218F"/>
    <w:rsid w:val="564D9C7F"/>
    <w:rsid w:val="56EA9829"/>
    <w:rsid w:val="57B1F41B"/>
    <w:rsid w:val="705889DA"/>
    <w:rsid w:val="7E41BC18"/>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A09A4B59-1954-4429-B1A0-64B4C540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E3"/>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paragraph">
    <w:name w:val="paragraph"/>
    <w:basedOn w:val="Normal"/>
    <w:rsid w:val="00227BC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227BCF"/>
  </w:style>
  <w:style w:type="character" w:customStyle="1" w:styleId="eop">
    <w:name w:val="eop"/>
    <w:basedOn w:val="DefaultParagraphFont"/>
    <w:rsid w:val="0022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92983462">
      <w:bodyDiv w:val="1"/>
      <w:marLeft w:val="0"/>
      <w:marRight w:val="0"/>
      <w:marTop w:val="0"/>
      <w:marBottom w:val="0"/>
      <w:divBdr>
        <w:top w:val="none" w:sz="0" w:space="0" w:color="auto"/>
        <w:left w:val="none" w:sz="0" w:space="0" w:color="auto"/>
        <w:bottom w:val="none" w:sz="0" w:space="0" w:color="auto"/>
        <w:right w:val="none" w:sz="0" w:space="0" w:color="auto"/>
      </w:divBdr>
      <w:divsChild>
        <w:div w:id="33384438">
          <w:marLeft w:val="0"/>
          <w:marRight w:val="0"/>
          <w:marTop w:val="0"/>
          <w:marBottom w:val="0"/>
          <w:divBdr>
            <w:top w:val="none" w:sz="0" w:space="0" w:color="auto"/>
            <w:left w:val="none" w:sz="0" w:space="0" w:color="auto"/>
            <w:bottom w:val="none" w:sz="0" w:space="0" w:color="auto"/>
            <w:right w:val="none" w:sz="0" w:space="0" w:color="auto"/>
          </w:divBdr>
        </w:div>
        <w:div w:id="73940827">
          <w:marLeft w:val="0"/>
          <w:marRight w:val="0"/>
          <w:marTop w:val="0"/>
          <w:marBottom w:val="0"/>
          <w:divBdr>
            <w:top w:val="none" w:sz="0" w:space="0" w:color="auto"/>
            <w:left w:val="none" w:sz="0" w:space="0" w:color="auto"/>
            <w:bottom w:val="none" w:sz="0" w:space="0" w:color="auto"/>
            <w:right w:val="none" w:sz="0" w:space="0" w:color="auto"/>
          </w:divBdr>
        </w:div>
        <w:div w:id="84309117">
          <w:marLeft w:val="0"/>
          <w:marRight w:val="0"/>
          <w:marTop w:val="0"/>
          <w:marBottom w:val="0"/>
          <w:divBdr>
            <w:top w:val="none" w:sz="0" w:space="0" w:color="auto"/>
            <w:left w:val="none" w:sz="0" w:space="0" w:color="auto"/>
            <w:bottom w:val="none" w:sz="0" w:space="0" w:color="auto"/>
            <w:right w:val="none" w:sz="0" w:space="0" w:color="auto"/>
          </w:divBdr>
        </w:div>
        <w:div w:id="189688008">
          <w:marLeft w:val="0"/>
          <w:marRight w:val="0"/>
          <w:marTop w:val="0"/>
          <w:marBottom w:val="0"/>
          <w:divBdr>
            <w:top w:val="none" w:sz="0" w:space="0" w:color="auto"/>
            <w:left w:val="none" w:sz="0" w:space="0" w:color="auto"/>
            <w:bottom w:val="none" w:sz="0" w:space="0" w:color="auto"/>
            <w:right w:val="none" w:sz="0" w:space="0" w:color="auto"/>
          </w:divBdr>
        </w:div>
        <w:div w:id="280574908">
          <w:marLeft w:val="0"/>
          <w:marRight w:val="0"/>
          <w:marTop w:val="0"/>
          <w:marBottom w:val="0"/>
          <w:divBdr>
            <w:top w:val="none" w:sz="0" w:space="0" w:color="auto"/>
            <w:left w:val="none" w:sz="0" w:space="0" w:color="auto"/>
            <w:bottom w:val="none" w:sz="0" w:space="0" w:color="auto"/>
            <w:right w:val="none" w:sz="0" w:space="0" w:color="auto"/>
          </w:divBdr>
        </w:div>
        <w:div w:id="336659074">
          <w:marLeft w:val="0"/>
          <w:marRight w:val="0"/>
          <w:marTop w:val="0"/>
          <w:marBottom w:val="0"/>
          <w:divBdr>
            <w:top w:val="none" w:sz="0" w:space="0" w:color="auto"/>
            <w:left w:val="none" w:sz="0" w:space="0" w:color="auto"/>
            <w:bottom w:val="none" w:sz="0" w:space="0" w:color="auto"/>
            <w:right w:val="none" w:sz="0" w:space="0" w:color="auto"/>
          </w:divBdr>
        </w:div>
        <w:div w:id="520900154">
          <w:marLeft w:val="0"/>
          <w:marRight w:val="0"/>
          <w:marTop w:val="0"/>
          <w:marBottom w:val="0"/>
          <w:divBdr>
            <w:top w:val="none" w:sz="0" w:space="0" w:color="auto"/>
            <w:left w:val="none" w:sz="0" w:space="0" w:color="auto"/>
            <w:bottom w:val="none" w:sz="0" w:space="0" w:color="auto"/>
            <w:right w:val="none" w:sz="0" w:space="0" w:color="auto"/>
          </w:divBdr>
        </w:div>
        <w:div w:id="669261189">
          <w:marLeft w:val="0"/>
          <w:marRight w:val="0"/>
          <w:marTop w:val="0"/>
          <w:marBottom w:val="0"/>
          <w:divBdr>
            <w:top w:val="none" w:sz="0" w:space="0" w:color="auto"/>
            <w:left w:val="none" w:sz="0" w:space="0" w:color="auto"/>
            <w:bottom w:val="none" w:sz="0" w:space="0" w:color="auto"/>
            <w:right w:val="none" w:sz="0" w:space="0" w:color="auto"/>
          </w:divBdr>
        </w:div>
        <w:div w:id="722602052">
          <w:marLeft w:val="0"/>
          <w:marRight w:val="0"/>
          <w:marTop w:val="0"/>
          <w:marBottom w:val="0"/>
          <w:divBdr>
            <w:top w:val="none" w:sz="0" w:space="0" w:color="auto"/>
            <w:left w:val="none" w:sz="0" w:space="0" w:color="auto"/>
            <w:bottom w:val="none" w:sz="0" w:space="0" w:color="auto"/>
            <w:right w:val="none" w:sz="0" w:space="0" w:color="auto"/>
          </w:divBdr>
        </w:div>
        <w:div w:id="786239855">
          <w:marLeft w:val="0"/>
          <w:marRight w:val="0"/>
          <w:marTop w:val="0"/>
          <w:marBottom w:val="0"/>
          <w:divBdr>
            <w:top w:val="none" w:sz="0" w:space="0" w:color="auto"/>
            <w:left w:val="none" w:sz="0" w:space="0" w:color="auto"/>
            <w:bottom w:val="none" w:sz="0" w:space="0" w:color="auto"/>
            <w:right w:val="none" w:sz="0" w:space="0" w:color="auto"/>
          </w:divBdr>
        </w:div>
        <w:div w:id="797921024">
          <w:marLeft w:val="0"/>
          <w:marRight w:val="0"/>
          <w:marTop w:val="0"/>
          <w:marBottom w:val="0"/>
          <w:divBdr>
            <w:top w:val="none" w:sz="0" w:space="0" w:color="auto"/>
            <w:left w:val="none" w:sz="0" w:space="0" w:color="auto"/>
            <w:bottom w:val="none" w:sz="0" w:space="0" w:color="auto"/>
            <w:right w:val="none" w:sz="0" w:space="0" w:color="auto"/>
          </w:divBdr>
        </w:div>
        <w:div w:id="856967982">
          <w:marLeft w:val="0"/>
          <w:marRight w:val="0"/>
          <w:marTop w:val="0"/>
          <w:marBottom w:val="0"/>
          <w:divBdr>
            <w:top w:val="none" w:sz="0" w:space="0" w:color="auto"/>
            <w:left w:val="none" w:sz="0" w:space="0" w:color="auto"/>
            <w:bottom w:val="none" w:sz="0" w:space="0" w:color="auto"/>
            <w:right w:val="none" w:sz="0" w:space="0" w:color="auto"/>
          </w:divBdr>
        </w:div>
        <w:div w:id="911348547">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220435430">
          <w:marLeft w:val="0"/>
          <w:marRight w:val="0"/>
          <w:marTop w:val="0"/>
          <w:marBottom w:val="0"/>
          <w:divBdr>
            <w:top w:val="none" w:sz="0" w:space="0" w:color="auto"/>
            <w:left w:val="none" w:sz="0" w:space="0" w:color="auto"/>
            <w:bottom w:val="none" w:sz="0" w:space="0" w:color="auto"/>
            <w:right w:val="none" w:sz="0" w:space="0" w:color="auto"/>
          </w:divBdr>
        </w:div>
        <w:div w:id="1423988436">
          <w:marLeft w:val="0"/>
          <w:marRight w:val="0"/>
          <w:marTop w:val="0"/>
          <w:marBottom w:val="0"/>
          <w:divBdr>
            <w:top w:val="none" w:sz="0" w:space="0" w:color="auto"/>
            <w:left w:val="none" w:sz="0" w:space="0" w:color="auto"/>
            <w:bottom w:val="none" w:sz="0" w:space="0" w:color="auto"/>
            <w:right w:val="none" w:sz="0" w:space="0" w:color="auto"/>
          </w:divBdr>
        </w:div>
        <w:div w:id="1554006404">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0"/>
          <w:marBottom w:val="0"/>
          <w:divBdr>
            <w:top w:val="none" w:sz="0" w:space="0" w:color="auto"/>
            <w:left w:val="none" w:sz="0" w:space="0" w:color="auto"/>
            <w:bottom w:val="none" w:sz="0" w:space="0" w:color="auto"/>
            <w:right w:val="none" w:sz="0" w:space="0" w:color="auto"/>
          </w:divBdr>
        </w:div>
        <w:div w:id="1725326946">
          <w:marLeft w:val="0"/>
          <w:marRight w:val="0"/>
          <w:marTop w:val="0"/>
          <w:marBottom w:val="0"/>
          <w:divBdr>
            <w:top w:val="none" w:sz="0" w:space="0" w:color="auto"/>
            <w:left w:val="none" w:sz="0" w:space="0" w:color="auto"/>
            <w:bottom w:val="none" w:sz="0" w:space="0" w:color="auto"/>
            <w:right w:val="none" w:sz="0" w:space="0" w:color="auto"/>
          </w:divBdr>
        </w:div>
        <w:div w:id="1792942148">
          <w:marLeft w:val="0"/>
          <w:marRight w:val="0"/>
          <w:marTop w:val="0"/>
          <w:marBottom w:val="0"/>
          <w:divBdr>
            <w:top w:val="none" w:sz="0" w:space="0" w:color="auto"/>
            <w:left w:val="none" w:sz="0" w:space="0" w:color="auto"/>
            <w:bottom w:val="none" w:sz="0" w:space="0" w:color="auto"/>
            <w:right w:val="none" w:sz="0" w:space="0" w:color="auto"/>
          </w:divBdr>
        </w:div>
        <w:div w:id="1837957297">
          <w:marLeft w:val="0"/>
          <w:marRight w:val="0"/>
          <w:marTop w:val="0"/>
          <w:marBottom w:val="0"/>
          <w:divBdr>
            <w:top w:val="none" w:sz="0" w:space="0" w:color="auto"/>
            <w:left w:val="none" w:sz="0" w:space="0" w:color="auto"/>
            <w:bottom w:val="none" w:sz="0" w:space="0" w:color="auto"/>
            <w:right w:val="none" w:sz="0" w:space="0" w:color="auto"/>
          </w:divBdr>
        </w:div>
        <w:div w:id="1838425681">
          <w:marLeft w:val="0"/>
          <w:marRight w:val="0"/>
          <w:marTop w:val="0"/>
          <w:marBottom w:val="0"/>
          <w:divBdr>
            <w:top w:val="none" w:sz="0" w:space="0" w:color="auto"/>
            <w:left w:val="none" w:sz="0" w:space="0" w:color="auto"/>
            <w:bottom w:val="none" w:sz="0" w:space="0" w:color="auto"/>
            <w:right w:val="none" w:sz="0" w:space="0" w:color="auto"/>
          </w:divBdr>
        </w:div>
        <w:div w:id="1848787825">
          <w:marLeft w:val="0"/>
          <w:marRight w:val="0"/>
          <w:marTop w:val="0"/>
          <w:marBottom w:val="0"/>
          <w:divBdr>
            <w:top w:val="none" w:sz="0" w:space="0" w:color="auto"/>
            <w:left w:val="none" w:sz="0" w:space="0" w:color="auto"/>
            <w:bottom w:val="none" w:sz="0" w:space="0" w:color="auto"/>
            <w:right w:val="none" w:sz="0" w:space="0" w:color="auto"/>
          </w:divBdr>
        </w:div>
        <w:div w:id="1874145796">
          <w:marLeft w:val="0"/>
          <w:marRight w:val="0"/>
          <w:marTop w:val="0"/>
          <w:marBottom w:val="0"/>
          <w:divBdr>
            <w:top w:val="none" w:sz="0" w:space="0" w:color="auto"/>
            <w:left w:val="none" w:sz="0" w:space="0" w:color="auto"/>
            <w:bottom w:val="none" w:sz="0" w:space="0" w:color="auto"/>
            <w:right w:val="none" w:sz="0" w:space="0" w:color="auto"/>
          </w:divBdr>
        </w:div>
        <w:div w:id="1961111185">
          <w:marLeft w:val="0"/>
          <w:marRight w:val="0"/>
          <w:marTop w:val="0"/>
          <w:marBottom w:val="0"/>
          <w:divBdr>
            <w:top w:val="none" w:sz="0" w:space="0" w:color="auto"/>
            <w:left w:val="none" w:sz="0" w:space="0" w:color="auto"/>
            <w:bottom w:val="none" w:sz="0" w:space="0" w:color="auto"/>
            <w:right w:val="none" w:sz="0" w:space="0" w:color="auto"/>
          </w:divBdr>
        </w:div>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04065747">
      <w:bodyDiv w:val="1"/>
      <w:marLeft w:val="0"/>
      <w:marRight w:val="0"/>
      <w:marTop w:val="0"/>
      <w:marBottom w:val="0"/>
      <w:divBdr>
        <w:top w:val="none" w:sz="0" w:space="0" w:color="auto"/>
        <w:left w:val="none" w:sz="0" w:space="0" w:color="auto"/>
        <w:bottom w:val="none" w:sz="0" w:space="0" w:color="auto"/>
        <w:right w:val="none" w:sz="0" w:space="0" w:color="auto"/>
      </w:divBdr>
      <w:divsChild>
        <w:div w:id="81609247">
          <w:marLeft w:val="0"/>
          <w:marRight w:val="0"/>
          <w:marTop w:val="0"/>
          <w:marBottom w:val="0"/>
          <w:divBdr>
            <w:top w:val="none" w:sz="0" w:space="0" w:color="auto"/>
            <w:left w:val="none" w:sz="0" w:space="0" w:color="auto"/>
            <w:bottom w:val="none" w:sz="0" w:space="0" w:color="auto"/>
            <w:right w:val="none" w:sz="0" w:space="0" w:color="auto"/>
          </w:divBdr>
        </w:div>
        <w:div w:id="215774040">
          <w:marLeft w:val="0"/>
          <w:marRight w:val="0"/>
          <w:marTop w:val="0"/>
          <w:marBottom w:val="0"/>
          <w:divBdr>
            <w:top w:val="none" w:sz="0" w:space="0" w:color="auto"/>
            <w:left w:val="none" w:sz="0" w:space="0" w:color="auto"/>
            <w:bottom w:val="none" w:sz="0" w:space="0" w:color="auto"/>
            <w:right w:val="none" w:sz="0" w:space="0" w:color="auto"/>
          </w:divBdr>
        </w:div>
        <w:div w:id="260839968">
          <w:marLeft w:val="0"/>
          <w:marRight w:val="0"/>
          <w:marTop w:val="0"/>
          <w:marBottom w:val="0"/>
          <w:divBdr>
            <w:top w:val="none" w:sz="0" w:space="0" w:color="auto"/>
            <w:left w:val="none" w:sz="0" w:space="0" w:color="auto"/>
            <w:bottom w:val="none" w:sz="0" w:space="0" w:color="auto"/>
            <w:right w:val="none" w:sz="0" w:space="0" w:color="auto"/>
          </w:divBdr>
        </w:div>
        <w:div w:id="331295706">
          <w:marLeft w:val="0"/>
          <w:marRight w:val="0"/>
          <w:marTop w:val="0"/>
          <w:marBottom w:val="0"/>
          <w:divBdr>
            <w:top w:val="none" w:sz="0" w:space="0" w:color="auto"/>
            <w:left w:val="none" w:sz="0" w:space="0" w:color="auto"/>
            <w:bottom w:val="none" w:sz="0" w:space="0" w:color="auto"/>
            <w:right w:val="none" w:sz="0" w:space="0" w:color="auto"/>
          </w:divBdr>
        </w:div>
        <w:div w:id="401565863">
          <w:marLeft w:val="0"/>
          <w:marRight w:val="0"/>
          <w:marTop w:val="0"/>
          <w:marBottom w:val="0"/>
          <w:divBdr>
            <w:top w:val="none" w:sz="0" w:space="0" w:color="auto"/>
            <w:left w:val="none" w:sz="0" w:space="0" w:color="auto"/>
            <w:bottom w:val="none" w:sz="0" w:space="0" w:color="auto"/>
            <w:right w:val="none" w:sz="0" w:space="0" w:color="auto"/>
          </w:divBdr>
        </w:div>
        <w:div w:id="728841329">
          <w:marLeft w:val="0"/>
          <w:marRight w:val="0"/>
          <w:marTop w:val="0"/>
          <w:marBottom w:val="0"/>
          <w:divBdr>
            <w:top w:val="none" w:sz="0" w:space="0" w:color="auto"/>
            <w:left w:val="none" w:sz="0" w:space="0" w:color="auto"/>
            <w:bottom w:val="none" w:sz="0" w:space="0" w:color="auto"/>
            <w:right w:val="none" w:sz="0" w:space="0" w:color="auto"/>
          </w:divBdr>
        </w:div>
        <w:div w:id="780996451">
          <w:marLeft w:val="0"/>
          <w:marRight w:val="0"/>
          <w:marTop w:val="0"/>
          <w:marBottom w:val="0"/>
          <w:divBdr>
            <w:top w:val="none" w:sz="0" w:space="0" w:color="auto"/>
            <w:left w:val="none" w:sz="0" w:space="0" w:color="auto"/>
            <w:bottom w:val="none" w:sz="0" w:space="0" w:color="auto"/>
            <w:right w:val="none" w:sz="0" w:space="0" w:color="auto"/>
          </w:divBdr>
        </w:div>
        <w:div w:id="953096275">
          <w:marLeft w:val="0"/>
          <w:marRight w:val="0"/>
          <w:marTop w:val="0"/>
          <w:marBottom w:val="0"/>
          <w:divBdr>
            <w:top w:val="none" w:sz="0" w:space="0" w:color="auto"/>
            <w:left w:val="none" w:sz="0" w:space="0" w:color="auto"/>
            <w:bottom w:val="none" w:sz="0" w:space="0" w:color="auto"/>
            <w:right w:val="none" w:sz="0" w:space="0" w:color="auto"/>
          </w:divBdr>
        </w:div>
        <w:div w:id="968508273">
          <w:marLeft w:val="0"/>
          <w:marRight w:val="0"/>
          <w:marTop w:val="0"/>
          <w:marBottom w:val="0"/>
          <w:divBdr>
            <w:top w:val="none" w:sz="0" w:space="0" w:color="auto"/>
            <w:left w:val="none" w:sz="0" w:space="0" w:color="auto"/>
            <w:bottom w:val="none" w:sz="0" w:space="0" w:color="auto"/>
            <w:right w:val="none" w:sz="0" w:space="0" w:color="auto"/>
          </w:divBdr>
        </w:div>
        <w:div w:id="978268053">
          <w:marLeft w:val="0"/>
          <w:marRight w:val="0"/>
          <w:marTop w:val="0"/>
          <w:marBottom w:val="0"/>
          <w:divBdr>
            <w:top w:val="none" w:sz="0" w:space="0" w:color="auto"/>
            <w:left w:val="none" w:sz="0" w:space="0" w:color="auto"/>
            <w:bottom w:val="none" w:sz="0" w:space="0" w:color="auto"/>
            <w:right w:val="none" w:sz="0" w:space="0" w:color="auto"/>
          </w:divBdr>
        </w:div>
        <w:div w:id="985664907">
          <w:marLeft w:val="0"/>
          <w:marRight w:val="0"/>
          <w:marTop w:val="0"/>
          <w:marBottom w:val="0"/>
          <w:divBdr>
            <w:top w:val="none" w:sz="0" w:space="0" w:color="auto"/>
            <w:left w:val="none" w:sz="0" w:space="0" w:color="auto"/>
            <w:bottom w:val="none" w:sz="0" w:space="0" w:color="auto"/>
            <w:right w:val="none" w:sz="0" w:space="0" w:color="auto"/>
          </w:divBdr>
        </w:div>
        <w:div w:id="1017196070">
          <w:marLeft w:val="0"/>
          <w:marRight w:val="0"/>
          <w:marTop w:val="0"/>
          <w:marBottom w:val="0"/>
          <w:divBdr>
            <w:top w:val="none" w:sz="0" w:space="0" w:color="auto"/>
            <w:left w:val="none" w:sz="0" w:space="0" w:color="auto"/>
            <w:bottom w:val="none" w:sz="0" w:space="0" w:color="auto"/>
            <w:right w:val="none" w:sz="0" w:space="0" w:color="auto"/>
          </w:divBdr>
        </w:div>
        <w:div w:id="1166096587">
          <w:marLeft w:val="0"/>
          <w:marRight w:val="0"/>
          <w:marTop w:val="0"/>
          <w:marBottom w:val="0"/>
          <w:divBdr>
            <w:top w:val="none" w:sz="0" w:space="0" w:color="auto"/>
            <w:left w:val="none" w:sz="0" w:space="0" w:color="auto"/>
            <w:bottom w:val="none" w:sz="0" w:space="0" w:color="auto"/>
            <w:right w:val="none" w:sz="0" w:space="0" w:color="auto"/>
          </w:divBdr>
        </w:div>
        <w:div w:id="1278681724">
          <w:marLeft w:val="0"/>
          <w:marRight w:val="0"/>
          <w:marTop w:val="0"/>
          <w:marBottom w:val="0"/>
          <w:divBdr>
            <w:top w:val="none" w:sz="0" w:space="0" w:color="auto"/>
            <w:left w:val="none" w:sz="0" w:space="0" w:color="auto"/>
            <w:bottom w:val="none" w:sz="0" w:space="0" w:color="auto"/>
            <w:right w:val="none" w:sz="0" w:space="0" w:color="auto"/>
          </w:divBdr>
        </w:div>
        <w:div w:id="1379889493">
          <w:marLeft w:val="0"/>
          <w:marRight w:val="0"/>
          <w:marTop w:val="0"/>
          <w:marBottom w:val="0"/>
          <w:divBdr>
            <w:top w:val="none" w:sz="0" w:space="0" w:color="auto"/>
            <w:left w:val="none" w:sz="0" w:space="0" w:color="auto"/>
            <w:bottom w:val="none" w:sz="0" w:space="0" w:color="auto"/>
            <w:right w:val="none" w:sz="0" w:space="0" w:color="auto"/>
          </w:divBdr>
        </w:div>
        <w:div w:id="1445004523">
          <w:marLeft w:val="0"/>
          <w:marRight w:val="0"/>
          <w:marTop w:val="0"/>
          <w:marBottom w:val="0"/>
          <w:divBdr>
            <w:top w:val="none" w:sz="0" w:space="0" w:color="auto"/>
            <w:left w:val="none" w:sz="0" w:space="0" w:color="auto"/>
            <w:bottom w:val="none" w:sz="0" w:space="0" w:color="auto"/>
            <w:right w:val="none" w:sz="0" w:space="0" w:color="auto"/>
          </w:divBdr>
        </w:div>
        <w:div w:id="1459059022">
          <w:marLeft w:val="0"/>
          <w:marRight w:val="0"/>
          <w:marTop w:val="0"/>
          <w:marBottom w:val="0"/>
          <w:divBdr>
            <w:top w:val="none" w:sz="0" w:space="0" w:color="auto"/>
            <w:left w:val="none" w:sz="0" w:space="0" w:color="auto"/>
            <w:bottom w:val="none" w:sz="0" w:space="0" w:color="auto"/>
            <w:right w:val="none" w:sz="0" w:space="0" w:color="auto"/>
          </w:divBdr>
        </w:div>
        <w:div w:id="1476218227">
          <w:marLeft w:val="0"/>
          <w:marRight w:val="0"/>
          <w:marTop w:val="0"/>
          <w:marBottom w:val="0"/>
          <w:divBdr>
            <w:top w:val="none" w:sz="0" w:space="0" w:color="auto"/>
            <w:left w:val="none" w:sz="0" w:space="0" w:color="auto"/>
            <w:bottom w:val="none" w:sz="0" w:space="0" w:color="auto"/>
            <w:right w:val="none" w:sz="0" w:space="0" w:color="auto"/>
          </w:divBdr>
        </w:div>
        <w:div w:id="1554610327">
          <w:marLeft w:val="0"/>
          <w:marRight w:val="0"/>
          <w:marTop w:val="0"/>
          <w:marBottom w:val="0"/>
          <w:divBdr>
            <w:top w:val="none" w:sz="0" w:space="0" w:color="auto"/>
            <w:left w:val="none" w:sz="0" w:space="0" w:color="auto"/>
            <w:bottom w:val="none" w:sz="0" w:space="0" w:color="auto"/>
            <w:right w:val="none" w:sz="0" w:space="0" w:color="auto"/>
          </w:divBdr>
        </w:div>
        <w:div w:id="1576166135">
          <w:marLeft w:val="0"/>
          <w:marRight w:val="0"/>
          <w:marTop w:val="0"/>
          <w:marBottom w:val="0"/>
          <w:divBdr>
            <w:top w:val="none" w:sz="0" w:space="0" w:color="auto"/>
            <w:left w:val="none" w:sz="0" w:space="0" w:color="auto"/>
            <w:bottom w:val="none" w:sz="0" w:space="0" w:color="auto"/>
            <w:right w:val="none" w:sz="0" w:space="0" w:color="auto"/>
          </w:divBdr>
        </w:div>
        <w:div w:id="1586915351">
          <w:marLeft w:val="0"/>
          <w:marRight w:val="0"/>
          <w:marTop w:val="0"/>
          <w:marBottom w:val="0"/>
          <w:divBdr>
            <w:top w:val="none" w:sz="0" w:space="0" w:color="auto"/>
            <w:left w:val="none" w:sz="0" w:space="0" w:color="auto"/>
            <w:bottom w:val="none" w:sz="0" w:space="0" w:color="auto"/>
            <w:right w:val="none" w:sz="0" w:space="0" w:color="auto"/>
          </w:divBdr>
        </w:div>
        <w:div w:id="1691032713">
          <w:marLeft w:val="0"/>
          <w:marRight w:val="0"/>
          <w:marTop w:val="0"/>
          <w:marBottom w:val="0"/>
          <w:divBdr>
            <w:top w:val="none" w:sz="0" w:space="0" w:color="auto"/>
            <w:left w:val="none" w:sz="0" w:space="0" w:color="auto"/>
            <w:bottom w:val="none" w:sz="0" w:space="0" w:color="auto"/>
            <w:right w:val="none" w:sz="0" w:space="0" w:color="auto"/>
          </w:divBdr>
        </w:div>
        <w:div w:id="1702625384">
          <w:marLeft w:val="0"/>
          <w:marRight w:val="0"/>
          <w:marTop w:val="0"/>
          <w:marBottom w:val="0"/>
          <w:divBdr>
            <w:top w:val="none" w:sz="0" w:space="0" w:color="auto"/>
            <w:left w:val="none" w:sz="0" w:space="0" w:color="auto"/>
            <w:bottom w:val="none" w:sz="0" w:space="0" w:color="auto"/>
            <w:right w:val="none" w:sz="0" w:space="0" w:color="auto"/>
          </w:divBdr>
        </w:div>
        <w:div w:id="1806241140">
          <w:marLeft w:val="0"/>
          <w:marRight w:val="0"/>
          <w:marTop w:val="0"/>
          <w:marBottom w:val="0"/>
          <w:divBdr>
            <w:top w:val="none" w:sz="0" w:space="0" w:color="auto"/>
            <w:left w:val="none" w:sz="0" w:space="0" w:color="auto"/>
            <w:bottom w:val="none" w:sz="0" w:space="0" w:color="auto"/>
            <w:right w:val="none" w:sz="0" w:space="0" w:color="auto"/>
          </w:divBdr>
        </w:div>
        <w:div w:id="1910264978">
          <w:marLeft w:val="0"/>
          <w:marRight w:val="0"/>
          <w:marTop w:val="0"/>
          <w:marBottom w:val="0"/>
          <w:divBdr>
            <w:top w:val="none" w:sz="0" w:space="0" w:color="auto"/>
            <w:left w:val="none" w:sz="0" w:space="0" w:color="auto"/>
            <w:bottom w:val="none" w:sz="0" w:space="0" w:color="auto"/>
            <w:right w:val="none" w:sz="0" w:space="0" w:color="auto"/>
          </w:divBdr>
        </w:div>
        <w:div w:id="2102948043">
          <w:marLeft w:val="0"/>
          <w:marRight w:val="0"/>
          <w:marTop w:val="0"/>
          <w:marBottom w:val="0"/>
          <w:divBdr>
            <w:top w:val="none" w:sz="0" w:space="0" w:color="auto"/>
            <w:left w:val="none" w:sz="0" w:space="0" w:color="auto"/>
            <w:bottom w:val="none" w:sz="0" w:space="0" w:color="auto"/>
            <w:right w:val="none" w:sz="0" w:space="0" w:color="auto"/>
          </w:divBdr>
        </w:div>
      </w:divsChild>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85652023">
      <w:bodyDiv w:val="1"/>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
        <w:div w:id="46028946">
          <w:marLeft w:val="0"/>
          <w:marRight w:val="0"/>
          <w:marTop w:val="0"/>
          <w:marBottom w:val="0"/>
          <w:divBdr>
            <w:top w:val="none" w:sz="0" w:space="0" w:color="auto"/>
            <w:left w:val="none" w:sz="0" w:space="0" w:color="auto"/>
            <w:bottom w:val="none" w:sz="0" w:space="0" w:color="auto"/>
            <w:right w:val="none" w:sz="0" w:space="0" w:color="auto"/>
          </w:divBdr>
        </w:div>
        <w:div w:id="47920637">
          <w:marLeft w:val="0"/>
          <w:marRight w:val="0"/>
          <w:marTop w:val="0"/>
          <w:marBottom w:val="0"/>
          <w:divBdr>
            <w:top w:val="none" w:sz="0" w:space="0" w:color="auto"/>
            <w:left w:val="none" w:sz="0" w:space="0" w:color="auto"/>
            <w:bottom w:val="none" w:sz="0" w:space="0" w:color="auto"/>
            <w:right w:val="none" w:sz="0" w:space="0" w:color="auto"/>
          </w:divBdr>
        </w:div>
        <w:div w:id="59258547">
          <w:marLeft w:val="0"/>
          <w:marRight w:val="0"/>
          <w:marTop w:val="0"/>
          <w:marBottom w:val="0"/>
          <w:divBdr>
            <w:top w:val="none" w:sz="0" w:space="0" w:color="auto"/>
            <w:left w:val="none" w:sz="0" w:space="0" w:color="auto"/>
            <w:bottom w:val="none" w:sz="0" w:space="0" w:color="auto"/>
            <w:right w:val="none" w:sz="0" w:space="0" w:color="auto"/>
          </w:divBdr>
        </w:div>
        <w:div w:id="96413446">
          <w:marLeft w:val="0"/>
          <w:marRight w:val="0"/>
          <w:marTop w:val="0"/>
          <w:marBottom w:val="0"/>
          <w:divBdr>
            <w:top w:val="none" w:sz="0" w:space="0" w:color="auto"/>
            <w:left w:val="none" w:sz="0" w:space="0" w:color="auto"/>
            <w:bottom w:val="none" w:sz="0" w:space="0" w:color="auto"/>
            <w:right w:val="none" w:sz="0" w:space="0" w:color="auto"/>
          </w:divBdr>
        </w:div>
        <w:div w:id="110126251">
          <w:marLeft w:val="0"/>
          <w:marRight w:val="0"/>
          <w:marTop w:val="0"/>
          <w:marBottom w:val="0"/>
          <w:divBdr>
            <w:top w:val="none" w:sz="0" w:space="0" w:color="auto"/>
            <w:left w:val="none" w:sz="0" w:space="0" w:color="auto"/>
            <w:bottom w:val="none" w:sz="0" w:space="0" w:color="auto"/>
            <w:right w:val="none" w:sz="0" w:space="0" w:color="auto"/>
          </w:divBdr>
        </w:div>
        <w:div w:id="134880625">
          <w:marLeft w:val="0"/>
          <w:marRight w:val="0"/>
          <w:marTop w:val="0"/>
          <w:marBottom w:val="0"/>
          <w:divBdr>
            <w:top w:val="none" w:sz="0" w:space="0" w:color="auto"/>
            <w:left w:val="none" w:sz="0" w:space="0" w:color="auto"/>
            <w:bottom w:val="none" w:sz="0" w:space="0" w:color="auto"/>
            <w:right w:val="none" w:sz="0" w:space="0" w:color="auto"/>
          </w:divBdr>
        </w:div>
        <w:div w:id="198401724">
          <w:marLeft w:val="0"/>
          <w:marRight w:val="0"/>
          <w:marTop w:val="0"/>
          <w:marBottom w:val="0"/>
          <w:divBdr>
            <w:top w:val="none" w:sz="0" w:space="0" w:color="auto"/>
            <w:left w:val="none" w:sz="0" w:space="0" w:color="auto"/>
            <w:bottom w:val="none" w:sz="0" w:space="0" w:color="auto"/>
            <w:right w:val="none" w:sz="0" w:space="0" w:color="auto"/>
          </w:divBdr>
        </w:div>
        <w:div w:id="258561928">
          <w:marLeft w:val="0"/>
          <w:marRight w:val="0"/>
          <w:marTop w:val="0"/>
          <w:marBottom w:val="0"/>
          <w:divBdr>
            <w:top w:val="none" w:sz="0" w:space="0" w:color="auto"/>
            <w:left w:val="none" w:sz="0" w:space="0" w:color="auto"/>
            <w:bottom w:val="none" w:sz="0" w:space="0" w:color="auto"/>
            <w:right w:val="none" w:sz="0" w:space="0" w:color="auto"/>
          </w:divBdr>
        </w:div>
        <w:div w:id="300816040">
          <w:marLeft w:val="0"/>
          <w:marRight w:val="0"/>
          <w:marTop w:val="0"/>
          <w:marBottom w:val="0"/>
          <w:divBdr>
            <w:top w:val="none" w:sz="0" w:space="0" w:color="auto"/>
            <w:left w:val="none" w:sz="0" w:space="0" w:color="auto"/>
            <w:bottom w:val="none" w:sz="0" w:space="0" w:color="auto"/>
            <w:right w:val="none" w:sz="0" w:space="0" w:color="auto"/>
          </w:divBdr>
        </w:div>
        <w:div w:id="319119153">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 w:id="428234038">
          <w:marLeft w:val="0"/>
          <w:marRight w:val="0"/>
          <w:marTop w:val="0"/>
          <w:marBottom w:val="0"/>
          <w:divBdr>
            <w:top w:val="none" w:sz="0" w:space="0" w:color="auto"/>
            <w:left w:val="none" w:sz="0" w:space="0" w:color="auto"/>
            <w:bottom w:val="none" w:sz="0" w:space="0" w:color="auto"/>
            <w:right w:val="none" w:sz="0" w:space="0" w:color="auto"/>
          </w:divBdr>
        </w:div>
        <w:div w:id="765927232">
          <w:marLeft w:val="0"/>
          <w:marRight w:val="0"/>
          <w:marTop w:val="0"/>
          <w:marBottom w:val="0"/>
          <w:divBdr>
            <w:top w:val="none" w:sz="0" w:space="0" w:color="auto"/>
            <w:left w:val="none" w:sz="0" w:space="0" w:color="auto"/>
            <w:bottom w:val="none" w:sz="0" w:space="0" w:color="auto"/>
            <w:right w:val="none" w:sz="0" w:space="0" w:color="auto"/>
          </w:divBdr>
        </w:div>
        <w:div w:id="905187923">
          <w:marLeft w:val="0"/>
          <w:marRight w:val="0"/>
          <w:marTop w:val="0"/>
          <w:marBottom w:val="0"/>
          <w:divBdr>
            <w:top w:val="none" w:sz="0" w:space="0" w:color="auto"/>
            <w:left w:val="none" w:sz="0" w:space="0" w:color="auto"/>
            <w:bottom w:val="none" w:sz="0" w:space="0" w:color="auto"/>
            <w:right w:val="none" w:sz="0" w:space="0" w:color="auto"/>
          </w:divBdr>
        </w:div>
        <w:div w:id="906960209">
          <w:marLeft w:val="0"/>
          <w:marRight w:val="0"/>
          <w:marTop w:val="0"/>
          <w:marBottom w:val="0"/>
          <w:divBdr>
            <w:top w:val="none" w:sz="0" w:space="0" w:color="auto"/>
            <w:left w:val="none" w:sz="0" w:space="0" w:color="auto"/>
            <w:bottom w:val="none" w:sz="0" w:space="0" w:color="auto"/>
            <w:right w:val="none" w:sz="0" w:space="0" w:color="auto"/>
          </w:divBdr>
        </w:div>
        <w:div w:id="924535758">
          <w:marLeft w:val="0"/>
          <w:marRight w:val="0"/>
          <w:marTop w:val="0"/>
          <w:marBottom w:val="0"/>
          <w:divBdr>
            <w:top w:val="none" w:sz="0" w:space="0" w:color="auto"/>
            <w:left w:val="none" w:sz="0" w:space="0" w:color="auto"/>
            <w:bottom w:val="none" w:sz="0" w:space="0" w:color="auto"/>
            <w:right w:val="none" w:sz="0" w:space="0" w:color="auto"/>
          </w:divBdr>
        </w:div>
        <w:div w:id="1022779969">
          <w:marLeft w:val="0"/>
          <w:marRight w:val="0"/>
          <w:marTop w:val="0"/>
          <w:marBottom w:val="0"/>
          <w:divBdr>
            <w:top w:val="none" w:sz="0" w:space="0" w:color="auto"/>
            <w:left w:val="none" w:sz="0" w:space="0" w:color="auto"/>
            <w:bottom w:val="none" w:sz="0" w:space="0" w:color="auto"/>
            <w:right w:val="none" w:sz="0" w:space="0" w:color="auto"/>
          </w:divBdr>
        </w:div>
        <w:div w:id="1033925039">
          <w:marLeft w:val="0"/>
          <w:marRight w:val="0"/>
          <w:marTop w:val="0"/>
          <w:marBottom w:val="0"/>
          <w:divBdr>
            <w:top w:val="none" w:sz="0" w:space="0" w:color="auto"/>
            <w:left w:val="none" w:sz="0" w:space="0" w:color="auto"/>
            <w:bottom w:val="none" w:sz="0" w:space="0" w:color="auto"/>
            <w:right w:val="none" w:sz="0" w:space="0" w:color="auto"/>
          </w:divBdr>
        </w:div>
        <w:div w:id="1113331214">
          <w:marLeft w:val="0"/>
          <w:marRight w:val="0"/>
          <w:marTop w:val="0"/>
          <w:marBottom w:val="0"/>
          <w:divBdr>
            <w:top w:val="none" w:sz="0" w:space="0" w:color="auto"/>
            <w:left w:val="none" w:sz="0" w:space="0" w:color="auto"/>
            <w:bottom w:val="none" w:sz="0" w:space="0" w:color="auto"/>
            <w:right w:val="none" w:sz="0" w:space="0" w:color="auto"/>
          </w:divBdr>
        </w:div>
        <w:div w:id="1423258959">
          <w:marLeft w:val="0"/>
          <w:marRight w:val="0"/>
          <w:marTop w:val="0"/>
          <w:marBottom w:val="0"/>
          <w:divBdr>
            <w:top w:val="none" w:sz="0" w:space="0" w:color="auto"/>
            <w:left w:val="none" w:sz="0" w:space="0" w:color="auto"/>
            <w:bottom w:val="none" w:sz="0" w:space="0" w:color="auto"/>
            <w:right w:val="none" w:sz="0" w:space="0" w:color="auto"/>
          </w:divBdr>
        </w:div>
        <w:div w:id="1545823954">
          <w:marLeft w:val="0"/>
          <w:marRight w:val="0"/>
          <w:marTop w:val="0"/>
          <w:marBottom w:val="0"/>
          <w:divBdr>
            <w:top w:val="none" w:sz="0" w:space="0" w:color="auto"/>
            <w:left w:val="none" w:sz="0" w:space="0" w:color="auto"/>
            <w:bottom w:val="none" w:sz="0" w:space="0" w:color="auto"/>
            <w:right w:val="none" w:sz="0" w:space="0" w:color="auto"/>
          </w:divBdr>
        </w:div>
        <w:div w:id="1911622740">
          <w:marLeft w:val="0"/>
          <w:marRight w:val="0"/>
          <w:marTop w:val="0"/>
          <w:marBottom w:val="0"/>
          <w:divBdr>
            <w:top w:val="none" w:sz="0" w:space="0" w:color="auto"/>
            <w:left w:val="none" w:sz="0" w:space="0" w:color="auto"/>
            <w:bottom w:val="none" w:sz="0" w:space="0" w:color="auto"/>
            <w:right w:val="none" w:sz="0" w:space="0" w:color="auto"/>
          </w:divBdr>
        </w:div>
        <w:div w:id="2043898026">
          <w:marLeft w:val="0"/>
          <w:marRight w:val="0"/>
          <w:marTop w:val="0"/>
          <w:marBottom w:val="0"/>
          <w:divBdr>
            <w:top w:val="none" w:sz="0" w:space="0" w:color="auto"/>
            <w:left w:val="none" w:sz="0" w:space="0" w:color="auto"/>
            <w:bottom w:val="none" w:sz="0" w:space="0" w:color="auto"/>
            <w:right w:val="none" w:sz="0" w:space="0" w:color="auto"/>
          </w:divBdr>
        </w:div>
        <w:div w:id="2073192161">
          <w:marLeft w:val="0"/>
          <w:marRight w:val="0"/>
          <w:marTop w:val="0"/>
          <w:marBottom w:val="0"/>
          <w:divBdr>
            <w:top w:val="none" w:sz="0" w:space="0" w:color="auto"/>
            <w:left w:val="none" w:sz="0" w:space="0" w:color="auto"/>
            <w:bottom w:val="none" w:sz="0" w:space="0" w:color="auto"/>
            <w:right w:val="none" w:sz="0" w:space="0" w:color="auto"/>
          </w:divBdr>
        </w:div>
        <w:div w:id="2113699562">
          <w:marLeft w:val="0"/>
          <w:marRight w:val="0"/>
          <w:marTop w:val="0"/>
          <w:marBottom w:val="0"/>
          <w:divBdr>
            <w:top w:val="none" w:sz="0" w:space="0" w:color="auto"/>
            <w:left w:val="none" w:sz="0" w:space="0" w:color="auto"/>
            <w:bottom w:val="none" w:sz="0" w:space="0" w:color="auto"/>
            <w:right w:val="none" w:sz="0" w:space="0" w:color="auto"/>
          </w:divBdr>
        </w:div>
      </w:divsChild>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Kęstutis Gramba</DisplayName>
        <AccountId>162</AccountId>
        <AccountType/>
      </UserInfo>
      <UserInfo>
        <DisplayName>Ana Krisiūnienė</DisplayName>
        <AccountId>59</AccountId>
        <AccountType/>
      </UserInfo>
      <UserInfo>
        <DisplayName>Arūnas Jurgelaitis</DisplayName>
        <AccountId>60</AccountId>
        <AccountType/>
      </UserInfo>
      <UserInfo>
        <DisplayName>Edita Kazakevičienė</DisplayName>
        <AccountId>171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EE474-9992-4669-A70F-7DB66113F5F0}">
  <ds:schemaRefs>
    <ds:schemaRef ds:uri="http://schemas.microsoft.com/sharepoint/v3/contenttype/forms"/>
  </ds:schemaRefs>
</ds:datastoreItem>
</file>

<file path=customXml/itemProps2.xml><?xml version="1.0" encoding="utf-8"?>
<ds:datastoreItem xmlns:ds="http://schemas.openxmlformats.org/officeDocument/2006/customXml" ds:itemID="{5685F559-956C-47F7-8B12-EF7AE770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616899A7-ADC3-43DA-8ABD-F9D0C6C745C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1009</Words>
  <Characters>5752</Characters>
  <Application>Microsoft Office Word</Application>
  <DocSecurity>4</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dc:creator>
  <cp:keywords/>
  <cp:lastModifiedBy>Mantas Bieliauskas</cp:lastModifiedBy>
  <cp:revision>35</cp:revision>
  <dcterms:created xsi:type="dcterms:W3CDTF">2025-05-09T19:32:00Z</dcterms:created>
  <dcterms:modified xsi:type="dcterms:W3CDTF">2025-05-09T12:17:00Z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