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62387" w14:textId="2C562F61" w:rsidR="00DA34A6" w:rsidRDefault="0055238C">
      <w:r>
        <w:rPr>
          <w:i/>
          <w:iCs/>
          <w:noProof/>
          <w:color w:val="273780" w:themeColor="text2"/>
        </w:rPr>
        <w:drawing>
          <wp:anchor distT="0" distB="0" distL="114300" distR="114300" simplePos="0" relativeHeight="251658240" behindDoc="0" locked="0" layoutInCell="1" allowOverlap="1" wp14:anchorId="01A1EE43" wp14:editId="30644D63">
            <wp:simplePos x="0" y="0"/>
            <wp:positionH relativeFrom="margin">
              <wp:posOffset>0</wp:posOffset>
            </wp:positionH>
            <wp:positionV relativeFrom="paragraph">
              <wp:posOffset>-168910</wp:posOffset>
            </wp:positionV>
            <wp:extent cx="1102360" cy="721360"/>
            <wp:effectExtent l="0" t="0" r="2540" b="2540"/>
            <wp:wrapNone/>
            <wp:docPr id="193642602" name="Image 1" descr="Une image contenant texte, Police, Graph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507673" name="Image 1" descr="Une image contenant texte, Police, Graphique, capture d’écran&#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2360" cy="721360"/>
                    </a:xfrm>
                    <a:prstGeom prst="rect">
                      <a:avLst/>
                    </a:prstGeom>
                  </pic:spPr>
                </pic:pic>
              </a:graphicData>
            </a:graphic>
          </wp:anchor>
        </w:drawing>
      </w:r>
      <w:r>
        <w:rPr>
          <w:noProof/>
          <w:shd w:val="clear" w:color="auto" w:fill="FFFF00"/>
        </w:rPr>
        <mc:AlternateContent>
          <mc:Choice Requires="wps">
            <w:drawing>
              <wp:anchor distT="0" distB="0" distL="114300" distR="114300" simplePos="0" relativeHeight="251658241" behindDoc="0" locked="0" layoutInCell="1" allowOverlap="1" wp14:anchorId="76731373" wp14:editId="58092C50">
                <wp:simplePos x="0" y="0"/>
                <wp:positionH relativeFrom="margin">
                  <wp:align>right</wp:align>
                </wp:positionH>
                <wp:positionV relativeFrom="paragraph">
                  <wp:posOffset>193040</wp:posOffset>
                </wp:positionV>
                <wp:extent cx="3386455" cy="489585"/>
                <wp:effectExtent l="0" t="0" r="0" b="5715"/>
                <wp:wrapSquare wrapText="bothSides"/>
                <wp:docPr id="1018044662" name="Text Box 217"/>
                <wp:cNvGraphicFramePr/>
                <a:graphic xmlns:a="http://schemas.openxmlformats.org/drawingml/2006/main">
                  <a:graphicData uri="http://schemas.microsoft.com/office/word/2010/wordprocessingShape">
                    <wps:wsp>
                      <wps:cNvSpPr txBox="1"/>
                      <wps:spPr>
                        <a:xfrm>
                          <a:off x="0" y="0"/>
                          <a:ext cx="3386455" cy="489585"/>
                        </a:xfrm>
                        <a:prstGeom prst="rect">
                          <a:avLst/>
                        </a:prstGeom>
                        <a:noFill/>
                        <a:ln w="9528">
                          <a:noFill/>
                          <a:prstDash val="solid"/>
                        </a:ln>
                      </wps:spPr>
                      <wps:txbx>
                        <w:txbxContent>
                          <w:p w14:paraId="67A3DAFB" w14:textId="0F96A3DA" w:rsidR="0055238C" w:rsidRPr="00E339D6" w:rsidRDefault="0055238C" w:rsidP="0055238C">
                            <w:pPr>
                              <w:jc w:val="right"/>
                              <w:rPr>
                                <w:b/>
                                <w:color w:val="273780" w:themeColor="text2"/>
                              </w:rPr>
                            </w:pPr>
                            <w:r w:rsidRPr="00E339D6">
                              <w:rPr>
                                <w:b/>
                                <w:color w:val="273780" w:themeColor="text2"/>
                              </w:rPr>
                              <w:t>Communiqu</w:t>
                            </w:r>
                            <w:r>
                              <w:rPr>
                                <w:b/>
                                <w:color w:val="273780" w:themeColor="text2"/>
                              </w:rPr>
                              <w:t>é</w:t>
                            </w:r>
                            <w:r w:rsidRPr="00E339D6">
                              <w:rPr>
                                <w:b/>
                                <w:color w:val="273780" w:themeColor="text2"/>
                              </w:rPr>
                              <w:t xml:space="preserve"> de presse</w:t>
                            </w:r>
                            <w:r w:rsidRPr="00E339D6">
                              <w:rPr>
                                <w:b/>
                                <w:color w:val="273780" w:themeColor="text2"/>
                              </w:rPr>
                              <w:br/>
                              <w:t xml:space="preserve">Le </w:t>
                            </w:r>
                            <w:r w:rsidR="00090E4B">
                              <w:rPr>
                                <w:b/>
                                <w:color w:val="273780" w:themeColor="text2"/>
                              </w:rPr>
                              <w:t xml:space="preserve">26 </w:t>
                            </w:r>
                            <w:r>
                              <w:rPr>
                                <w:b/>
                                <w:color w:val="273780" w:themeColor="text2"/>
                              </w:rPr>
                              <w:t>mars</w:t>
                            </w:r>
                            <w:r w:rsidRPr="00E339D6">
                              <w:rPr>
                                <w:b/>
                                <w:color w:val="273780" w:themeColor="text2"/>
                              </w:rPr>
                              <w:t xml:space="preserve"> 2026</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76731373" id="_x0000_t202" coordsize="21600,21600" o:spt="202" path="m,l,21600r21600,l21600,xe">
                <v:stroke joinstyle="miter"/>
                <v:path gradientshapeok="t" o:connecttype="rect"/>
              </v:shapetype>
              <v:shape id="Text Box 217" o:spid="_x0000_s1026" type="#_x0000_t202" style="position:absolute;margin-left:215.45pt;margin-top:15.2pt;width:266.65pt;height:38.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" filled="f" stroked="f" strokeweight=".26467mm">
                <v:textbox>
                  <w:txbxContent>
                    <w:p w14:paraId="67A3DAFB" w14:textId="0F96A3DA" w:rsidR="0055238C" w:rsidRPr="00E339D6" w:rsidRDefault="0055238C" w:rsidP="0055238C">
                      <w:pPr>
                        <w:jc w:val="right"/>
                        <w:rPr>
                          <w:b/>
                          <w:color w:val="273780" w:themeColor="text2"/>
                        </w:rPr>
                      </w:pPr>
                      <w:r w:rsidRPr="00E339D6">
                        <w:rPr>
                          <w:b/>
                          <w:color w:val="273780" w:themeColor="text2"/>
                        </w:rPr>
                        <w:t>Communiqu</w:t>
                      </w:r>
                      <w:r>
                        <w:rPr>
                          <w:b/>
                          <w:color w:val="273780" w:themeColor="text2"/>
                        </w:rPr>
                        <w:t>é</w:t>
                      </w:r>
                      <w:r w:rsidRPr="00E339D6">
                        <w:rPr>
                          <w:b/>
                          <w:color w:val="273780" w:themeColor="text2"/>
                        </w:rPr>
                        <w:t xml:space="preserve"> de presse</w:t>
                      </w:r>
                      <w:r w:rsidRPr="00E339D6">
                        <w:rPr>
                          <w:b/>
                          <w:color w:val="273780" w:themeColor="text2"/>
                        </w:rPr>
                        <w:br/>
                        <w:t xml:space="preserve">Le </w:t>
                      </w:r>
                      <w:r w:rsidR="00090E4B">
                        <w:rPr>
                          <w:b/>
                          <w:color w:val="273780" w:themeColor="text2"/>
                        </w:rPr>
                        <w:t xml:space="preserve">26 </w:t>
                      </w:r>
                      <w:r>
                        <w:rPr>
                          <w:b/>
                          <w:color w:val="273780" w:themeColor="text2"/>
                        </w:rPr>
                        <w:t>mars</w:t>
                      </w:r>
                      <w:r w:rsidRPr="00E339D6">
                        <w:rPr>
                          <w:b/>
                          <w:color w:val="273780" w:themeColor="text2"/>
                        </w:rPr>
                        <w:t xml:space="preserve"> 2026</w:t>
                      </w:r>
                    </w:p>
                  </w:txbxContent>
                </v:textbox>
                <w10:wrap type="square" anchorx="margin"/>
              </v:shape>
            </w:pict>
          </mc:Fallback>
        </mc:AlternateContent>
      </w:r>
    </w:p>
    <w:p w14:paraId="06EDBDE0" w14:textId="7A3DBDF4" w:rsidR="00DA34A6" w:rsidRDefault="00DA34A6">
      <w:pPr>
        <w:jc w:val="both"/>
        <w:rPr>
          <w:rFonts w:ascii="Antipasto" w:hAnsi="Antipasto"/>
          <w:color w:val="273780"/>
          <w:sz w:val="36"/>
          <w:szCs w:val="36"/>
          <w:shd w:val="clear" w:color="auto" w:fill="FFFF00"/>
          <w:lang w:val="en-GB"/>
        </w:rPr>
      </w:pPr>
    </w:p>
    <w:p w14:paraId="305B568C" w14:textId="77777777" w:rsidR="00AF4777" w:rsidRDefault="00AF4777" w:rsidP="004845B6">
      <w:pPr>
        <w:spacing w:after="120"/>
        <w:jc w:val="both"/>
        <w:rPr>
          <w:rFonts w:ascii="Arial" w:hAnsi="Arial" w:cs="Arial"/>
          <w:b/>
          <w:bCs/>
          <w:i/>
          <w:iCs/>
        </w:rPr>
      </w:pPr>
    </w:p>
    <w:p w14:paraId="402D9D2D" w14:textId="77777777" w:rsidR="004845B6" w:rsidRPr="00BF3E56" w:rsidRDefault="004845B6" w:rsidP="004845B6">
      <w:pPr>
        <w:spacing w:after="120"/>
        <w:jc w:val="both"/>
        <w:rPr>
          <w:rFonts w:ascii="Arial" w:hAnsi="Arial" w:cs="Arial"/>
          <w:b/>
          <w:bCs/>
          <w:i/>
          <w:iCs/>
        </w:rPr>
      </w:pPr>
    </w:p>
    <w:p w14:paraId="331421F6" w14:textId="4E8E6AA0" w:rsidR="009B624C" w:rsidRPr="008E13B9" w:rsidRDefault="009B624C" w:rsidP="009B624C">
      <w:pPr>
        <w:jc w:val="center"/>
        <w:rPr>
          <w:rFonts w:ascii="Antipasto" w:hAnsi="Antipasto" w:cs="Calibri"/>
          <w:b/>
          <w:bCs/>
          <w:color w:val="273780" w:themeColor="text2"/>
          <w:sz w:val="40"/>
          <w:szCs w:val="40"/>
        </w:rPr>
      </w:pPr>
      <w:r w:rsidRPr="008E13B9">
        <w:rPr>
          <w:rFonts w:ascii="Antipasto" w:hAnsi="Antipasto" w:cs="Calibri"/>
          <w:b/>
          <w:bCs/>
          <w:color w:val="273780" w:themeColor="text2"/>
          <w:sz w:val="40"/>
          <w:szCs w:val="40"/>
        </w:rPr>
        <w:t>Résultats annuels 2025 :</w:t>
      </w:r>
    </w:p>
    <w:p w14:paraId="1E253F5C" w14:textId="1124B4F0" w:rsidR="260E35FB" w:rsidRPr="007F76EC" w:rsidRDefault="00FD64F4" w:rsidP="005716F4">
      <w:pPr>
        <w:jc w:val="center"/>
        <w:rPr>
          <w:rFonts w:ascii="Antipasto" w:hAnsi="Antipasto" w:cs="Calibri"/>
          <w:b/>
          <w:bCs/>
          <w:color w:val="273780" w:themeColor="text2"/>
          <w:sz w:val="34"/>
          <w:szCs w:val="34"/>
        </w:rPr>
      </w:pPr>
      <w:r>
        <w:rPr>
          <w:rFonts w:ascii="Antipasto" w:hAnsi="Antipasto" w:cs="Calibri"/>
          <w:b/>
          <w:bCs/>
          <w:color w:val="273780" w:themeColor="text2"/>
          <w:sz w:val="34"/>
          <w:szCs w:val="34"/>
        </w:rPr>
        <w:t>Le</w:t>
      </w:r>
      <w:r w:rsidR="3F21803E" w:rsidRPr="7F720FDA">
        <w:rPr>
          <w:rFonts w:ascii="Antipasto" w:hAnsi="Antipasto" w:cs="Calibri"/>
          <w:b/>
          <w:bCs/>
          <w:color w:val="273780" w:themeColor="text2"/>
          <w:sz w:val="34"/>
          <w:szCs w:val="34"/>
        </w:rPr>
        <w:t xml:space="preserve"> Groupe </w:t>
      </w:r>
      <w:r w:rsidR="394B67DA" w:rsidRPr="7F720FDA">
        <w:rPr>
          <w:rFonts w:ascii="Antipasto" w:hAnsi="Antipasto" w:cs="Calibri"/>
          <w:b/>
          <w:bCs/>
          <w:color w:val="273780" w:themeColor="text2"/>
          <w:sz w:val="34"/>
          <w:szCs w:val="34"/>
        </w:rPr>
        <w:t>AFL enregistre des résultats historiques et double son résultat net</w:t>
      </w:r>
    </w:p>
    <w:p w14:paraId="715A4973" w14:textId="288318F0" w:rsidR="00B33AE3" w:rsidRPr="001C6EC9" w:rsidRDefault="00B33AE3" w:rsidP="001C6EC9">
      <w:pPr>
        <w:rPr>
          <w:rFonts w:ascii="Antipasto" w:eastAsiaTheme="minorEastAsia" w:hAnsi="Antipasto" w:cstheme="minorBidi"/>
          <w:color w:val="273780" w:themeColor="text2"/>
          <w:sz w:val="14"/>
          <w:szCs w:val="14"/>
        </w:rPr>
      </w:pPr>
      <w:r>
        <w:rPr>
          <w:rFonts w:ascii="Antipasto" w:eastAsiaTheme="minorEastAsia" w:hAnsi="Antipasto" w:cstheme="minorBidi"/>
          <w:color w:val="273780" w:themeColor="text2"/>
          <w:sz w:val="14"/>
          <w:szCs w:val="14"/>
        </w:rPr>
        <w:br/>
      </w:r>
      <w:r w:rsidR="001C6EC9">
        <w:rPr>
          <w:rFonts w:ascii="Antipasto" w:eastAsiaTheme="minorEastAsia" w:hAnsi="Antipasto" w:cstheme="minorBidi"/>
          <w:color w:val="273780" w:themeColor="text2"/>
          <w:sz w:val="14"/>
          <w:szCs w:val="14"/>
        </w:rPr>
        <w:br/>
      </w:r>
      <w:r w:rsidR="001C6EC9">
        <w:rPr>
          <w:rFonts w:ascii="Antipasto" w:eastAsiaTheme="minorEastAsia" w:hAnsi="Antipasto" w:cstheme="minorBidi"/>
          <w:color w:val="273780" w:themeColor="text2"/>
          <w:sz w:val="14"/>
          <w:szCs w:val="14"/>
        </w:rPr>
        <w:br/>
      </w:r>
      <w:r w:rsidRPr="00D90AF2">
        <w:rPr>
          <w:rFonts w:ascii="Antipasto" w:eastAsia="Times New Roman" w:hAnsi="Antipasto"/>
          <w:b/>
          <w:bCs/>
          <w:color w:val="C30D25" w:themeColor="accent4"/>
          <w:sz w:val="32"/>
          <w:szCs w:val="32"/>
        </w:rPr>
        <w:t>A</w:t>
      </w:r>
      <w:r w:rsidR="00104E06" w:rsidRPr="00D90AF2">
        <w:rPr>
          <w:rFonts w:ascii="Antipasto" w:eastAsia="Times New Roman" w:hAnsi="Antipasto"/>
          <w:b/>
          <w:bCs/>
          <w:color w:val="C30D25" w:themeColor="accent4"/>
          <w:sz w:val="32"/>
          <w:szCs w:val="32"/>
        </w:rPr>
        <w:t xml:space="preserve">ctivité dynamique et résultats records </w:t>
      </w:r>
      <w:r w:rsidR="00D90AF2" w:rsidRPr="00D90AF2">
        <w:rPr>
          <w:rFonts w:ascii="Antipasto" w:eastAsia="Times New Roman" w:hAnsi="Antipasto"/>
          <w:b/>
          <w:bCs/>
          <w:color w:val="C30D25" w:themeColor="accent4"/>
          <w:sz w:val="32"/>
          <w:szCs w:val="32"/>
        </w:rPr>
        <w:t>en 2025</w:t>
      </w:r>
      <w:r w:rsidR="00D90AF2">
        <w:rPr>
          <w:rFonts w:ascii="Gotham Bold" w:hAnsi="Gotham Bold" w:cs="Arial"/>
          <w:color w:val="273780" w:themeColor="text2"/>
        </w:rPr>
        <w:t xml:space="preserve"> </w:t>
      </w:r>
      <w:r w:rsidRPr="7F720FDA">
        <w:rPr>
          <w:rFonts w:ascii="Gotham Bold" w:hAnsi="Gotham Bold" w:cs="Arial"/>
          <w:color w:val="273780" w:themeColor="text2"/>
        </w:rPr>
        <w:t xml:space="preserve">   </w:t>
      </w:r>
    </w:p>
    <w:p w14:paraId="33FA6AD9" w14:textId="15A8FACA" w:rsidR="006E3CB7" w:rsidRPr="007246F8" w:rsidRDefault="00B33AE3" w:rsidP="007246F8">
      <w:pPr>
        <w:suppressAutoHyphens w:val="0"/>
        <w:autoSpaceDN/>
        <w:spacing w:before="120" w:after="120"/>
        <w:jc w:val="both"/>
        <w:rPr>
          <w:rFonts w:ascii="Antipasto" w:eastAsia="Times New Roman" w:hAnsi="Antipasto"/>
          <w:i/>
          <w:iCs/>
          <w:color w:val="273780"/>
          <w:sz w:val="26"/>
          <w:szCs w:val="26"/>
          <w:lang w:eastAsia="fr-FR"/>
        </w:rPr>
      </w:pPr>
      <w:r w:rsidRPr="007246F8">
        <w:rPr>
          <w:rFonts w:ascii="Antipasto" w:eastAsia="Times New Roman" w:hAnsi="Antipasto"/>
          <w:i/>
          <w:iCs/>
          <w:color w:val="273780"/>
          <w:sz w:val="26"/>
          <w:szCs w:val="26"/>
          <w:lang w:eastAsia="fr-FR"/>
        </w:rPr>
        <w:t xml:space="preserve">Les chiffres clés au 31/12/2025 (IFRS) </w:t>
      </w:r>
    </w:p>
    <w:tbl>
      <w:tblPr>
        <w:tblW w:w="9339"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3"/>
        <w:gridCol w:w="3073"/>
        <w:gridCol w:w="3073"/>
      </w:tblGrid>
      <w:tr w:rsidR="00B8664A" w:rsidRPr="001E48C3" w14:paraId="2F08FBB2" w14:textId="32D4B917" w:rsidTr="00967BCA">
        <w:trPr>
          <w:trHeight w:val="300"/>
        </w:trPr>
        <w:tc>
          <w:tcPr>
            <w:tcW w:w="3193" w:type="dxa"/>
            <w:vAlign w:val="center"/>
            <w:hideMark/>
          </w:tcPr>
          <w:p w14:paraId="6975547F" w14:textId="6EF29D45" w:rsidR="00B8664A" w:rsidRPr="00510CB1" w:rsidRDefault="00B8664A" w:rsidP="00B8664A">
            <w:pPr>
              <w:suppressAutoHyphens w:val="0"/>
              <w:autoSpaceDN/>
              <w:spacing w:after="0"/>
              <w:jc w:val="center"/>
              <w:textAlignment w:val="baseline"/>
              <w:rPr>
                <w:rFonts w:ascii="Antipasto" w:eastAsia="Times New Roman" w:hAnsi="Antipasto" w:cs="Segoe UI"/>
                <w:b/>
                <w:bCs/>
                <w:color w:val="273780"/>
                <w:sz w:val="24"/>
                <w:szCs w:val="24"/>
                <w:lang w:eastAsia="fr-FR"/>
              </w:rPr>
            </w:pPr>
            <w:r w:rsidRPr="00510CB1">
              <w:rPr>
                <w:rFonts w:ascii="Antipasto" w:eastAsia="Times New Roman" w:hAnsi="Antipasto"/>
                <w:b/>
                <w:bCs/>
                <w:color w:val="C30D25" w:themeColor="accent4"/>
              </w:rPr>
              <w:t xml:space="preserve"> </w:t>
            </w:r>
            <w:r w:rsidRPr="00510CB1">
              <w:rPr>
                <w:rFonts w:ascii="Cambria" w:eastAsia="Times New Roman" w:hAnsi="Cambria" w:cs="Cambria"/>
                <w:b/>
                <w:bCs/>
                <w:color w:val="273780"/>
                <w:sz w:val="24"/>
                <w:szCs w:val="24"/>
                <w:lang w:eastAsia="fr-FR"/>
              </w:rPr>
              <w:t> </w:t>
            </w:r>
          </w:p>
        </w:tc>
        <w:tc>
          <w:tcPr>
            <w:tcW w:w="3073" w:type="dxa"/>
            <w:vAlign w:val="center"/>
            <w:hideMark/>
          </w:tcPr>
          <w:p w14:paraId="4E15A287" w14:textId="3F3A7174" w:rsidR="00B8664A" w:rsidRPr="00510CB1" w:rsidRDefault="00B8664A" w:rsidP="00B8664A">
            <w:pPr>
              <w:suppressAutoHyphens w:val="0"/>
              <w:autoSpaceDN/>
              <w:spacing w:after="0"/>
              <w:jc w:val="center"/>
              <w:textAlignment w:val="baseline"/>
              <w:rPr>
                <w:rFonts w:ascii="Gotham Bold" w:eastAsia="Times New Roman" w:hAnsi="Gotham Bold" w:cs="Segoe UI"/>
                <w:color w:val="273780"/>
                <w:sz w:val="20"/>
                <w:szCs w:val="20"/>
                <w:lang w:eastAsia="fr-FR"/>
              </w:rPr>
            </w:pPr>
            <w:r w:rsidRPr="00510CB1">
              <w:rPr>
                <w:rFonts w:ascii="Gotham Bold" w:eastAsia="Times New Roman" w:hAnsi="Gotham Bold" w:cs="Segoe UI"/>
                <w:color w:val="273780"/>
                <w:sz w:val="20"/>
                <w:szCs w:val="20"/>
                <w:lang w:eastAsia="fr-FR"/>
              </w:rPr>
              <w:t>Groupe AFL</w:t>
            </w:r>
            <w:r w:rsidR="007970FA" w:rsidRPr="00510CB1">
              <w:rPr>
                <w:rStyle w:val="Appelnotedebasdep"/>
                <w:rFonts w:ascii="Gotham Bold" w:eastAsia="Times New Roman" w:hAnsi="Gotham Bold" w:cs="Segoe UI"/>
                <w:color w:val="273780"/>
                <w:sz w:val="20"/>
                <w:szCs w:val="20"/>
                <w:lang w:eastAsia="fr-FR"/>
              </w:rPr>
              <w:footnoteReference w:id="2"/>
            </w:r>
            <w:r w:rsidRPr="00510CB1">
              <w:rPr>
                <w:rFonts w:ascii="Gotham Bold" w:eastAsia="Times New Roman" w:hAnsi="Gotham Bold" w:cs="Segoe UI"/>
                <w:color w:val="273780"/>
                <w:sz w:val="20"/>
                <w:szCs w:val="20"/>
                <w:lang w:eastAsia="fr-FR"/>
              </w:rPr>
              <w:t xml:space="preserve"> (consolidés - IFRS)</w:t>
            </w:r>
            <w:r w:rsidRPr="00510CB1">
              <w:rPr>
                <w:rFonts w:ascii="Gotham Bold" w:eastAsia="Times New Roman" w:hAnsi="Gotham Bold" w:cs="Cambria"/>
                <w:color w:val="273780"/>
                <w:sz w:val="20"/>
                <w:szCs w:val="20"/>
                <w:lang w:eastAsia="fr-FR"/>
              </w:rPr>
              <w:t> </w:t>
            </w:r>
          </w:p>
        </w:tc>
        <w:tc>
          <w:tcPr>
            <w:tcW w:w="3073" w:type="dxa"/>
            <w:vAlign w:val="center"/>
          </w:tcPr>
          <w:p w14:paraId="25CD7B6D" w14:textId="477F16F6" w:rsidR="00B8664A" w:rsidRPr="00510CB1" w:rsidRDefault="00B8664A" w:rsidP="00B8664A">
            <w:pPr>
              <w:suppressAutoHyphens w:val="0"/>
              <w:autoSpaceDN/>
              <w:spacing w:after="0"/>
              <w:jc w:val="center"/>
              <w:textAlignment w:val="baseline"/>
              <w:rPr>
                <w:rFonts w:ascii="Gotham Bold" w:eastAsia="Times New Roman" w:hAnsi="Gotham Bold" w:cs="Segoe UI"/>
                <w:color w:val="273780"/>
                <w:sz w:val="20"/>
                <w:szCs w:val="20"/>
                <w:lang w:eastAsia="fr-FR"/>
              </w:rPr>
            </w:pPr>
            <w:r w:rsidRPr="00510CB1">
              <w:rPr>
                <w:rFonts w:ascii="Gotham Bold" w:eastAsia="Times New Roman" w:hAnsi="Gotham Bold" w:cs="Segoe UI"/>
                <w:color w:val="273780"/>
                <w:sz w:val="20"/>
                <w:szCs w:val="20"/>
                <w:lang w:eastAsia="fr-FR"/>
              </w:rPr>
              <w:t>AFL</w:t>
            </w:r>
            <w:r w:rsidR="00144492" w:rsidRPr="00510CB1">
              <w:rPr>
                <w:rStyle w:val="Appelnotedebasdep"/>
                <w:rFonts w:ascii="Gotham Bold" w:eastAsia="Times New Roman" w:hAnsi="Gotham Bold" w:cs="Segoe UI"/>
                <w:color w:val="273780"/>
                <w:sz w:val="20"/>
                <w:szCs w:val="20"/>
                <w:lang w:eastAsia="fr-FR"/>
              </w:rPr>
              <w:footnoteReference w:id="3"/>
            </w:r>
            <w:r w:rsidRPr="00510CB1">
              <w:rPr>
                <w:rFonts w:ascii="Gotham Bold" w:eastAsia="Times New Roman" w:hAnsi="Gotham Bold" w:cs="Segoe UI"/>
                <w:color w:val="273780"/>
                <w:sz w:val="20"/>
                <w:szCs w:val="20"/>
                <w:lang w:eastAsia="fr-FR"/>
              </w:rPr>
              <w:t xml:space="preserve"> (consolidés - IFRS)</w:t>
            </w:r>
            <w:r w:rsidRPr="00510CB1">
              <w:rPr>
                <w:rFonts w:ascii="Gotham Bold" w:eastAsia="Times New Roman" w:hAnsi="Gotham Bold" w:cs="Cambria"/>
                <w:color w:val="273780"/>
                <w:sz w:val="20"/>
                <w:szCs w:val="20"/>
                <w:lang w:eastAsia="fr-FR"/>
              </w:rPr>
              <w:t>  </w:t>
            </w:r>
          </w:p>
        </w:tc>
      </w:tr>
      <w:tr w:rsidR="00B8664A" w:rsidRPr="006E3CB7" w14:paraId="096C1F4F" w14:textId="7661B1F6" w:rsidTr="00967BCA">
        <w:trPr>
          <w:trHeight w:val="300"/>
        </w:trPr>
        <w:tc>
          <w:tcPr>
            <w:tcW w:w="3193" w:type="dxa"/>
            <w:hideMark/>
          </w:tcPr>
          <w:p w14:paraId="06ACAFAA" w14:textId="77777777"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eastAsia="fr-FR"/>
              </w:rPr>
              <w:t>Produit net bancaire</w:t>
            </w:r>
            <w:r w:rsidRPr="00967BCA">
              <w:rPr>
                <w:rFonts w:ascii="Gotham Bold" w:eastAsia="Times New Roman" w:hAnsi="Gotham Bold" w:cs="Cambria"/>
                <w:color w:val="273780"/>
                <w:sz w:val="20"/>
                <w:szCs w:val="20"/>
                <w:lang w:eastAsia="fr-FR"/>
              </w:rPr>
              <w:t> </w:t>
            </w:r>
          </w:p>
        </w:tc>
        <w:tc>
          <w:tcPr>
            <w:tcW w:w="3073" w:type="dxa"/>
            <w:hideMark/>
          </w:tcPr>
          <w:p w14:paraId="6C3A08AF" w14:textId="510D0351"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eastAsia="fr-FR"/>
              </w:rPr>
              <w:t>30,8 M€ (+28% Y/Y)</w:t>
            </w:r>
          </w:p>
        </w:tc>
        <w:tc>
          <w:tcPr>
            <w:tcW w:w="3073" w:type="dxa"/>
          </w:tcPr>
          <w:p w14:paraId="1CF51F2F" w14:textId="5F6318B2"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eastAsia="fr-FR"/>
              </w:rPr>
              <w:t>30,7 M€ (+29% Y/Y)</w:t>
            </w:r>
          </w:p>
        </w:tc>
      </w:tr>
      <w:tr w:rsidR="00C92E09" w:rsidRPr="006E3CB7" w14:paraId="44796935" w14:textId="77777777" w:rsidTr="00967BCA">
        <w:trPr>
          <w:trHeight w:val="300"/>
        </w:trPr>
        <w:tc>
          <w:tcPr>
            <w:tcW w:w="3193" w:type="dxa"/>
          </w:tcPr>
          <w:p w14:paraId="2272AC49" w14:textId="5A36FF2A" w:rsidR="00C92E09" w:rsidRPr="00967BCA" w:rsidRDefault="00C92E09"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eastAsia="fr-FR"/>
              </w:rPr>
              <w:t xml:space="preserve">Charges d’exploitation </w:t>
            </w:r>
          </w:p>
        </w:tc>
        <w:tc>
          <w:tcPr>
            <w:tcW w:w="3073" w:type="dxa"/>
          </w:tcPr>
          <w:p w14:paraId="2DCBB575" w14:textId="55EBC41B" w:rsidR="00C92E09" w:rsidRDefault="00FD215E" w:rsidP="00B8664A">
            <w:pPr>
              <w:suppressAutoHyphens w:val="0"/>
              <w:autoSpaceDN/>
              <w:spacing w:after="0"/>
              <w:ind w:left="113"/>
              <w:jc w:val="center"/>
              <w:textAlignment w:val="baseline"/>
              <w:rPr>
                <w:rFonts w:eastAsia="Times New Roman" w:cs="Segoe UI"/>
                <w:color w:val="273780"/>
                <w:sz w:val="20"/>
                <w:szCs w:val="20"/>
                <w:lang w:eastAsia="fr-FR"/>
              </w:rPr>
            </w:pPr>
            <w:r>
              <w:rPr>
                <w:rFonts w:eastAsia="Times New Roman" w:cs="Segoe UI"/>
                <w:color w:val="273780"/>
                <w:sz w:val="20"/>
                <w:szCs w:val="20"/>
                <w:lang w:eastAsia="fr-FR"/>
              </w:rPr>
              <w:t>17,</w:t>
            </w:r>
            <w:r w:rsidR="008107A9">
              <w:rPr>
                <w:rFonts w:eastAsia="Times New Roman" w:cs="Segoe UI"/>
                <w:color w:val="273780"/>
                <w:sz w:val="20"/>
                <w:szCs w:val="20"/>
                <w:lang w:eastAsia="fr-FR"/>
              </w:rPr>
              <w:t>5</w:t>
            </w:r>
            <w:r w:rsidR="00564622">
              <w:rPr>
                <w:rFonts w:eastAsia="Times New Roman" w:cs="Segoe UI"/>
                <w:color w:val="273780"/>
                <w:sz w:val="20"/>
                <w:szCs w:val="20"/>
                <w:lang w:eastAsia="fr-FR"/>
              </w:rPr>
              <w:t xml:space="preserve"> M€ (+</w:t>
            </w:r>
            <w:r w:rsidR="00CD573A">
              <w:rPr>
                <w:rFonts w:eastAsia="Times New Roman" w:cs="Segoe UI"/>
                <w:color w:val="273780"/>
                <w:sz w:val="20"/>
                <w:szCs w:val="20"/>
                <w:lang w:eastAsia="fr-FR"/>
              </w:rPr>
              <w:t>8% Y/Y)</w:t>
            </w:r>
          </w:p>
          <w:p w14:paraId="2448331B" w14:textId="1632E20B" w:rsidR="00CD573A" w:rsidRPr="006E3CB7" w:rsidRDefault="00CD573A" w:rsidP="00B8664A">
            <w:pPr>
              <w:suppressAutoHyphens w:val="0"/>
              <w:autoSpaceDN/>
              <w:spacing w:after="0"/>
              <w:ind w:left="113"/>
              <w:jc w:val="center"/>
              <w:textAlignment w:val="baseline"/>
              <w:rPr>
                <w:rFonts w:eastAsia="Times New Roman" w:cs="Segoe UI"/>
                <w:color w:val="273780"/>
                <w:sz w:val="20"/>
                <w:szCs w:val="20"/>
                <w:lang w:eastAsia="fr-FR"/>
              </w:rPr>
            </w:pPr>
          </w:p>
        </w:tc>
        <w:tc>
          <w:tcPr>
            <w:tcW w:w="3073" w:type="dxa"/>
          </w:tcPr>
          <w:p w14:paraId="00DD4A56" w14:textId="59FAB1EF" w:rsidR="00C92E09" w:rsidRPr="006E3CB7" w:rsidRDefault="00C93FE6" w:rsidP="00B8664A">
            <w:pPr>
              <w:suppressAutoHyphens w:val="0"/>
              <w:autoSpaceDN/>
              <w:spacing w:after="0"/>
              <w:ind w:left="113"/>
              <w:jc w:val="center"/>
              <w:textAlignment w:val="baseline"/>
              <w:rPr>
                <w:rFonts w:eastAsia="Times New Roman" w:cs="Segoe UI"/>
                <w:color w:val="273780"/>
                <w:sz w:val="20"/>
                <w:szCs w:val="20"/>
                <w:lang w:eastAsia="fr-FR"/>
              </w:rPr>
            </w:pPr>
            <w:r>
              <w:rPr>
                <w:rFonts w:eastAsia="Times New Roman" w:cs="Segoe UI"/>
                <w:color w:val="273780"/>
                <w:sz w:val="20"/>
                <w:szCs w:val="20"/>
                <w:lang w:eastAsia="fr-FR"/>
              </w:rPr>
              <w:t>17,</w:t>
            </w:r>
            <w:r w:rsidR="00406DDE">
              <w:rPr>
                <w:rFonts w:eastAsia="Times New Roman" w:cs="Segoe UI"/>
                <w:color w:val="273780"/>
                <w:sz w:val="20"/>
                <w:szCs w:val="20"/>
                <w:lang w:eastAsia="fr-FR"/>
              </w:rPr>
              <w:t>5 M€ (+</w:t>
            </w:r>
            <w:r w:rsidR="00702376">
              <w:rPr>
                <w:rFonts w:eastAsia="Times New Roman" w:cs="Segoe UI"/>
                <w:color w:val="273780"/>
                <w:sz w:val="20"/>
                <w:szCs w:val="20"/>
                <w:lang w:eastAsia="fr-FR"/>
              </w:rPr>
              <w:t>9% Y/Y)</w:t>
            </w:r>
          </w:p>
        </w:tc>
      </w:tr>
      <w:tr w:rsidR="00B8664A" w:rsidRPr="006E3CB7" w14:paraId="436FD077" w14:textId="5785EB86" w:rsidTr="00967BCA">
        <w:trPr>
          <w:trHeight w:val="300"/>
        </w:trPr>
        <w:tc>
          <w:tcPr>
            <w:tcW w:w="3193" w:type="dxa"/>
            <w:hideMark/>
          </w:tcPr>
          <w:p w14:paraId="13F9C563" w14:textId="77777777"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eastAsia="fr-FR"/>
              </w:rPr>
              <w:t>Résultat brut d’exploitation</w:t>
            </w:r>
            <w:r w:rsidRPr="00967BCA">
              <w:rPr>
                <w:rFonts w:ascii="Gotham Bold" w:eastAsia="Times New Roman" w:hAnsi="Gotham Bold" w:cs="Cambria"/>
                <w:color w:val="273780"/>
                <w:sz w:val="20"/>
                <w:szCs w:val="20"/>
                <w:lang w:eastAsia="fr-FR"/>
              </w:rPr>
              <w:t>  </w:t>
            </w:r>
          </w:p>
        </w:tc>
        <w:tc>
          <w:tcPr>
            <w:tcW w:w="3073" w:type="dxa"/>
            <w:hideMark/>
          </w:tcPr>
          <w:p w14:paraId="1A68D994" w14:textId="260470E9"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eastAsia="fr-FR"/>
              </w:rPr>
              <w:t>13,3 M€ (+69% Y/Y)</w:t>
            </w:r>
          </w:p>
        </w:tc>
        <w:tc>
          <w:tcPr>
            <w:tcW w:w="3073" w:type="dxa"/>
          </w:tcPr>
          <w:p w14:paraId="47A95503" w14:textId="77B760F8"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eastAsia="fr-FR"/>
              </w:rPr>
              <w:t>13,3 M€ (+70% Y/Y)</w:t>
            </w:r>
          </w:p>
        </w:tc>
      </w:tr>
      <w:tr w:rsidR="00B8664A" w:rsidRPr="006E3CB7" w14:paraId="67817C76" w14:textId="6B79FB79" w:rsidTr="00967BCA">
        <w:trPr>
          <w:trHeight w:val="300"/>
        </w:trPr>
        <w:tc>
          <w:tcPr>
            <w:tcW w:w="3193" w:type="dxa"/>
            <w:hideMark/>
          </w:tcPr>
          <w:p w14:paraId="339D4CEF" w14:textId="77777777"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eastAsia="fr-FR"/>
              </w:rPr>
              <w:t>Résultat net</w:t>
            </w:r>
            <w:r w:rsidRPr="00967BCA">
              <w:rPr>
                <w:rFonts w:ascii="Gotham Bold" w:eastAsia="Times New Roman" w:hAnsi="Gotham Bold" w:cs="Cambria"/>
                <w:color w:val="273780"/>
                <w:sz w:val="20"/>
                <w:szCs w:val="20"/>
                <w:lang w:eastAsia="fr-FR"/>
              </w:rPr>
              <w:t> </w:t>
            </w:r>
            <w:r w:rsidRPr="00967BCA">
              <w:rPr>
                <w:rFonts w:ascii="Gotham Bold" w:eastAsia="Times New Roman" w:hAnsi="Gotham Bold" w:cs="Segoe UI"/>
                <w:color w:val="273780"/>
                <w:sz w:val="20"/>
                <w:szCs w:val="20"/>
                <w:lang w:eastAsia="fr-FR"/>
              </w:rPr>
              <w:t>avant imp</w:t>
            </w:r>
            <w:r w:rsidRPr="00967BCA">
              <w:rPr>
                <w:rFonts w:ascii="Gotham Bold" w:eastAsia="Times New Roman" w:hAnsi="Gotham Bold" w:cs="Antipasto"/>
                <w:color w:val="273780"/>
                <w:sz w:val="20"/>
                <w:szCs w:val="20"/>
                <w:lang w:eastAsia="fr-FR"/>
              </w:rPr>
              <w:t>ô</w:t>
            </w:r>
            <w:r w:rsidRPr="00967BCA">
              <w:rPr>
                <w:rFonts w:ascii="Gotham Bold" w:eastAsia="Times New Roman" w:hAnsi="Gotham Bold" w:cs="Segoe UI"/>
                <w:color w:val="273780"/>
                <w:sz w:val="20"/>
                <w:szCs w:val="20"/>
                <w:lang w:eastAsia="fr-FR"/>
              </w:rPr>
              <w:t>ts</w:t>
            </w:r>
            <w:r w:rsidRPr="00967BCA">
              <w:rPr>
                <w:rFonts w:ascii="Gotham Bold" w:eastAsia="Times New Roman" w:hAnsi="Gotham Bold" w:cs="Cambria"/>
                <w:color w:val="273780"/>
                <w:sz w:val="20"/>
                <w:szCs w:val="20"/>
                <w:lang w:eastAsia="fr-FR"/>
              </w:rPr>
              <w:t> </w:t>
            </w:r>
          </w:p>
        </w:tc>
        <w:tc>
          <w:tcPr>
            <w:tcW w:w="3073" w:type="dxa"/>
            <w:hideMark/>
          </w:tcPr>
          <w:p w14:paraId="0D2BE1C8" w14:textId="3DE3C297"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eastAsia="fr-FR"/>
              </w:rPr>
              <w:t>13,3 M€ (+78% Y/Y)</w:t>
            </w:r>
          </w:p>
        </w:tc>
        <w:tc>
          <w:tcPr>
            <w:tcW w:w="3073" w:type="dxa"/>
          </w:tcPr>
          <w:p w14:paraId="41B13C2E" w14:textId="510FF10B"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eastAsia="fr-FR"/>
              </w:rPr>
              <w:t>13,3 M€ (+79% Y/Y)</w:t>
            </w:r>
          </w:p>
        </w:tc>
      </w:tr>
      <w:tr w:rsidR="00B8664A" w:rsidRPr="006E3CB7" w14:paraId="45A3BE87" w14:textId="49A58A84" w:rsidTr="00967BCA">
        <w:trPr>
          <w:trHeight w:val="300"/>
        </w:trPr>
        <w:tc>
          <w:tcPr>
            <w:tcW w:w="3193" w:type="dxa"/>
            <w:hideMark/>
          </w:tcPr>
          <w:p w14:paraId="6D90ADA8" w14:textId="77777777"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eastAsia="fr-FR"/>
              </w:rPr>
              <w:t>Résultat net</w:t>
            </w:r>
            <w:r w:rsidRPr="00967BCA">
              <w:rPr>
                <w:rFonts w:ascii="Gotham Bold" w:eastAsia="Times New Roman" w:hAnsi="Gotham Bold" w:cs="Cambria"/>
                <w:color w:val="273780"/>
                <w:sz w:val="20"/>
                <w:szCs w:val="20"/>
                <w:lang w:eastAsia="fr-FR"/>
              </w:rPr>
              <w:t>  </w:t>
            </w:r>
          </w:p>
        </w:tc>
        <w:tc>
          <w:tcPr>
            <w:tcW w:w="3073" w:type="dxa"/>
            <w:hideMark/>
          </w:tcPr>
          <w:p w14:paraId="07C5ADA8" w14:textId="33B90A6E"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eastAsia="fr-FR"/>
              </w:rPr>
              <w:t>10,8 M€ (+100% Y/Y)</w:t>
            </w:r>
          </w:p>
        </w:tc>
        <w:tc>
          <w:tcPr>
            <w:tcW w:w="3073" w:type="dxa"/>
          </w:tcPr>
          <w:p w14:paraId="6EBFD10D" w14:textId="6B9F2303"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eastAsia="fr-FR"/>
              </w:rPr>
              <w:t>10,8 M€ (+100% Y/Y)</w:t>
            </w:r>
          </w:p>
        </w:tc>
      </w:tr>
      <w:tr w:rsidR="00B8664A" w:rsidRPr="006E3CB7" w14:paraId="37FA6D8E" w14:textId="7CF9FA52" w:rsidTr="00967BCA">
        <w:trPr>
          <w:trHeight w:val="300"/>
        </w:trPr>
        <w:tc>
          <w:tcPr>
            <w:tcW w:w="3193" w:type="dxa"/>
            <w:hideMark/>
          </w:tcPr>
          <w:p w14:paraId="35D1193C" w14:textId="1D375C8E"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eastAsia="fr-FR"/>
              </w:rPr>
              <w:t>Coefficient d’exploitation</w:t>
            </w:r>
            <w:r w:rsidRPr="00967BCA">
              <w:rPr>
                <w:rStyle w:val="Appelnotedebasdep"/>
                <w:rFonts w:ascii="Gotham Bold" w:eastAsia="Times New Roman" w:hAnsi="Gotham Bold" w:cs="Segoe UI"/>
                <w:color w:val="273780"/>
                <w:sz w:val="20"/>
                <w:szCs w:val="20"/>
                <w:lang w:eastAsia="fr-FR"/>
              </w:rPr>
              <w:footnoteReference w:id="4"/>
            </w:r>
            <w:r w:rsidRPr="00967BCA">
              <w:rPr>
                <w:rFonts w:ascii="Gotham Bold" w:eastAsia="Times New Roman" w:hAnsi="Gotham Bold" w:cs="Cambria"/>
                <w:color w:val="273780"/>
                <w:sz w:val="20"/>
                <w:szCs w:val="20"/>
                <w:lang w:eastAsia="fr-FR"/>
              </w:rPr>
              <w:t>  </w:t>
            </w:r>
          </w:p>
        </w:tc>
        <w:tc>
          <w:tcPr>
            <w:tcW w:w="3073" w:type="dxa"/>
            <w:hideMark/>
          </w:tcPr>
          <w:p w14:paraId="766C68B9" w14:textId="7A05F437"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eastAsia="fr-FR"/>
              </w:rPr>
              <w:t>64,4% (vs 67,8% au 31/12/2024)</w:t>
            </w:r>
          </w:p>
        </w:tc>
        <w:tc>
          <w:tcPr>
            <w:tcW w:w="3073" w:type="dxa"/>
          </w:tcPr>
          <w:p w14:paraId="1D0526A2" w14:textId="530F1922"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eastAsia="fr-FR"/>
              </w:rPr>
              <w:t>64,3% (vs 67,7% au 31/12/2024</w:t>
            </w:r>
          </w:p>
        </w:tc>
      </w:tr>
    </w:tbl>
    <w:p w14:paraId="58515E52" w14:textId="77777777" w:rsidR="00D90AF2" w:rsidRDefault="00D90AF2" w:rsidP="00695656">
      <w:pPr>
        <w:suppressAutoHyphens w:val="0"/>
        <w:autoSpaceDN/>
        <w:spacing w:before="120" w:after="120"/>
        <w:jc w:val="both"/>
        <w:rPr>
          <w:rFonts w:ascii="Antipasto" w:eastAsia="Times New Roman" w:hAnsi="Antipasto"/>
          <w:i/>
          <w:iCs/>
          <w:color w:val="273780"/>
          <w:sz w:val="26"/>
          <w:szCs w:val="26"/>
          <w:lang w:eastAsia="fr-FR"/>
        </w:rPr>
      </w:pPr>
    </w:p>
    <w:p w14:paraId="54A4CFBA" w14:textId="71E4E3B3" w:rsidR="00005B93" w:rsidRDefault="00D23A70" w:rsidP="00695656">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i/>
          <w:iCs/>
          <w:color w:val="273780"/>
          <w:sz w:val="26"/>
          <w:szCs w:val="26"/>
          <w:lang w:eastAsia="fr-FR"/>
        </w:rPr>
        <w:t xml:space="preserve">Résultats annuels records </w:t>
      </w:r>
    </w:p>
    <w:p w14:paraId="290204E4" w14:textId="77777777" w:rsidR="002E5033" w:rsidRPr="0098789F" w:rsidRDefault="00D90AF2" w:rsidP="0098789F">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olor w:val="C30D25" w:themeColor="accent3"/>
          <w:lang w:eastAsia="fr-FR"/>
        </w:rPr>
        <w:t>Le produit net bancaire</w:t>
      </w:r>
      <w:r w:rsidRPr="00967BCA">
        <w:rPr>
          <w:rFonts w:ascii="Gotham Book" w:eastAsia="Times New Roman" w:hAnsi="Gotham Book"/>
          <w:color w:val="C30D25" w:themeColor="accent3"/>
          <w:lang w:eastAsia="fr-FR"/>
        </w:rPr>
        <w:t xml:space="preserve"> </w:t>
      </w:r>
      <w:r w:rsidRPr="0098789F">
        <w:rPr>
          <w:rFonts w:ascii="Gotham Book" w:eastAsia="Times New Roman" w:hAnsi="Gotham Book"/>
          <w:lang w:eastAsia="fr-FR"/>
        </w:rPr>
        <w:t xml:space="preserve">progresse </w:t>
      </w:r>
      <w:r w:rsidR="00692068" w:rsidRPr="0098789F">
        <w:rPr>
          <w:rFonts w:ascii="Gotham Book" w:eastAsia="Times New Roman" w:hAnsi="Gotham Book"/>
          <w:lang w:eastAsia="fr-FR"/>
        </w:rPr>
        <w:t xml:space="preserve">fortement </w:t>
      </w:r>
      <w:r w:rsidR="00C85AA1" w:rsidRPr="0098789F">
        <w:rPr>
          <w:rFonts w:ascii="Gotham Book" w:eastAsia="Times New Roman" w:hAnsi="Gotham Book"/>
          <w:lang w:eastAsia="fr-FR"/>
        </w:rPr>
        <w:t xml:space="preserve">en lien avec la croissance de l’encours de crédit qui dépasse </w:t>
      </w:r>
      <w:r w:rsidR="00C85AA1" w:rsidRPr="00FA6C8C">
        <w:rPr>
          <w:rFonts w:ascii="Antipasto" w:eastAsia="Times New Roman" w:hAnsi="Antipasto"/>
          <w:color w:val="39A9E5" w:themeColor="accent1"/>
          <w:sz w:val="26"/>
          <w:szCs w:val="26"/>
          <w:lang w:eastAsia="fr-FR"/>
        </w:rPr>
        <w:t>10</w:t>
      </w:r>
      <w:r w:rsidR="00C85AA1" w:rsidRPr="0098789F">
        <w:rPr>
          <w:rFonts w:ascii="Gotham Book" w:eastAsia="Times New Roman" w:hAnsi="Gotham Book"/>
          <w:lang w:eastAsia="fr-FR"/>
        </w:rPr>
        <w:t xml:space="preserve"> milliards d’euros au 31 décembre 2025. </w:t>
      </w:r>
    </w:p>
    <w:p w14:paraId="41147128" w14:textId="60EAC7F4" w:rsidR="0098789F" w:rsidRDefault="00D90AF2" w:rsidP="0098789F">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olor w:val="C30D25" w:themeColor="accent3"/>
          <w:lang w:eastAsia="fr-FR"/>
        </w:rPr>
        <w:t>Le résultat brut d’exploitation</w:t>
      </w:r>
      <w:r w:rsidRPr="00967BCA">
        <w:rPr>
          <w:rFonts w:ascii="Gotham Book" w:eastAsia="Times New Roman" w:hAnsi="Gotham Book"/>
          <w:color w:val="C30D25" w:themeColor="accent3"/>
          <w:lang w:eastAsia="fr-FR"/>
        </w:rPr>
        <w:t xml:space="preserve"> </w:t>
      </w:r>
      <w:r w:rsidR="00A9300D">
        <w:rPr>
          <w:rFonts w:ascii="Gotham Book" w:eastAsia="Times New Roman" w:hAnsi="Gotham Book"/>
          <w:lang w:eastAsia="fr-FR"/>
        </w:rPr>
        <w:t xml:space="preserve">de l’AFL et du Groupe AFL </w:t>
      </w:r>
      <w:r w:rsidRPr="0098789F">
        <w:rPr>
          <w:rFonts w:ascii="Gotham Book" w:eastAsia="Times New Roman" w:hAnsi="Gotham Book"/>
          <w:lang w:eastAsia="fr-FR"/>
        </w:rPr>
        <w:t xml:space="preserve">progresse de 70% à </w:t>
      </w:r>
      <w:r w:rsidRPr="00FA6C8C">
        <w:rPr>
          <w:rFonts w:ascii="Antipasto" w:eastAsia="Times New Roman" w:hAnsi="Antipasto"/>
          <w:color w:val="39A9E5" w:themeColor="accent1"/>
          <w:sz w:val="26"/>
          <w:szCs w:val="26"/>
          <w:lang w:eastAsia="fr-FR"/>
        </w:rPr>
        <w:t>13,3</w:t>
      </w:r>
      <w:r w:rsidRPr="0098789F">
        <w:rPr>
          <w:rFonts w:ascii="Gotham Book" w:eastAsia="Times New Roman" w:hAnsi="Gotham Book"/>
          <w:lang w:eastAsia="fr-FR"/>
        </w:rPr>
        <w:t xml:space="preserve"> millions d’euros</w:t>
      </w:r>
      <w:r w:rsidR="0029795C" w:rsidRPr="0098789F">
        <w:rPr>
          <w:rFonts w:ascii="Gotham Book" w:eastAsia="Times New Roman" w:hAnsi="Gotham Book"/>
          <w:lang w:eastAsia="fr-FR"/>
        </w:rPr>
        <w:t>.</w:t>
      </w:r>
    </w:p>
    <w:p w14:paraId="41FE9873" w14:textId="3415BD85" w:rsidR="001C6EC9" w:rsidRPr="001C6EC9" w:rsidRDefault="00D90AF2" w:rsidP="001C6EC9">
      <w:pPr>
        <w:pStyle w:val="Paragraphedeliste"/>
        <w:suppressAutoHyphens w:val="0"/>
        <w:autoSpaceDN/>
        <w:spacing w:before="120" w:after="120"/>
        <w:jc w:val="both"/>
        <w:rPr>
          <w:rFonts w:ascii="Gotham Book" w:eastAsia="Times New Roman" w:hAnsi="Gotham Book"/>
          <w:lang w:eastAsia="fr-FR"/>
        </w:rPr>
      </w:pPr>
      <w:r w:rsidRPr="0098789F">
        <w:rPr>
          <w:rFonts w:ascii="Gotham Bold" w:hAnsi="Gotham Bold" w:cs="Arial"/>
          <w:color w:val="273780" w:themeColor="text2"/>
        </w:rPr>
        <w:t xml:space="preserve"> </w:t>
      </w:r>
    </w:p>
    <w:p w14:paraId="3A0DCE62" w14:textId="00A1A804" w:rsidR="00EE724B" w:rsidRDefault="00EE724B" w:rsidP="00695656">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i/>
          <w:iCs/>
          <w:color w:val="273780"/>
          <w:sz w:val="26"/>
          <w:szCs w:val="26"/>
          <w:lang w:eastAsia="fr-FR"/>
        </w:rPr>
        <w:t xml:space="preserve">Des performances qui confirment la trajectoire du plan </w:t>
      </w:r>
      <w:r w:rsidR="00E749E2">
        <w:rPr>
          <w:rFonts w:ascii="Antipasto" w:eastAsia="Times New Roman" w:hAnsi="Antipasto"/>
          <w:i/>
          <w:iCs/>
          <w:color w:val="273780"/>
          <w:sz w:val="26"/>
          <w:szCs w:val="26"/>
          <w:lang w:eastAsia="fr-FR"/>
        </w:rPr>
        <w:t xml:space="preserve">stratégique </w:t>
      </w:r>
      <w:r>
        <w:rPr>
          <w:rFonts w:ascii="Antipasto" w:eastAsia="Times New Roman" w:hAnsi="Antipasto"/>
          <w:i/>
          <w:iCs/>
          <w:color w:val="273780"/>
          <w:sz w:val="26"/>
          <w:szCs w:val="26"/>
          <w:lang w:eastAsia="fr-FR"/>
        </w:rPr>
        <w:t>2022-2026</w:t>
      </w:r>
    </w:p>
    <w:p w14:paraId="771CE3DB" w14:textId="1E48049E" w:rsidR="006007B6" w:rsidRPr="00E54AF0" w:rsidRDefault="007C765B"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olor w:val="C30D25" w:themeColor="accent3"/>
          <w:lang w:eastAsia="fr-FR"/>
        </w:rPr>
        <w:t>4 augmentations de capital</w:t>
      </w:r>
      <w:r w:rsidRPr="00967BCA">
        <w:rPr>
          <w:rFonts w:ascii="Gotham Book" w:eastAsia="Times New Roman" w:hAnsi="Gotham Book"/>
          <w:color w:val="C30D25" w:themeColor="accent3"/>
          <w:lang w:eastAsia="fr-FR"/>
        </w:rPr>
        <w:t xml:space="preserve"> </w:t>
      </w:r>
      <w:r w:rsidRPr="00E54AF0">
        <w:rPr>
          <w:rFonts w:ascii="Gotham Book" w:eastAsia="Times New Roman" w:hAnsi="Gotham Book"/>
          <w:lang w:eastAsia="fr-FR"/>
        </w:rPr>
        <w:t xml:space="preserve">ont été </w:t>
      </w:r>
      <w:r w:rsidR="009765F7">
        <w:rPr>
          <w:rFonts w:ascii="Gotham Book" w:eastAsia="Times New Roman" w:hAnsi="Gotham Book"/>
          <w:lang w:eastAsia="fr-FR"/>
        </w:rPr>
        <w:t>réalisées</w:t>
      </w:r>
      <w:r w:rsidR="009765F7" w:rsidRPr="00E54AF0">
        <w:rPr>
          <w:rFonts w:ascii="Gotham Book" w:eastAsia="Times New Roman" w:hAnsi="Gotham Book"/>
          <w:lang w:eastAsia="fr-FR"/>
        </w:rPr>
        <w:t xml:space="preserve"> </w:t>
      </w:r>
      <w:r w:rsidRPr="00E54AF0">
        <w:rPr>
          <w:rFonts w:ascii="Gotham Book" w:eastAsia="Times New Roman" w:hAnsi="Gotham Book"/>
          <w:lang w:eastAsia="fr-FR"/>
        </w:rPr>
        <w:t xml:space="preserve">en 2025, permettant à </w:t>
      </w:r>
      <w:r w:rsidRPr="00FA6C8C">
        <w:rPr>
          <w:rFonts w:ascii="Antipasto" w:eastAsia="Times New Roman" w:hAnsi="Antipasto"/>
          <w:color w:val="39A9E5" w:themeColor="accent1"/>
          <w:sz w:val="26"/>
          <w:szCs w:val="26"/>
          <w:lang w:eastAsia="fr-FR"/>
        </w:rPr>
        <w:t>227</w:t>
      </w:r>
      <w:r w:rsidRPr="00E54AF0">
        <w:rPr>
          <w:rFonts w:ascii="Gotham Book" w:eastAsia="Times New Roman" w:hAnsi="Gotham Book"/>
          <w:lang w:eastAsia="fr-FR"/>
        </w:rPr>
        <w:t xml:space="preserve"> nouvelles </w:t>
      </w:r>
      <w:r w:rsidR="006007B6" w:rsidRPr="00E54AF0">
        <w:rPr>
          <w:rFonts w:ascii="Gotham Book" w:eastAsia="Times New Roman" w:hAnsi="Gotham Book"/>
          <w:lang w:eastAsia="fr-FR"/>
        </w:rPr>
        <w:t>collectivités</w:t>
      </w:r>
      <w:r w:rsidRPr="00E54AF0">
        <w:rPr>
          <w:rFonts w:ascii="Gotham Book" w:eastAsia="Times New Roman" w:hAnsi="Gotham Book"/>
          <w:lang w:eastAsia="fr-FR"/>
        </w:rPr>
        <w:t xml:space="preserve"> locales de rejoindre </w:t>
      </w:r>
      <w:r w:rsidR="006007B6" w:rsidRPr="00E54AF0">
        <w:rPr>
          <w:rFonts w:ascii="Gotham Book" w:eastAsia="Times New Roman" w:hAnsi="Gotham Book"/>
          <w:lang w:eastAsia="fr-FR"/>
        </w:rPr>
        <w:t>le Groupe AFL, pour un total de 1 271 membres</w:t>
      </w:r>
      <w:r w:rsidR="00AA69DB">
        <w:rPr>
          <w:rFonts w:ascii="Gotham Book" w:eastAsia="Times New Roman" w:hAnsi="Gotham Book"/>
          <w:lang w:eastAsia="fr-FR"/>
        </w:rPr>
        <w:t xml:space="preserve"> au 31/12/25</w:t>
      </w:r>
      <w:r w:rsidR="006007B6" w:rsidRPr="00E54AF0">
        <w:rPr>
          <w:rFonts w:ascii="Gotham Book" w:eastAsia="Times New Roman" w:hAnsi="Gotham Book"/>
          <w:lang w:eastAsia="fr-FR"/>
        </w:rPr>
        <w:t>.</w:t>
      </w:r>
    </w:p>
    <w:p w14:paraId="6B295CCA" w14:textId="0508980A" w:rsidR="006007B6" w:rsidRPr="00E54AF0" w:rsidRDefault="006007B6"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olor w:val="C30D25" w:themeColor="accent3"/>
          <w:lang w:eastAsia="fr-FR"/>
        </w:rPr>
        <w:lastRenderedPageBreak/>
        <w:t xml:space="preserve">Le </w:t>
      </w:r>
      <w:r w:rsidR="00606A3C" w:rsidRPr="00967BCA">
        <w:rPr>
          <w:rFonts w:ascii="Gotham Bold" w:eastAsia="Times New Roman" w:hAnsi="Gotham Bold"/>
          <w:color w:val="C30D25" w:themeColor="accent3"/>
          <w:lang w:eastAsia="fr-FR"/>
        </w:rPr>
        <w:t>c</w:t>
      </w:r>
      <w:r w:rsidRPr="00967BCA">
        <w:rPr>
          <w:rFonts w:ascii="Gotham Bold" w:eastAsia="Times New Roman" w:hAnsi="Gotham Bold"/>
          <w:color w:val="C30D25" w:themeColor="accent3"/>
          <w:lang w:eastAsia="fr-FR"/>
        </w:rPr>
        <w:t>apital promis</w:t>
      </w:r>
      <w:r w:rsidRPr="00E54AF0">
        <w:rPr>
          <w:rFonts w:ascii="Cambria Math" w:eastAsia="Times New Roman" w:hAnsi="Cambria Math" w:cs="Cambria Math"/>
          <w:lang w:eastAsia="fr-FR"/>
        </w:rPr>
        <w:t> </w:t>
      </w:r>
      <w:r w:rsidRPr="00E54AF0">
        <w:rPr>
          <w:rFonts w:ascii="Gotham Book" w:eastAsia="Times New Roman" w:hAnsi="Gotham Book"/>
          <w:lang w:eastAsia="fr-FR"/>
        </w:rPr>
        <w:t xml:space="preserve">du Groupe AFL augmente ainsi de 9% </w:t>
      </w:r>
      <w:r w:rsidRPr="00E54AF0">
        <w:rPr>
          <w:rFonts w:ascii="Gotham Book" w:eastAsia="Times New Roman" w:hAnsi="Gotham Book" w:cs="Times New Roman"/>
          <w:lang w:eastAsia="fr-FR"/>
        </w:rPr>
        <w:t>à</w:t>
      </w:r>
      <w:r w:rsidRPr="00E54AF0">
        <w:rPr>
          <w:rFonts w:ascii="Gotham Book" w:eastAsia="Times New Roman" w:hAnsi="Gotham Book"/>
          <w:lang w:eastAsia="fr-FR"/>
        </w:rPr>
        <w:t xml:space="preserve"> </w:t>
      </w:r>
      <w:r w:rsidRPr="00FA6C8C">
        <w:rPr>
          <w:rFonts w:ascii="Antipasto" w:eastAsia="Times New Roman" w:hAnsi="Antipasto"/>
          <w:color w:val="39A9E5" w:themeColor="accent1"/>
          <w:sz w:val="26"/>
          <w:szCs w:val="26"/>
          <w:lang w:eastAsia="fr-FR"/>
        </w:rPr>
        <w:t>356</w:t>
      </w:r>
      <w:r w:rsidRPr="00E54AF0">
        <w:rPr>
          <w:rFonts w:ascii="Gotham Book" w:eastAsia="Times New Roman" w:hAnsi="Gotham Book"/>
          <w:lang w:eastAsia="fr-FR"/>
        </w:rPr>
        <w:t xml:space="preserve"> millions d</w:t>
      </w:r>
      <w:r w:rsidRPr="00E54AF0">
        <w:rPr>
          <w:rFonts w:ascii="Gotham Book" w:eastAsia="Times New Roman" w:hAnsi="Gotham Book" w:cs="Times New Roman"/>
          <w:lang w:eastAsia="fr-FR"/>
        </w:rPr>
        <w:t>’</w:t>
      </w:r>
      <w:r w:rsidR="008327A0" w:rsidRPr="00E54AF0">
        <w:rPr>
          <w:rFonts w:ascii="Gotham Book" w:eastAsia="Times New Roman" w:hAnsi="Gotham Book" w:cs="Times New Roman"/>
          <w:lang w:eastAsia="fr-FR"/>
        </w:rPr>
        <w:t>euros</w:t>
      </w:r>
      <w:r w:rsidR="00F6013B">
        <w:rPr>
          <w:rFonts w:ascii="Gotham Book" w:eastAsia="Times New Roman" w:hAnsi="Gotham Book" w:cs="Times New Roman"/>
          <w:lang w:eastAsia="fr-FR"/>
        </w:rPr>
        <w:t xml:space="preserve"> </w:t>
      </w:r>
      <w:r w:rsidR="00F6013B">
        <w:rPr>
          <w:rFonts w:ascii="Gotham Book" w:eastAsia="Times New Roman" w:hAnsi="Gotham Book"/>
          <w:lang w:eastAsia="fr-FR"/>
        </w:rPr>
        <w:t>au 31/12/25</w:t>
      </w:r>
      <w:r w:rsidR="002D30CE" w:rsidRPr="00E54AF0">
        <w:rPr>
          <w:rFonts w:ascii="Gotham Book" w:eastAsia="Times New Roman" w:hAnsi="Gotham Book" w:cs="Times New Roman"/>
          <w:lang w:eastAsia="fr-FR"/>
        </w:rPr>
        <w:t>.</w:t>
      </w:r>
    </w:p>
    <w:p w14:paraId="00E2F4ED" w14:textId="43E66FAB" w:rsidR="00EE724B" w:rsidRPr="00E54AF0" w:rsidRDefault="002E5033"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677F3401">
        <w:rPr>
          <w:rFonts w:ascii="Gotham Bold" w:eastAsia="Times New Roman" w:hAnsi="Gotham Bold"/>
          <w:color w:val="C30D25" w:themeColor="accent4"/>
          <w:lang w:eastAsia="fr-FR"/>
        </w:rPr>
        <w:t>La production de crédits moyen long terme</w:t>
      </w:r>
      <w:r w:rsidRPr="677F3401">
        <w:rPr>
          <w:rFonts w:ascii="Gotham Book" w:eastAsia="Times New Roman" w:hAnsi="Gotham Book"/>
          <w:color w:val="C30D25" w:themeColor="accent4"/>
          <w:lang w:eastAsia="fr-FR"/>
        </w:rPr>
        <w:t xml:space="preserve"> </w:t>
      </w:r>
      <w:r w:rsidRPr="677F3401">
        <w:rPr>
          <w:rFonts w:ascii="Gotham Book" w:eastAsia="Times New Roman" w:hAnsi="Gotham Book"/>
          <w:lang w:eastAsia="fr-FR"/>
        </w:rPr>
        <w:t xml:space="preserve">s’élève à </w:t>
      </w:r>
      <w:r w:rsidRPr="677F3401">
        <w:rPr>
          <w:rFonts w:ascii="Antipasto" w:eastAsia="Times New Roman" w:hAnsi="Antipasto"/>
          <w:color w:val="39A9E5" w:themeColor="accent2"/>
          <w:sz w:val="26"/>
          <w:szCs w:val="26"/>
          <w:lang w:eastAsia="fr-FR"/>
        </w:rPr>
        <w:t>1 832</w:t>
      </w:r>
      <w:r w:rsidRPr="677F3401">
        <w:rPr>
          <w:rFonts w:ascii="Gotham Book" w:eastAsia="Times New Roman" w:hAnsi="Gotham Book"/>
          <w:lang w:eastAsia="fr-FR"/>
        </w:rPr>
        <w:t xml:space="preserve"> millions d’euros et </w:t>
      </w:r>
      <w:r w:rsidRPr="677F3401">
        <w:rPr>
          <w:rFonts w:ascii="Gotham Bold" w:eastAsia="Times New Roman" w:hAnsi="Gotham Bold"/>
          <w:color w:val="C30D25" w:themeColor="accent4"/>
          <w:lang w:eastAsia="fr-FR"/>
        </w:rPr>
        <w:t>la production de crédits de trésorerie</w:t>
      </w:r>
      <w:r w:rsidRPr="677F3401">
        <w:rPr>
          <w:rFonts w:ascii="Gotham Book" w:eastAsia="Times New Roman" w:hAnsi="Gotham Book"/>
          <w:color w:val="C30D25" w:themeColor="accent4"/>
          <w:lang w:eastAsia="fr-FR"/>
        </w:rPr>
        <w:t xml:space="preserve"> </w:t>
      </w:r>
      <w:r w:rsidRPr="677F3401">
        <w:rPr>
          <w:rFonts w:ascii="Gotham Book" w:eastAsia="Times New Roman" w:hAnsi="Gotham Book"/>
          <w:lang w:eastAsia="fr-FR"/>
        </w:rPr>
        <w:t xml:space="preserve">à </w:t>
      </w:r>
      <w:r w:rsidRPr="677F3401">
        <w:rPr>
          <w:rFonts w:ascii="Antipasto" w:eastAsia="Times New Roman" w:hAnsi="Antipasto"/>
          <w:color w:val="39A9E5" w:themeColor="accent2"/>
          <w:sz w:val="26"/>
          <w:szCs w:val="26"/>
          <w:lang w:eastAsia="fr-FR"/>
        </w:rPr>
        <w:t>635</w:t>
      </w:r>
      <w:r w:rsidRPr="677F3401">
        <w:rPr>
          <w:rFonts w:ascii="Gotham Book" w:eastAsia="Times New Roman" w:hAnsi="Gotham Book"/>
          <w:lang w:eastAsia="fr-FR"/>
        </w:rPr>
        <w:t xml:space="preserve"> millions d’euros</w:t>
      </w:r>
      <w:r w:rsidR="00FD4E6F" w:rsidRPr="677F3401">
        <w:rPr>
          <w:rFonts w:ascii="Gotham Book" w:eastAsia="Times New Roman" w:hAnsi="Gotham Book"/>
          <w:lang w:eastAsia="fr-FR"/>
        </w:rPr>
        <w:t xml:space="preserve">, </w:t>
      </w:r>
      <w:r w:rsidR="002F01DC" w:rsidRPr="677F3401">
        <w:rPr>
          <w:rFonts w:ascii="Gotham Book" w:eastAsia="Times New Roman" w:hAnsi="Gotham Book"/>
          <w:lang w:eastAsia="fr-FR"/>
        </w:rPr>
        <w:t xml:space="preserve">l’AFL </w:t>
      </w:r>
      <w:r w:rsidR="12D0EBC6" w:rsidRPr="677F3401">
        <w:rPr>
          <w:rFonts w:ascii="Gotham Book" w:eastAsia="Times New Roman" w:hAnsi="Gotham Book"/>
          <w:lang w:eastAsia="fr-FR"/>
        </w:rPr>
        <w:t xml:space="preserve">répondant à la diversité des besoins de financement </w:t>
      </w:r>
      <w:r w:rsidR="00FD4E6F" w:rsidRPr="677F3401">
        <w:rPr>
          <w:rFonts w:ascii="Gotham Book" w:eastAsia="Times New Roman" w:hAnsi="Gotham Book"/>
          <w:lang w:eastAsia="fr-FR"/>
        </w:rPr>
        <w:t>en renforçant ses interventions sur les prêts relais et les crédits de trésorerie</w:t>
      </w:r>
      <w:r w:rsidR="002D30CE" w:rsidRPr="677F3401">
        <w:rPr>
          <w:rFonts w:ascii="Gotham Book" w:eastAsia="Times New Roman" w:hAnsi="Gotham Book"/>
          <w:lang w:eastAsia="fr-FR"/>
        </w:rPr>
        <w:t>.</w:t>
      </w:r>
    </w:p>
    <w:p w14:paraId="3A68C4C4" w14:textId="71DEDCF4" w:rsidR="003A612A" w:rsidRPr="00E54AF0" w:rsidRDefault="003A612A"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olor w:val="C30D25" w:themeColor="accent3"/>
          <w:lang w:eastAsia="fr-FR"/>
        </w:rPr>
        <w:t>Le coefficient d’exploitation</w:t>
      </w:r>
      <w:r w:rsidRPr="00967BCA">
        <w:rPr>
          <w:rFonts w:ascii="Gotham Book" w:eastAsia="Times New Roman" w:hAnsi="Gotham Book"/>
          <w:color w:val="C30D25" w:themeColor="accent3"/>
          <w:lang w:eastAsia="fr-FR"/>
        </w:rPr>
        <w:t xml:space="preserve"> </w:t>
      </w:r>
      <w:r w:rsidRPr="00E54AF0">
        <w:rPr>
          <w:rFonts w:ascii="Gotham Book" w:eastAsia="Times New Roman" w:hAnsi="Gotham Book"/>
          <w:lang w:eastAsia="fr-FR"/>
        </w:rPr>
        <w:t>poursuit son amélioration.</w:t>
      </w:r>
    </w:p>
    <w:p w14:paraId="67E4AB08" w14:textId="11CCD5F6" w:rsidR="003A612A" w:rsidRPr="00E54AF0" w:rsidRDefault="004D6DFB"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Pr>
          <w:rFonts w:ascii="Gotham Book" w:eastAsia="Times New Roman" w:hAnsi="Gotham Book"/>
          <w:lang w:eastAsia="fr-FR"/>
        </w:rPr>
        <w:t>Au 31/12/2025, e</w:t>
      </w:r>
      <w:r w:rsidR="00D9464D">
        <w:rPr>
          <w:rFonts w:ascii="Gotham Book" w:eastAsia="Times New Roman" w:hAnsi="Gotham Book"/>
          <w:lang w:eastAsia="fr-FR"/>
        </w:rPr>
        <w:t xml:space="preserve">n incorporant le résultat </w:t>
      </w:r>
      <w:r w:rsidR="008E3554">
        <w:rPr>
          <w:rFonts w:ascii="Gotham Book" w:eastAsia="Times New Roman" w:hAnsi="Gotham Book"/>
          <w:lang w:eastAsia="fr-FR"/>
        </w:rPr>
        <w:t xml:space="preserve">net 2025, </w:t>
      </w:r>
      <w:r w:rsidR="00075AAD" w:rsidRPr="00E54AF0">
        <w:rPr>
          <w:rFonts w:ascii="Gotham Book" w:eastAsia="Times New Roman" w:hAnsi="Gotham Book"/>
          <w:lang w:eastAsia="fr-FR"/>
        </w:rPr>
        <w:t xml:space="preserve">le Groupe AFL </w:t>
      </w:r>
      <w:r w:rsidR="0066075B">
        <w:rPr>
          <w:rFonts w:ascii="Gotham Book" w:eastAsia="Times New Roman" w:hAnsi="Gotham Book"/>
          <w:lang w:eastAsia="fr-FR"/>
        </w:rPr>
        <w:t>a</w:t>
      </w:r>
      <w:r w:rsidR="008E3554">
        <w:rPr>
          <w:rFonts w:ascii="Gotham Book" w:eastAsia="Times New Roman" w:hAnsi="Gotham Book"/>
          <w:lang w:eastAsia="fr-FR"/>
        </w:rPr>
        <w:t xml:space="preserve"> </w:t>
      </w:r>
      <w:r w:rsidR="00075AAD" w:rsidRPr="00967BCA">
        <w:rPr>
          <w:rFonts w:ascii="Gotham Bold" w:eastAsia="Times New Roman" w:hAnsi="Gotham Bold"/>
          <w:color w:val="C30D25" w:themeColor="accent3"/>
          <w:lang w:eastAsia="fr-FR"/>
        </w:rPr>
        <w:t>apur</w:t>
      </w:r>
      <w:r w:rsidR="0066075B">
        <w:rPr>
          <w:rFonts w:ascii="Gotham Bold" w:eastAsia="Times New Roman" w:hAnsi="Gotham Bold"/>
          <w:color w:val="C30D25" w:themeColor="accent3"/>
          <w:lang w:eastAsia="fr-FR"/>
        </w:rPr>
        <w:t>é</w:t>
      </w:r>
      <w:r w:rsidR="00075AAD" w:rsidRPr="00967BCA">
        <w:rPr>
          <w:rFonts w:ascii="Gotham Bold" w:eastAsia="Times New Roman" w:hAnsi="Gotham Bold"/>
          <w:color w:val="C30D25" w:themeColor="accent3"/>
          <w:lang w:eastAsia="fr-FR"/>
        </w:rPr>
        <w:t xml:space="preserve"> la totalité de</w:t>
      </w:r>
      <w:r w:rsidR="00046D3C">
        <w:rPr>
          <w:rFonts w:ascii="Gotham Bold" w:eastAsia="Times New Roman" w:hAnsi="Gotham Bold"/>
          <w:color w:val="C30D25" w:themeColor="accent3"/>
          <w:lang w:eastAsia="fr-FR"/>
        </w:rPr>
        <w:t xml:space="preserve">s pertes </w:t>
      </w:r>
      <w:r w:rsidR="00D85AE3">
        <w:rPr>
          <w:rFonts w:ascii="Gotham Bold" w:eastAsia="Times New Roman" w:hAnsi="Gotham Bold"/>
          <w:color w:val="C30D25" w:themeColor="accent3"/>
          <w:lang w:eastAsia="fr-FR"/>
        </w:rPr>
        <w:t>cumulées depuis sa création</w:t>
      </w:r>
      <w:r w:rsidR="00FD16F7" w:rsidRPr="00E54AF0">
        <w:rPr>
          <w:rFonts w:ascii="Gotham Book" w:eastAsia="Times New Roman" w:hAnsi="Gotham Book"/>
          <w:lang w:eastAsia="fr-FR"/>
        </w:rPr>
        <w:t>.</w:t>
      </w:r>
    </w:p>
    <w:p w14:paraId="3E27D9E7" w14:textId="1CF11C2C" w:rsidR="00D5517A" w:rsidRPr="00E54AF0" w:rsidRDefault="00D5517A"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olor w:val="C30D25" w:themeColor="accent3"/>
          <w:lang w:eastAsia="fr-FR"/>
        </w:rPr>
        <w:t>Le coût du risque</w:t>
      </w:r>
      <w:r w:rsidRPr="00967BCA">
        <w:rPr>
          <w:rFonts w:ascii="Gotham Book" w:eastAsia="Times New Roman" w:hAnsi="Gotham Book"/>
          <w:color w:val="C30D25" w:themeColor="accent3"/>
          <w:lang w:eastAsia="fr-FR"/>
        </w:rPr>
        <w:t xml:space="preserve"> </w:t>
      </w:r>
      <w:r w:rsidRPr="00E54AF0">
        <w:rPr>
          <w:rFonts w:ascii="Gotham Book" w:eastAsia="Times New Roman" w:hAnsi="Gotham Book"/>
          <w:lang w:eastAsia="fr-FR"/>
        </w:rPr>
        <w:t xml:space="preserve">reste très faible à </w:t>
      </w:r>
      <w:r w:rsidRPr="00FA6C8C">
        <w:rPr>
          <w:rFonts w:ascii="Antipasto" w:eastAsia="Times New Roman" w:hAnsi="Antipasto"/>
          <w:color w:val="39A9E5" w:themeColor="accent1"/>
          <w:sz w:val="26"/>
          <w:szCs w:val="26"/>
          <w:lang w:eastAsia="fr-FR"/>
        </w:rPr>
        <w:t>1,26</w:t>
      </w:r>
      <w:r w:rsidRPr="00E54AF0">
        <w:rPr>
          <w:rFonts w:ascii="Gotham Book" w:eastAsia="Times New Roman" w:hAnsi="Gotham Book"/>
          <w:lang w:eastAsia="fr-FR"/>
        </w:rPr>
        <w:t xml:space="preserve"> point de base </w:t>
      </w:r>
      <w:r w:rsidR="00473958" w:rsidRPr="00E54AF0">
        <w:rPr>
          <w:rFonts w:ascii="Gotham Book" w:eastAsia="Times New Roman" w:hAnsi="Gotham Book"/>
          <w:lang w:eastAsia="fr-FR"/>
        </w:rPr>
        <w:t>sur encours.</w:t>
      </w:r>
    </w:p>
    <w:p w14:paraId="71BBB5D6" w14:textId="77777777" w:rsidR="00EE724B" w:rsidRPr="00CD2A85" w:rsidRDefault="00EE724B" w:rsidP="00695656">
      <w:pPr>
        <w:suppressAutoHyphens w:val="0"/>
        <w:autoSpaceDN/>
        <w:spacing w:before="120" w:after="120"/>
        <w:jc w:val="both"/>
        <w:rPr>
          <w:rFonts w:ascii="Antipasto" w:eastAsia="Times New Roman" w:hAnsi="Antipasto"/>
          <w:color w:val="273780"/>
          <w:sz w:val="26"/>
          <w:szCs w:val="26"/>
          <w:lang w:eastAsia="fr-FR"/>
        </w:rPr>
      </w:pPr>
    </w:p>
    <w:p w14:paraId="2307E311" w14:textId="77777777" w:rsidR="00251F5B" w:rsidRDefault="00EE724B" w:rsidP="00695656">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i/>
          <w:iCs/>
          <w:color w:val="273780"/>
          <w:sz w:val="26"/>
          <w:szCs w:val="26"/>
          <w:lang w:eastAsia="fr-FR"/>
        </w:rPr>
        <w:t xml:space="preserve">Des ratios </w:t>
      </w:r>
      <w:r w:rsidR="00251F5B">
        <w:rPr>
          <w:rFonts w:ascii="Antipasto" w:eastAsia="Times New Roman" w:hAnsi="Antipasto"/>
          <w:i/>
          <w:iCs/>
          <w:color w:val="273780"/>
          <w:sz w:val="26"/>
          <w:szCs w:val="26"/>
          <w:lang w:eastAsia="fr-FR"/>
        </w:rPr>
        <w:t>de capitalisation élevés</w:t>
      </w:r>
    </w:p>
    <w:p w14:paraId="48D1281A" w14:textId="4F38841C" w:rsidR="009B4184" w:rsidRPr="00F31C4B" w:rsidRDefault="009B4184" w:rsidP="00F31C4B">
      <w:pPr>
        <w:suppressAutoHyphens w:val="0"/>
        <w:autoSpaceDN/>
        <w:spacing w:before="120" w:after="120"/>
        <w:jc w:val="both"/>
        <w:rPr>
          <w:rFonts w:eastAsia="Times New Roman"/>
          <w:lang w:eastAsia="fr-FR"/>
        </w:rPr>
      </w:pPr>
      <w:r w:rsidRPr="677F3401">
        <w:rPr>
          <w:rFonts w:eastAsia="Times New Roman"/>
          <w:lang w:eastAsia="fr-FR"/>
        </w:rPr>
        <w:t>L’AFL et le Groupe AFL dispose d’une structure financière très robuste</w:t>
      </w:r>
      <w:r w:rsidR="00574B95">
        <w:rPr>
          <w:rFonts w:eastAsia="Times New Roman"/>
          <w:lang w:eastAsia="fr-FR"/>
        </w:rPr>
        <w:t>,</w:t>
      </w:r>
      <w:r w:rsidRPr="677F3401">
        <w:rPr>
          <w:rFonts w:eastAsia="Times New Roman"/>
          <w:lang w:eastAsia="fr-FR"/>
        </w:rPr>
        <w:t xml:space="preserve"> qui est le résultat d’une progression des fonds propres disponibles</w:t>
      </w:r>
      <w:r w:rsidR="00952020" w:rsidRPr="677F3401">
        <w:rPr>
          <w:rFonts w:eastAsia="Times New Roman"/>
          <w:lang w:eastAsia="fr-FR"/>
        </w:rPr>
        <w:t xml:space="preserve">, </w:t>
      </w:r>
      <w:r w:rsidR="00A70D69" w:rsidRPr="00A70D69">
        <w:rPr>
          <w:rFonts w:eastAsia="Times New Roman"/>
          <w:lang w:eastAsia="fr-FR"/>
        </w:rPr>
        <w:t>due notamment à</w:t>
      </w:r>
      <w:r w:rsidR="00016B57">
        <w:rPr>
          <w:rFonts w:eastAsia="Times New Roman"/>
          <w:lang w:eastAsia="fr-FR"/>
        </w:rPr>
        <w:t xml:space="preserve"> </w:t>
      </w:r>
      <w:r w:rsidR="00A70D69" w:rsidRPr="00A70D69">
        <w:rPr>
          <w:rFonts w:eastAsia="Times New Roman"/>
          <w:lang w:eastAsia="fr-FR"/>
        </w:rPr>
        <w:t>une émission de dette “</w:t>
      </w:r>
      <w:proofErr w:type="spellStart"/>
      <w:r w:rsidR="00A70D69" w:rsidRPr="00A70D69">
        <w:rPr>
          <w:rFonts w:eastAsia="Times New Roman"/>
          <w:lang w:eastAsia="fr-FR"/>
        </w:rPr>
        <w:t>Additionnal</w:t>
      </w:r>
      <w:proofErr w:type="spellEnd"/>
      <w:r w:rsidR="00A70D69" w:rsidRPr="00A70D69">
        <w:rPr>
          <w:rFonts w:eastAsia="Times New Roman"/>
          <w:lang w:eastAsia="fr-FR"/>
        </w:rPr>
        <w:t xml:space="preserve"> Tier 1” (AT1) en décembre 2024 et à</w:t>
      </w:r>
      <w:r w:rsidR="00016B57">
        <w:rPr>
          <w:rFonts w:eastAsia="Times New Roman"/>
          <w:lang w:eastAsia="fr-FR"/>
        </w:rPr>
        <w:t xml:space="preserve"> </w:t>
      </w:r>
      <w:r w:rsidR="00A70D69" w:rsidRPr="00A70D69">
        <w:rPr>
          <w:rFonts w:eastAsia="Times New Roman"/>
          <w:lang w:eastAsia="fr-FR"/>
        </w:rPr>
        <w:t xml:space="preserve">4 augmentations de capital réalisées en 2025 : </w:t>
      </w:r>
      <w:r w:rsidR="008C38E8" w:rsidRPr="677F3401">
        <w:rPr>
          <w:rFonts w:eastAsia="Times New Roman"/>
          <w:lang w:eastAsia="fr-FR"/>
        </w:rPr>
        <w:t xml:space="preserve"> </w:t>
      </w:r>
    </w:p>
    <w:p w14:paraId="091EE2A2" w14:textId="6822B438" w:rsidR="00B46CB6" w:rsidRPr="00A80EE0" w:rsidRDefault="00366CFE" w:rsidP="00A80EE0">
      <w:pPr>
        <w:pStyle w:val="Paragraphedeliste"/>
        <w:numPr>
          <w:ilvl w:val="0"/>
          <w:numId w:val="18"/>
        </w:numPr>
        <w:suppressAutoHyphens w:val="0"/>
        <w:autoSpaceDN/>
        <w:spacing w:before="120" w:after="120"/>
        <w:jc w:val="both"/>
        <w:rPr>
          <w:rFonts w:ascii="Antipasto" w:eastAsia="Times New Roman" w:hAnsi="Antipasto"/>
          <w:color w:val="39A9E5" w:themeColor="accent1"/>
          <w:sz w:val="28"/>
          <w:szCs w:val="28"/>
          <w:lang w:eastAsia="fr-FR"/>
        </w:rPr>
      </w:pPr>
      <w:r w:rsidRPr="00A80EE0">
        <w:rPr>
          <w:rFonts w:ascii="Gotham Bold" w:eastAsia="Times New Roman" w:hAnsi="Gotham Bold"/>
          <w:color w:val="C30D25" w:themeColor="accent3"/>
          <w:lang w:eastAsia="fr-FR"/>
        </w:rPr>
        <w:t xml:space="preserve">Ratio </w:t>
      </w:r>
      <w:r w:rsidR="00B46CB6" w:rsidRPr="00A80EE0">
        <w:rPr>
          <w:rFonts w:ascii="Gotham Bold" w:eastAsia="Times New Roman" w:hAnsi="Gotham Bold"/>
          <w:color w:val="C30D25" w:themeColor="accent3"/>
          <w:lang w:eastAsia="fr-FR"/>
        </w:rPr>
        <w:t>CET1</w:t>
      </w:r>
      <w:r w:rsidR="00B46CB6" w:rsidRPr="00A80EE0">
        <w:rPr>
          <w:rFonts w:eastAsia="Times New Roman"/>
          <w:lang w:eastAsia="fr-FR"/>
        </w:rPr>
        <w:t xml:space="preserve"> </w:t>
      </w:r>
      <w:r w:rsidR="00B46CB6" w:rsidRPr="00E05C99">
        <w:rPr>
          <w:rFonts w:ascii="Gotham Book" w:eastAsia="Times New Roman" w:hAnsi="Gotham Book"/>
          <w:lang w:eastAsia="fr-FR"/>
        </w:rPr>
        <w:t>Groupe AFL à</w:t>
      </w:r>
      <w:r w:rsidR="00B46CB6" w:rsidRPr="00A80EE0">
        <w:rPr>
          <w:rFonts w:eastAsia="Times New Roman"/>
          <w:lang w:eastAsia="fr-FR"/>
        </w:rPr>
        <w:t xml:space="preserve"> </w:t>
      </w:r>
      <w:r w:rsidR="008B44F7" w:rsidRPr="00A80EE0">
        <w:rPr>
          <w:rFonts w:ascii="Antipasto" w:eastAsia="Times New Roman" w:hAnsi="Antipasto"/>
          <w:color w:val="39A9E5" w:themeColor="accent1"/>
          <w:sz w:val="26"/>
          <w:szCs w:val="26"/>
          <w:lang w:eastAsia="fr-FR"/>
        </w:rPr>
        <w:t>59,45</w:t>
      </w:r>
      <w:r w:rsidR="008B44F7" w:rsidRPr="00872075">
        <w:rPr>
          <w:rFonts w:ascii="Antipasto" w:eastAsia="Times New Roman" w:hAnsi="Antipasto"/>
          <w:color w:val="39A9E5" w:themeColor="accent1"/>
          <w:sz w:val="26"/>
          <w:szCs w:val="26"/>
          <w:lang w:eastAsia="fr-FR"/>
        </w:rPr>
        <w:t>%</w:t>
      </w:r>
      <w:r w:rsidR="00B46CB6" w:rsidRPr="00E05C99">
        <w:rPr>
          <w:rFonts w:ascii="Gotham Book" w:eastAsia="Times New Roman" w:hAnsi="Gotham Book"/>
          <w:lang w:eastAsia="fr-FR"/>
        </w:rPr>
        <w:t xml:space="preserve"> et AFL à</w:t>
      </w:r>
      <w:r w:rsidR="00B46CB6" w:rsidRPr="00A80EE0">
        <w:rPr>
          <w:rFonts w:eastAsia="Times New Roman"/>
          <w:lang w:eastAsia="fr-FR"/>
        </w:rPr>
        <w:t xml:space="preserve"> </w:t>
      </w:r>
      <w:r w:rsidR="000C6A82" w:rsidRPr="00A80EE0">
        <w:rPr>
          <w:rFonts w:ascii="Antipasto" w:eastAsia="Times New Roman" w:hAnsi="Antipasto"/>
          <w:color w:val="39A9E5" w:themeColor="accent1"/>
          <w:sz w:val="26"/>
          <w:szCs w:val="26"/>
          <w:lang w:eastAsia="fr-FR"/>
        </w:rPr>
        <w:t>57,78%</w:t>
      </w:r>
    </w:p>
    <w:p w14:paraId="628FD9F8" w14:textId="6ED54896" w:rsidR="00B46CB6" w:rsidRPr="00F31C4B" w:rsidRDefault="006B13A0" w:rsidP="00CC2664">
      <w:pPr>
        <w:pStyle w:val="Paragraphedeliste"/>
        <w:numPr>
          <w:ilvl w:val="0"/>
          <w:numId w:val="16"/>
        </w:numPr>
        <w:suppressAutoHyphens w:val="0"/>
        <w:autoSpaceDN/>
        <w:spacing w:before="120" w:after="120"/>
        <w:jc w:val="both"/>
        <w:rPr>
          <w:rFonts w:ascii="Gotham Book" w:eastAsia="Times New Roman" w:hAnsi="Gotham Book"/>
          <w:lang w:eastAsia="fr-FR"/>
        </w:rPr>
      </w:pPr>
      <w:r w:rsidRPr="3EEC06AA">
        <w:rPr>
          <w:rFonts w:ascii="Gotham Bold" w:eastAsia="Times New Roman" w:hAnsi="Gotham Bold"/>
          <w:color w:val="C30D25" w:themeColor="accent4"/>
          <w:lang w:eastAsia="fr-FR"/>
        </w:rPr>
        <w:t xml:space="preserve">Ratio </w:t>
      </w:r>
      <w:r w:rsidR="00950F35">
        <w:rPr>
          <w:rFonts w:ascii="Gotham Bold" w:eastAsia="Times New Roman" w:hAnsi="Gotham Bold"/>
          <w:color w:val="C30D25" w:themeColor="accent4"/>
          <w:lang w:eastAsia="fr-FR"/>
        </w:rPr>
        <w:t>Tier</w:t>
      </w:r>
      <w:r w:rsidR="00950F35" w:rsidRPr="3EEC06AA">
        <w:rPr>
          <w:rFonts w:ascii="Gotham Bold" w:eastAsia="Times New Roman" w:hAnsi="Gotham Bold"/>
          <w:color w:val="C30D25" w:themeColor="accent4"/>
          <w:lang w:eastAsia="fr-FR"/>
        </w:rPr>
        <w:t xml:space="preserve"> </w:t>
      </w:r>
      <w:r w:rsidR="00B46CB6" w:rsidRPr="3EEC06AA">
        <w:rPr>
          <w:rFonts w:ascii="Gotham Bold" w:eastAsia="Times New Roman" w:hAnsi="Gotham Bold"/>
          <w:color w:val="C30D25" w:themeColor="accent4"/>
          <w:lang w:eastAsia="fr-FR"/>
        </w:rPr>
        <w:t>1</w:t>
      </w:r>
      <w:r w:rsidR="00B46CB6" w:rsidRPr="3EEC06AA">
        <w:rPr>
          <w:rFonts w:ascii="Gotham Book" w:eastAsia="Times New Roman" w:hAnsi="Gotham Book"/>
          <w:color w:val="C30D25" w:themeColor="accent4"/>
          <w:lang w:eastAsia="fr-FR"/>
        </w:rPr>
        <w:t xml:space="preserve"> </w:t>
      </w:r>
      <w:r w:rsidR="00B46CB6" w:rsidRPr="00F31C4B">
        <w:rPr>
          <w:rFonts w:ascii="Gotham Book" w:eastAsia="Times New Roman" w:hAnsi="Gotham Book"/>
          <w:lang w:eastAsia="fr-FR"/>
        </w:rPr>
        <w:t xml:space="preserve">Groupe AFL à </w:t>
      </w:r>
      <w:r w:rsidR="00EE69F3" w:rsidRPr="3EEC06AA">
        <w:rPr>
          <w:rFonts w:ascii="Antipasto" w:eastAsia="Times New Roman" w:hAnsi="Antipasto"/>
          <w:color w:val="39A9E5" w:themeColor="accent2"/>
          <w:sz w:val="26"/>
          <w:szCs w:val="26"/>
          <w:lang w:eastAsia="fr-FR"/>
        </w:rPr>
        <w:t>61,33%</w:t>
      </w:r>
      <w:r w:rsidR="00EE69F3" w:rsidRPr="00F31C4B">
        <w:rPr>
          <w:rFonts w:ascii="Gotham Book" w:eastAsia="Times New Roman" w:hAnsi="Gotham Book"/>
          <w:lang w:eastAsia="fr-FR"/>
        </w:rPr>
        <w:t xml:space="preserve"> </w:t>
      </w:r>
      <w:r w:rsidR="00B46CB6" w:rsidRPr="00F31C4B">
        <w:rPr>
          <w:rFonts w:ascii="Gotham Book" w:eastAsia="Times New Roman" w:hAnsi="Gotham Book"/>
          <w:lang w:eastAsia="fr-FR"/>
        </w:rPr>
        <w:t xml:space="preserve">et AFL à </w:t>
      </w:r>
      <w:r w:rsidR="00EE69F3" w:rsidRPr="3EEC06AA">
        <w:rPr>
          <w:rFonts w:ascii="Antipasto" w:eastAsia="Times New Roman" w:hAnsi="Antipasto"/>
          <w:color w:val="39A9E5" w:themeColor="accent2"/>
          <w:sz w:val="26"/>
          <w:szCs w:val="26"/>
          <w:lang w:eastAsia="fr-FR"/>
        </w:rPr>
        <w:t>68,7</w:t>
      </w:r>
      <w:r w:rsidR="70C32A35" w:rsidRPr="3EEC06AA">
        <w:rPr>
          <w:rFonts w:ascii="Antipasto" w:eastAsia="Times New Roman" w:hAnsi="Antipasto"/>
          <w:color w:val="39A9E5" w:themeColor="accent2"/>
          <w:sz w:val="26"/>
          <w:szCs w:val="26"/>
          <w:lang w:eastAsia="fr-FR"/>
        </w:rPr>
        <w:t>1</w:t>
      </w:r>
      <w:r w:rsidR="00EE69F3" w:rsidRPr="3EEC06AA">
        <w:rPr>
          <w:rFonts w:ascii="Antipasto" w:eastAsia="Times New Roman" w:hAnsi="Antipasto"/>
          <w:color w:val="39A9E5" w:themeColor="accent2"/>
          <w:sz w:val="26"/>
          <w:szCs w:val="26"/>
          <w:lang w:eastAsia="fr-FR"/>
        </w:rPr>
        <w:t>%</w:t>
      </w:r>
    </w:p>
    <w:p w14:paraId="55AED763" w14:textId="61FB74DF" w:rsidR="00366160" w:rsidRPr="00F31C4B" w:rsidRDefault="00B46CB6" w:rsidP="00CC2664">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olor w:val="C30D25" w:themeColor="accent3"/>
          <w:lang w:eastAsia="fr-FR"/>
        </w:rPr>
        <w:t>Ratio de levier bancaire</w:t>
      </w:r>
      <w:r w:rsidRPr="00967BCA">
        <w:rPr>
          <w:rFonts w:ascii="Gotham Book" w:eastAsia="Times New Roman" w:hAnsi="Gotham Book"/>
          <w:color w:val="C30D25" w:themeColor="accent3"/>
          <w:lang w:eastAsia="fr-FR"/>
        </w:rPr>
        <w:t xml:space="preserve"> </w:t>
      </w:r>
      <w:r w:rsidR="00366160" w:rsidRPr="00F31C4B">
        <w:rPr>
          <w:rFonts w:ascii="Gotham Book" w:eastAsia="Times New Roman" w:hAnsi="Gotham Book"/>
          <w:lang w:eastAsia="fr-FR"/>
        </w:rPr>
        <w:t xml:space="preserve">Groupe AFL à </w:t>
      </w:r>
      <w:r w:rsidR="00366CFE" w:rsidRPr="00AF3219">
        <w:rPr>
          <w:rFonts w:ascii="Antipasto" w:eastAsia="Times New Roman" w:hAnsi="Antipasto"/>
          <w:color w:val="39A9E5" w:themeColor="accent1"/>
          <w:sz w:val="26"/>
          <w:szCs w:val="26"/>
          <w:lang w:eastAsia="fr-FR"/>
        </w:rPr>
        <w:t>2,32%</w:t>
      </w:r>
      <w:r w:rsidR="00366160" w:rsidRPr="00F31C4B">
        <w:rPr>
          <w:rFonts w:ascii="Gotham Book" w:eastAsia="Times New Roman" w:hAnsi="Gotham Book"/>
          <w:lang w:eastAsia="fr-FR"/>
        </w:rPr>
        <w:t xml:space="preserve"> et AFL à </w:t>
      </w:r>
      <w:r w:rsidR="00366160" w:rsidRPr="00AF3219">
        <w:rPr>
          <w:rFonts w:ascii="Antipasto" w:eastAsia="Times New Roman" w:hAnsi="Antipasto"/>
          <w:color w:val="39A9E5" w:themeColor="accent1"/>
          <w:sz w:val="26"/>
          <w:szCs w:val="26"/>
          <w:lang w:eastAsia="fr-FR"/>
        </w:rPr>
        <w:t>2,59%</w:t>
      </w:r>
    </w:p>
    <w:p w14:paraId="2A0E16BF" w14:textId="01CA7E9B" w:rsidR="00366160" w:rsidRPr="00F31C4B" w:rsidRDefault="00366160" w:rsidP="00CC2664">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olor w:val="C30D25" w:themeColor="accent3"/>
          <w:lang w:eastAsia="fr-FR"/>
        </w:rPr>
        <w:t>Ratio de levier des établissements publics de développement</w:t>
      </w:r>
      <w:r w:rsidRPr="00967BCA">
        <w:rPr>
          <w:rFonts w:ascii="Gotham Book" w:eastAsia="Times New Roman" w:hAnsi="Gotham Book"/>
          <w:color w:val="C30D25" w:themeColor="accent3"/>
          <w:lang w:eastAsia="fr-FR"/>
        </w:rPr>
        <w:t> </w:t>
      </w:r>
      <w:r w:rsidRPr="00F31C4B">
        <w:rPr>
          <w:rFonts w:ascii="Gotham Book" w:eastAsia="Times New Roman" w:hAnsi="Gotham Book"/>
          <w:lang w:eastAsia="fr-FR"/>
        </w:rPr>
        <w:t xml:space="preserve">Groupe AFL à </w:t>
      </w:r>
      <w:r w:rsidR="00366CFE" w:rsidRPr="00AF3219">
        <w:rPr>
          <w:rFonts w:ascii="Antipasto" w:eastAsia="Times New Roman" w:hAnsi="Antipasto"/>
          <w:color w:val="39A9E5" w:themeColor="accent1"/>
          <w:sz w:val="26"/>
          <w:szCs w:val="26"/>
          <w:lang w:eastAsia="fr-FR"/>
        </w:rPr>
        <w:t>11,18%</w:t>
      </w:r>
      <w:r w:rsidR="00366CFE" w:rsidRPr="00F31C4B">
        <w:rPr>
          <w:rFonts w:ascii="Gotham Book" w:eastAsia="Times New Roman" w:hAnsi="Gotham Book"/>
          <w:lang w:eastAsia="fr-FR"/>
        </w:rPr>
        <w:t> </w:t>
      </w:r>
      <w:r w:rsidRPr="00F31C4B">
        <w:rPr>
          <w:rFonts w:ascii="Gotham Book" w:eastAsia="Times New Roman" w:hAnsi="Gotham Book"/>
          <w:lang w:eastAsia="fr-FR"/>
        </w:rPr>
        <w:t xml:space="preserve">et AFL à </w:t>
      </w:r>
      <w:r w:rsidR="008D28ED" w:rsidRPr="00AF3219">
        <w:rPr>
          <w:rFonts w:ascii="Antipasto" w:eastAsia="Times New Roman" w:hAnsi="Antipasto"/>
          <w:color w:val="39A9E5" w:themeColor="accent1"/>
          <w:sz w:val="26"/>
          <w:szCs w:val="26"/>
          <w:lang w:eastAsia="fr-FR"/>
        </w:rPr>
        <w:t>12,58%</w:t>
      </w:r>
    </w:p>
    <w:p w14:paraId="757B2879" w14:textId="77777777" w:rsidR="00366160" w:rsidRDefault="00366160" w:rsidP="00EE69F3">
      <w:pPr>
        <w:pStyle w:val="Paragraphedeliste"/>
        <w:suppressAutoHyphens w:val="0"/>
        <w:autoSpaceDN/>
        <w:spacing w:before="120" w:after="120"/>
        <w:ind w:left="1440"/>
        <w:jc w:val="both"/>
        <w:rPr>
          <w:rFonts w:ascii="Gotham Bold" w:eastAsia="Times New Roman" w:hAnsi="Gotham Bold"/>
          <w:color w:val="273780"/>
          <w:lang w:eastAsia="fr-FR"/>
        </w:rPr>
      </w:pPr>
    </w:p>
    <w:p w14:paraId="0C4971BD" w14:textId="70B6554A" w:rsidR="00251F5B" w:rsidRDefault="00251F5B" w:rsidP="00695656">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i/>
          <w:iCs/>
          <w:color w:val="273780"/>
          <w:sz w:val="26"/>
          <w:szCs w:val="26"/>
          <w:lang w:eastAsia="fr-FR"/>
        </w:rPr>
        <w:t xml:space="preserve">Une </w:t>
      </w:r>
      <w:r w:rsidR="00B84D07">
        <w:rPr>
          <w:rFonts w:ascii="Antipasto" w:eastAsia="Times New Roman" w:hAnsi="Antipasto"/>
          <w:i/>
          <w:iCs/>
          <w:color w:val="273780"/>
          <w:sz w:val="26"/>
          <w:szCs w:val="26"/>
          <w:lang w:eastAsia="fr-FR"/>
        </w:rPr>
        <w:t>importante liquidité</w:t>
      </w:r>
      <w:r>
        <w:rPr>
          <w:rFonts w:ascii="Antipasto" w:eastAsia="Times New Roman" w:hAnsi="Antipasto"/>
          <w:i/>
          <w:iCs/>
          <w:color w:val="273780"/>
          <w:sz w:val="26"/>
          <w:szCs w:val="26"/>
          <w:lang w:eastAsia="fr-FR"/>
        </w:rPr>
        <w:t xml:space="preserve"> </w:t>
      </w:r>
    </w:p>
    <w:p w14:paraId="61F6C7D3" w14:textId="7895B2D7" w:rsidR="00D90AF2" w:rsidRPr="00EF5552" w:rsidRDefault="00186311" w:rsidP="00EF5552">
      <w:pPr>
        <w:suppressAutoHyphens w:val="0"/>
        <w:autoSpaceDN/>
        <w:spacing w:before="120" w:after="120"/>
        <w:jc w:val="both"/>
        <w:rPr>
          <w:rFonts w:eastAsia="Times New Roman"/>
          <w:lang w:eastAsia="fr-FR"/>
        </w:rPr>
      </w:pPr>
      <w:r w:rsidRPr="00EF5552">
        <w:rPr>
          <w:rFonts w:eastAsia="Times New Roman"/>
          <w:lang w:eastAsia="fr-FR"/>
        </w:rPr>
        <w:t xml:space="preserve">La </w:t>
      </w:r>
      <w:r w:rsidR="00F87A99">
        <w:rPr>
          <w:rFonts w:eastAsia="Times New Roman"/>
          <w:lang w:eastAsia="fr-FR"/>
        </w:rPr>
        <w:t xml:space="preserve">réserve de </w:t>
      </w:r>
      <w:r w:rsidRPr="00EF5552">
        <w:rPr>
          <w:rFonts w:eastAsia="Times New Roman"/>
          <w:lang w:eastAsia="fr-FR"/>
        </w:rPr>
        <w:t xml:space="preserve">liquidité </w:t>
      </w:r>
      <w:r w:rsidR="00B06760">
        <w:rPr>
          <w:rFonts w:eastAsia="Times New Roman"/>
          <w:lang w:eastAsia="fr-FR"/>
        </w:rPr>
        <w:t xml:space="preserve">au 31 décembre 2025 permet </w:t>
      </w:r>
      <w:r w:rsidR="00EE69F3" w:rsidRPr="00EE69F3">
        <w:rPr>
          <w:rFonts w:eastAsia="Times New Roman"/>
          <w:lang w:eastAsia="fr-FR"/>
        </w:rPr>
        <w:t>à l’AFL de pouvoir faire face à l’ensemble de ses besoins pendant 12 mois sans avoir recours au marché</w:t>
      </w:r>
      <w:r w:rsidR="00145E62">
        <w:rPr>
          <w:rFonts w:eastAsia="Times New Roman"/>
          <w:lang w:eastAsia="fr-FR"/>
        </w:rPr>
        <w:t xml:space="preserve">. Le ratio </w:t>
      </w:r>
      <w:r w:rsidR="007237A0" w:rsidRPr="00EF5552">
        <w:rPr>
          <w:rFonts w:eastAsia="Times New Roman"/>
          <w:lang w:eastAsia="fr-FR"/>
        </w:rPr>
        <w:t xml:space="preserve">LCR </w:t>
      </w:r>
      <w:r w:rsidR="00145E62">
        <w:rPr>
          <w:rFonts w:eastAsia="Times New Roman"/>
          <w:lang w:eastAsia="fr-FR"/>
        </w:rPr>
        <w:t xml:space="preserve">s’élève </w:t>
      </w:r>
      <w:r w:rsidR="007237A0" w:rsidRPr="00EF5552">
        <w:rPr>
          <w:rFonts w:eastAsia="Times New Roman"/>
          <w:lang w:eastAsia="fr-FR"/>
        </w:rPr>
        <w:t>à 485%</w:t>
      </w:r>
      <w:r w:rsidR="007237A0">
        <w:rPr>
          <w:rFonts w:eastAsia="Times New Roman"/>
          <w:lang w:eastAsia="fr-FR"/>
        </w:rPr>
        <w:t xml:space="preserve"> et </w:t>
      </w:r>
      <w:r w:rsidR="00145E62">
        <w:rPr>
          <w:rFonts w:eastAsia="Times New Roman"/>
          <w:lang w:eastAsia="fr-FR"/>
        </w:rPr>
        <w:t>le r</w:t>
      </w:r>
      <w:r w:rsidRPr="00EF5552">
        <w:rPr>
          <w:rFonts w:eastAsia="Times New Roman"/>
          <w:lang w:eastAsia="fr-FR"/>
        </w:rPr>
        <w:t>atio NSFR à 157%</w:t>
      </w:r>
      <w:r w:rsidR="00E749E2" w:rsidRPr="00EF5552">
        <w:rPr>
          <w:rFonts w:eastAsia="Times New Roman"/>
          <w:lang w:eastAsia="fr-FR"/>
        </w:rPr>
        <w:t>.</w:t>
      </w:r>
    </w:p>
    <w:p w14:paraId="58B14585" w14:textId="77777777" w:rsidR="0071303C" w:rsidRPr="0071303C" w:rsidRDefault="0071303C" w:rsidP="00695656">
      <w:pPr>
        <w:suppressAutoHyphens w:val="0"/>
        <w:autoSpaceDN/>
        <w:spacing w:before="120" w:after="120"/>
        <w:jc w:val="both"/>
        <w:rPr>
          <w:rFonts w:eastAsia="Times New Roman"/>
          <w:lang w:eastAsia="fr-FR"/>
        </w:rPr>
      </w:pPr>
    </w:p>
    <w:p w14:paraId="32C0ED3B" w14:textId="2D2E3D6A" w:rsidR="000B4311" w:rsidRDefault="000B4311" w:rsidP="00695656">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i/>
          <w:iCs/>
          <w:color w:val="273780"/>
          <w:sz w:val="26"/>
          <w:szCs w:val="26"/>
          <w:lang w:eastAsia="fr-FR"/>
        </w:rPr>
        <w:t>Des résultats historiques</w:t>
      </w:r>
    </w:p>
    <w:p w14:paraId="04732878" w14:textId="5836114D" w:rsidR="231AE183" w:rsidRDefault="0014430E" w:rsidP="7F720FDA">
      <w:pPr>
        <w:spacing w:before="120" w:after="120"/>
        <w:jc w:val="both"/>
        <w:rPr>
          <w:rFonts w:eastAsia="Times New Roman"/>
          <w:i/>
          <w:iCs/>
          <w:lang w:eastAsia="fr-FR"/>
        </w:rPr>
      </w:pPr>
      <w:r>
        <w:rPr>
          <w:rFonts w:eastAsia="Times New Roman"/>
          <w:i/>
          <w:iCs/>
          <w:noProof/>
          <w:lang w:eastAsia="fr-FR"/>
        </w:rPr>
        <w:drawing>
          <wp:anchor distT="0" distB="0" distL="114300" distR="114300" simplePos="0" relativeHeight="251658242" behindDoc="0" locked="0" layoutInCell="1" allowOverlap="1" wp14:anchorId="095F0710" wp14:editId="42C9ED37">
            <wp:simplePos x="0" y="0"/>
            <wp:positionH relativeFrom="margin">
              <wp:posOffset>42545</wp:posOffset>
            </wp:positionH>
            <wp:positionV relativeFrom="paragraph">
              <wp:posOffset>8255</wp:posOffset>
            </wp:positionV>
            <wp:extent cx="1285875" cy="1285875"/>
            <wp:effectExtent l="0" t="0" r="9525" b="9525"/>
            <wp:wrapSquare wrapText="bothSides"/>
            <wp:docPr id="19514085" name="Image 1" descr="Une image contenant Visage humain, habits, personne, ver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4085" name="Image 1" descr="Une image contenant Visage humain, habits, personne, verres&#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85875" cy="1285875"/>
                    </a:xfrm>
                    <a:prstGeom prst="rect">
                      <a:avLst/>
                    </a:prstGeom>
                  </pic:spPr>
                </pic:pic>
              </a:graphicData>
            </a:graphic>
            <wp14:sizeRelH relativeFrom="margin">
              <wp14:pctWidth>0</wp14:pctWidth>
            </wp14:sizeRelH>
            <wp14:sizeRelV relativeFrom="margin">
              <wp14:pctHeight>0</wp14:pctHeight>
            </wp14:sizeRelV>
          </wp:anchor>
        </w:drawing>
      </w:r>
      <w:r w:rsidR="006F72A0">
        <w:rPr>
          <w:rFonts w:eastAsia="Times New Roman"/>
          <w:i/>
          <w:iCs/>
          <w:lang w:eastAsia="fr-FR"/>
        </w:rPr>
        <w:t>« </w:t>
      </w:r>
      <w:r w:rsidR="6520CB31" w:rsidRPr="7F720FDA">
        <w:rPr>
          <w:rFonts w:eastAsia="Times New Roman"/>
          <w:i/>
          <w:iCs/>
          <w:lang w:eastAsia="fr-FR"/>
        </w:rPr>
        <w:t xml:space="preserve">2025 </w:t>
      </w:r>
      <w:r w:rsidR="00546689">
        <w:rPr>
          <w:rFonts w:eastAsia="Times New Roman"/>
          <w:i/>
          <w:iCs/>
          <w:lang w:eastAsia="fr-FR"/>
        </w:rPr>
        <w:t>se caractérise</w:t>
      </w:r>
      <w:r w:rsidR="00546689" w:rsidDel="00CE3A14">
        <w:rPr>
          <w:rFonts w:eastAsia="Times New Roman"/>
          <w:i/>
          <w:iCs/>
          <w:lang w:eastAsia="fr-FR"/>
        </w:rPr>
        <w:t xml:space="preserve"> </w:t>
      </w:r>
      <w:r w:rsidR="00CE3A14">
        <w:rPr>
          <w:rFonts w:eastAsia="Times New Roman"/>
          <w:i/>
          <w:iCs/>
          <w:lang w:eastAsia="fr-FR"/>
        </w:rPr>
        <w:t xml:space="preserve">par </w:t>
      </w:r>
      <w:r w:rsidR="00546689">
        <w:rPr>
          <w:rFonts w:eastAsia="Times New Roman"/>
          <w:i/>
          <w:iCs/>
          <w:lang w:eastAsia="fr-FR"/>
        </w:rPr>
        <w:t xml:space="preserve">des résultats historiques et </w:t>
      </w:r>
      <w:r w:rsidR="6520CB31" w:rsidRPr="7F720FDA">
        <w:rPr>
          <w:rFonts w:eastAsia="Times New Roman"/>
          <w:i/>
          <w:iCs/>
          <w:lang w:eastAsia="fr-FR"/>
        </w:rPr>
        <w:t>marque la fin d’une deuxième étape dan</w:t>
      </w:r>
      <w:r w:rsidR="197642CC" w:rsidRPr="7F720FDA">
        <w:rPr>
          <w:rFonts w:eastAsia="Times New Roman"/>
          <w:i/>
          <w:iCs/>
          <w:lang w:eastAsia="fr-FR"/>
        </w:rPr>
        <w:t xml:space="preserve">s </w:t>
      </w:r>
      <w:r w:rsidR="6520CB31" w:rsidRPr="7F720FDA">
        <w:rPr>
          <w:rFonts w:eastAsia="Times New Roman"/>
          <w:i/>
          <w:iCs/>
          <w:lang w:eastAsia="fr-FR"/>
        </w:rPr>
        <w:t>l’histoire de l’AFL. La première étape</w:t>
      </w:r>
      <w:r w:rsidR="006F72A0">
        <w:rPr>
          <w:rFonts w:eastAsia="Times New Roman"/>
          <w:i/>
          <w:iCs/>
          <w:lang w:eastAsia="fr-FR"/>
        </w:rPr>
        <w:t>,</w:t>
      </w:r>
      <w:r w:rsidR="6520CB31" w:rsidRPr="7F720FDA">
        <w:rPr>
          <w:rFonts w:eastAsia="Times New Roman"/>
          <w:i/>
          <w:iCs/>
          <w:lang w:eastAsia="fr-FR"/>
        </w:rPr>
        <w:t xml:space="preserve"> qui s’</w:t>
      </w:r>
      <w:r w:rsidR="769F4815" w:rsidRPr="7F720FDA">
        <w:rPr>
          <w:rFonts w:eastAsia="Times New Roman"/>
          <w:i/>
          <w:iCs/>
          <w:lang w:eastAsia="fr-FR"/>
        </w:rPr>
        <w:t>était ouverte en 2015</w:t>
      </w:r>
      <w:r w:rsidR="006F72A0">
        <w:rPr>
          <w:rFonts w:eastAsia="Times New Roman"/>
          <w:i/>
          <w:iCs/>
          <w:lang w:eastAsia="fr-FR"/>
        </w:rPr>
        <w:t>,</w:t>
      </w:r>
      <w:r w:rsidR="769F4815" w:rsidRPr="7F720FDA">
        <w:rPr>
          <w:rFonts w:eastAsia="Times New Roman"/>
          <w:i/>
          <w:iCs/>
          <w:lang w:eastAsia="fr-FR"/>
        </w:rPr>
        <w:t xml:space="preserve"> s’était clôturée en 2020 avec l’arrivée à l’équilibre de l’AFL et du Groupe</w:t>
      </w:r>
      <w:r w:rsidR="006F72A0">
        <w:rPr>
          <w:rFonts w:eastAsia="Times New Roman"/>
          <w:i/>
          <w:iCs/>
          <w:lang w:eastAsia="fr-FR"/>
        </w:rPr>
        <w:t>,</w:t>
      </w:r>
      <w:r w:rsidR="769F4815" w:rsidRPr="7F720FDA">
        <w:rPr>
          <w:rFonts w:eastAsia="Times New Roman"/>
          <w:i/>
          <w:iCs/>
          <w:lang w:eastAsia="fr-FR"/>
        </w:rPr>
        <w:t xml:space="preserve"> </w:t>
      </w:r>
      <w:r w:rsidR="01628850" w:rsidRPr="7F720FDA">
        <w:rPr>
          <w:rFonts w:eastAsia="Times New Roman"/>
          <w:i/>
          <w:iCs/>
          <w:lang w:eastAsia="fr-FR"/>
        </w:rPr>
        <w:t xml:space="preserve">après </w:t>
      </w:r>
      <w:r w:rsidR="35ED5FF0" w:rsidRPr="7F720FDA">
        <w:rPr>
          <w:rFonts w:eastAsia="Times New Roman"/>
          <w:i/>
          <w:iCs/>
          <w:lang w:eastAsia="fr-FR"/>
        </w:rPr>
        <w:t>la</w:t>
      </w:r>
      <w:r w:rsidR="21A598FB" w:rsidRPr="7F720FDA">
        <w:rPr>
          <w:rFonts w:eastAsia="Times New Roman"/>
          <w:i/>
          <w:iCs/>
          <w:lang w:eastAsia="fr-FR"/>
        </w:rPr>
        <w:t xml:space="preserve"> </w:t>
      </w:r>
      <w:r w:rsidR="35ED5FF0" w:rsidRPr="7F720FDA">
        <w:rPr>
          <w:rFonts w:eastAsia="Times New Roman"/>
          <w:i/>
          <w:iCs/>
          <w:lang w:eastAsia="fr-FR"/>
        </w:rPr>
        <w:t>mise en place des fondations</w:t>
      </w:r>
      <w:r w:rsidR="1F5AF6A3" w:rsidRPr="7F720FDA">
        <w:rPr>
          <w:rFonts w:eastAsia="Times New Roman"/>
          <w:i/>
          <w:iCs/>
          <w:lang w:eastAsia="fr-FR"/>
        </w:rPr>
        <w:t xml:space="preserve"> et</w:t>
      </w:r>
      <w:r w:rsidR="7B228669" w:rsidRPr="7F720FDA">
        <w:rPr>
          <w:rFonts w:eastAsia="Times New Roman"/>
          <w:i/>
          <w:iCs/>
          <w:lang w:eastAsia="fr-FR"/>
        </w:rPr>
        <w:t xml:space="preserve"> le démarrage des activités. La seconde étape</w:t>
      </w:r>
      <w:r w:rsidR="00DD4C23">
        <w:rPr>
          <w:rFonts w:eastAsia="Times New Roman"/>
          <w:i/>
          <w:iCs/>
          <w:lang w:eastAsia="fr-FR"/>
        </w:rPr>
        <w:t>,</w:t>
      </w:r>
      <w:r w:rsidR="7B228669" w:rsidRPr="7F720FDA">
        <w:rPr>
          <w:rFonts w:eastAsia="Times New Roman"/>
          <w:i/>
          <w:iCs/>
          <w:lang w:eastAsia="fr-FR"/>
        </w:rPr>
        <w:t xml:space="preserve"> </w:t>
      </w:r>
      <w:r w:rsidR="002101F1" w:rsidRPr="002101F1">
        <w:rPr>
          <w:rFonts w:eastAsia="Times New Roman"/>
          <w:i/>
          <w:iCs/>
          <w:lang w:eastAsia="fr-FR"/>
        </w:rPr>
        <w:t>correspondant à la période de 2021 à 2025, est marquée par</w:t>
      </w:r>
      <w:r w:rsidR="00210DF1">
        <w:rPr>
          <w:rFonts w:eastAsia="Times New Roman"/>
          <w:i/>
          <w:iCs/>
          <w:lang w:eastAsia="fr-FR"/>
        </w:rPr>
        <w:t xml:space="preserve"> </w:t>
      </w:r>
      <w:r w:rsidR="2B0A9A9E" w:rsidRPr="7F720FDA">
        <w:rPr>
          <w:rFonts w:eastAsia="Times New Roman"/>
          <w:i/>
          <w:iCs/>
          <w:lang w:eastAsia="fr-FR"/>
        </w:rPr>
        <w:t xml:space="preserve">l’accélération de la croissance de l’AFL et </w:t>
      </w:r>
      <w:r w:rsidR="7B228669" w:rsidRPr="7F720FDA">
        <w:rPr>
          <w:rFonts w:eastAsia="Times New Roman"/>
          <w:i/>
          <w:iCs/>
          <w:lang w:eastAsia="fr-FR"/>
        </w:rPr>
        <w:t>l</w:t>
      </w:r>
      <w:r w:rsidR="21078D46" w:rsidRPr="7F720FDA">
        <w:rPr>
          <w:rFonts w:eastAsia="Times New Roman"/>
          <w:i/>
          <w:iCs/>
          <w:lang w:eastAsia="fr-FR"/>
        </w:rPr>
        <w:t xml:space="preserve">’apurement </w:t>
      </w:r>
      <w:r w:rsidR="00DD4C23">
        <w:rPr>
          <w:rFonts w:eastAsia="Times New Roman"/>
          <w:i/>
          <w:iCs/>
          <w:lang w:eastAsia="fr-FR"/>
        </w:rPr>
        <w:t>total</w:t>
      </w:r>
      <w:r w:rsidR="00DD4C23" w:rsidRPr="7F720FDA">
        <w:rPr>
          <w:rFonts w:eastAsia="Times New Roman"/>
          <w:i/>
          <w:iCs/>
          <w:lang w:eastAsia="fr-FR"/>
        </w:rPr>
        <w:t xml:space="preserve"> </w:t>
      </w:r>
      <w:r w:rsidR="21078D46" w:rsidRPr="7F720FDA">
        <w:rPr>
          <w:rFonts w:eastAsia="Times New Roman"/>
          <w:i/>
          <w:iCs/>
          <w:lang w:eastAsia="fr-FR"/>
        </w:rPr>
        <w:t>des pertes accumulées au cours de la première période</w:t>
      </w:r>
      <w:r w:rsidR="6611161D" w:rsidRPr="7F720FDA">
        <w:rPr>
          <w:rFonts w:eastAsia="Times New Roman"/>
          <w:i/>
          <w:iCs/>
          <w:lang w:eastAsia="fr-FR"/>
        </w:rPr>
        <w:t xml:space="preserve">. </w:t>
      </w:r>
      <w:r w:rsidR="00546689">
        <w:rPr>
          <w:rFonts w:eastAsia="Times New Roman"/>
          <w:i/>
          <w:iCs/>
          <w:lang w:eastAsia="fr-FR"/>
        </w:rPr>
        <w:t xml:space="preserve">Il en résulte que </w:t>
      </w:r>
      <w:r w:rsidR="54963665" w:rsidRPr="7F720FDA">
        <w:rPr>
          <w:rFonts w:eastAsia="Times New Roman"/>
          <w:i/>
          <w:iCs/>
          <w:lang w:eastAsia="fr-FR"/>
        </w:rPr>
        <w:t xml:space="preserve">les profits générés </w:t>
      </w:r>
      <w:r w:rsidR="29676AE3" w:rsidRPr="7F720FDA">
        <w:rPr>
          <w:rFonts w:eastAsia="Times New Roman"/>
          <w:i/>
          <w:iCs/>
          <w:lang w:eastAsia="fr-FR"/>
        </w:rPr>
        <w:t>au cours des prochaines années</w:t>
      </w:r>
      <w:r w:rsidR="54963665" w:rsidRPr="7F720FDA">
        <w:rPr>
          <w:rFonts w:eastAsia="Times New Roman"/>
          <w:i/>
          <w:iCs/>
          <w:lang w:eastAsia="fr-FR"/>
        </w:rPr>
        <w:t xml:space="preserve"> viendront renforcer les fonds propres de l’AFL afin de lui permettre de soutenir l</w:t>
      </w:r>
      <w:r w:rsidR="7EA44D2C" w:rsidRPr="7F720FDA">
        <w:rPr>
          <w:rFonts w:eastAsia="Times New Roman"/>
          <w:i/>
          <w:iCs/>
          <w:lang w:eastAsia="fr-FR"/>
        </w:rPr>
        <w:t xml:space="preserve">e développement </w:t>
      </w:r>
      <w:r w:rsidR="54963665" w:rsidRPr="7F720FDA">
        <w:rPr>
          <w:rFonts w:eastAsia="Times New Roman"/>
          <w:i/>
          <w:iCs/>
          <w:lang w:eastAsia="fr-FR"/>
        </w:rPr>
        <w:t>de ses activités</w:t>
      </w:r>
      <w:r w:rsidR="006F72A0">
        <w:rPr>
          <w:rFonts w:eastAsia="Times New Roman"/>
          <w:i/>
          <w:iCs/>
          <w:lang w:eastAsia="fr-FR"/>
        </w:rPr>
        <w:t> »,</w:t>
      </w:r>
      <w:r w:rsidR="7320F6F3" w:rsidRPr="7F720FDA">
        <w:rPr>
          <w:rFonts w:eastAsia="Times New Roman"/>
          <w:i/>
          <w:iCs/>
          <w:lang w:eastAsia="fr-FR"/>
        </w:rPr>
        <w:t xml:space="preserve"> </w:t>
      </w:r>
      <w:r w:rsidR="7320F6F3" w:rsidRPr="006F72A0">
        <w:rPr>
          <w:rFonts w:eastAsia="Times New Roman"/>
          <w:lang w:eastAsia="fr-FR"/>
        </w:rPr>
        <w:t>souligne Yves Millardet, le Président du Directoire de l’AFL</w:t>
      </w:r>
      <w:r w:rsidR="54963665" w:rsidRPr="006F72A0">
        <w:rPr>
          <w:rFonts w:eastAsia="Times New Roman"/>
          <w:lang w:eastAsia="fr-FR"/>
        </w:rPr>
        <w:t xml:space="preserve">. </w:t>
      </w:r>
    </w:p>
    <w:p w14:paraId="279BB398" w14:textId="122E5AD6" w:rsidR="7F720FDA" w:rsidRPr="00060224" w:rsidRDefault="7F720FDA" w:rsidP="7F720FDA">
      <w:pPr>
        <w:spacing w:before="120" w:after="120"/>
        <w:jc w:val="both"/>
        <w:rPr>
          <w:rFonts w:ascii="Antipasto" w:eastAsia="Times New Roman" w:hAnsi="Antipasto"/>
          <w:color w:val="273780" w:themeColor="text2"/>
          <w:sz w:val="26"/>
          <w:szCs w:val="26"/>
          <w:lang w:eastAsia="fr-FR"/>
        </w:rPr>
      </w:pPr>
    </w:p>
    <w:p w14:paraId="7CC5366C" w14:textId="77777777" w:rsidR="001C6EC9" w:rsidRDefault="001C6EC9" w:rsidP="00695656">
      <w:pPr>
        <w:suppressAutoHyphens w:val="0"/>
        <w:autoSpaceDN/>
        <w:spacing w:before="120" w:after="120"/>
        <w:jc w:val="both"/>
        <w:rPr>
          <w:rFonts w:ascii="Antipasto" w:eastAsia="Times New Roman" w:hAnsi="Antipasto"/>
          <w:i/>
          <w:iCs/>
          <w:color w:val="273780"/>
          <w:sz w:val="26"/>
          <w:szCs w:val="26"/>
          <w:lang w:eastAsia="fr-FR"/>
        </w:rPr>
      </w:pPr>
    </w:p>
    <w:p w14:paraId="79A9A91D" w14:textId="0267FBA9" w:rsidR="00695656" w:rsidRDefault="003F6974" w:rsidP="00695656">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i/>
          <w:iCs/>
          <w:color w:val="273780"/>
          <w:sz w:val="26"/>
          <w:szCs w:val="26"/>
          <w:lang w:eastAsia="fr-FR"/>
        </w:rPr>
        <w:lastRenderedPageBreak/>
        <w:t>D</w:t>
      </w:r>
      <w:r w:rsidR="00D117D4">
        <w:rPr>
          <w:rFonts w:ascii="Antipasto" w:eastAsia="Times New Roman" w:hAnsi="Antipasto"/>
          <w:i/>
          <w:iCs/>
          <w:color w:val="273780"/>
          <w:sz w:val="26"/>
          <w:szCs w:val="26"/>
          <w:lang w:eastAsia="fr-FR"/>
        </w:rPr>
        <w:t>ynamique</w:t>
      </w:r>
      <w:r w:rsidR="00695656" w:rsidRPr="00695656">
        <w:rPr>
          <w:rFonts w:ascii="Antipasto" w:eastAsia="Times New Roman" w:hAnsi="Antipasto"/>
          <w:i/>
          <w:iCs/>
          <w:color w:val="273780"/>
          <w:sz w:val="26"/>
          <w:szCs w:val="26"/>
          <w:lang w:eastAsia="fr-FR"/>
        </w:rPr>
        <w:t xml:space="preserve"> de l’activité de crédit</w:t>
      </w:r>
    </w:p>
    <w:p w14:paraId="605A2262" w14:textId="32DE106D" w:rsidR="00D117D4" w:rsidRPr="00695656" w:rsidRDefault="00D8705E" w:rsidP="00695656">
      <w:pPr>
        <w:suppressAutoHyphens w:val="0"/>
        <w:autoSpaceDN/>
        <w:spacing w:before="120" w:after="120"/>
        <w:jc w:val="both"/>
        <w:rPr>
          <w:rFonts w:eastAsia="Times New Roman"/>
          <w:lang w:eastAsia="fr-FR"/>
        </w:rPr>
      </w:pPr>
      <w:r w:rsidRPr="005716F4">
        <w:rPr>
          <w:rFonts w:eastAsia="Times New Roman"/>
          <w:lang w:eastAsia="fr-FR"/>
        </w:rPr>
        <w:t>L’augmentation rapide et régulière de l’encours de crédit</w:t>
      </w:r>
      <w:r w:rsidR="00433F6F">
        <w:rPr>
          <w:rFonts w:eastAsia="Times New Roman"/>
          <w:lang w:eastAsia="fr-FR"/>
        </w:rPr>
        <w:t>s</w:t>
      </w:r>
      <w:r w:rsidRPr="005716F4">
        <w:rPr>
          <w:rFonts w:eastAsia="Times New Roman"/>
          <w:lang w:eastAsia="fr-FR"/>
        </w:rPr>
        <w:t xml:space="preserve"> de l’AFL est le résultat du succès rencontré auprès de ses </w:t>
      </w:r>
      <w:r w:rsidR="00714DF9" w:rsidRPr="005716F4">
        <w:rPr>
          <w:rFonts w:eastAsia="Times New Roman"/>
          <w:lang w:eastAsia="fr-FR"/>
        </w:rPr>
        <w:t>actionnaires</w:t>
      </w:r>
      <w:r w:rsidRPr="005716F4">
        <w:rPr>
          <w:rFonts w:eastAsia="Times New Roman"/>
          <w:lang w:eastAsia="fr-FR"/>
        </w:rPr>
        <w:t xml:space="preserve"> par la compétitivité de ses offres de crédit, lui permettant ainsi de maintenir </w:t>
      </w:r>
      <w:r w:rsidRPr="00EE5F8D">
        <w:rPr>
          <w:rFonts w:eastAsia="Times New Roman"/>
          <w:lang w:eastAsia="fr-FR"/>
        </w:rPr>
        <w:t xml:space="preserve">un </w:t>
      </w:r>
      <w:r w:rsidR="009765F7">
        <w:rPr>
          <w:rFonts w:eastAsia="Times New Roman"/>
          <w:lang w:eastAsia="fr-FR"/>
        </w:rPr>
        <w:t xml:space="preserve">niveau d’accompagnement </w:t>
      </w:r>
      <w:r w:rsidRPr="005716F4">
        <w:rPr>
          <w:rFonts w:eastAsia="Times New Roman"/>
          <w:lang w:eastAsia="fr-FR"/>
        </w:rPr>
        <w:t xml:space="preserve">élevé d’une année sur l’autre. Avec un encours </w:t>
      </w:r>
      <w:r w:rsidR="00433F6F">
        <w:rPr>
          <w:rFonts w:eastAsia="Times New Roman"/>
          <w:lang w:eastAsia="fr-FR"/>
        </w:rPr>
        <w:t xml:space="preserve">de crédits </w:t>
      </w:r>
      <w:r w:rsidRPr="005716F4">
        <w:rPr>
          <w:rFonts w:eastAsia="Times New Roman"/>
          <w:lang w:eastAsia="fr-FR"/>
        </w:rPr>
        <w:t xml:space="preserve">total de 10,7 milliards d’euros à la fin de l’année 2025, l’AFL s’est imposée comme un partenaire essentiel de ses </w:t>
      </w:r>
      <w:r w:rsidR="00714DF9" w:rsidRPr="005716F4">
        <w:rPr>
          <w:rFonts w:eastAsia="Times New Roman"/>
          <w:lang w:eastAsia="fr-FR"/>
        </w:rPr>
        <w:t>actionnaires</w:t>
      </w:r>
      <w:r w:rsidRPr="005716F4">
        <w:rPr>
          <w:rFonts w:eastAsia="Times New Roman"/>
          <w:lang w:eastAsia="fr-FR"/>
        </w:rPr>
        <w:t xml:space="preserve"> dans l’accès au financement bancaire.</w:t>
      </w:r>
    </w:p>
    <w:p w14:paraId="0A7429A8" w14:textId="66B3E193" w:rsidR="001E3373" w:rsidRPr="00A4513C" w:rsidRDefault="001E3373">
      <w:pPr>
        <w:pStyle w:val="Sansinterligne"/>
        <w:jc w:val="both"/>
        <w:rPr>
          <w:i/>
        </w:rPr>
      </w:pPr>
    </w:p>
    <w:p w14:paraId="5339CFC1" w14:textId="55E3D49B" w:rsidR="006C3576" w:rsidRPr="005716F4" w:rsidRDefault="00261FE0" w:rsidP="00261FE0">
      <w:pPr>
        <w:suppressAutoHyphens w:val="0"/>
        <w:autoSpaceDN/>
        <w:spacing w:before="120" w:after="120"/>
        <w:jc w:val="both"/>
        <w:rPr>
          <w:rFonts w:ascii="Antipasto" w:eastAsia="Times New Roman" w:hAnsi="Antipasto"/>
          <w:i/>
          <w:iCs/>
          <w:color w:val="273780"/>
          <w:sz w:val="26"/>
          <w:szCs w:val="26"/>
          <w:lang w:eastAsia="fr-FR"/>
        </w:rPr>
      </w:pPr>
      <w:r w:rsidRPr="005716F4">
        <w:rPr>
          <w:rFonts w:ascii="Antipasto" w:eastAsia="Times New Roman" w:hAnsi="Antipasto"/>
          <w:i/>
          <w:iCs/>
          <w:color w:val="273780"/>
          <w:sz w:val="26"/>
          <w:szCs w:val="26"/>
          <w:lang w:eastAsia="fr-FR"/>
        </w:rPr>
        <w:t xml:space="preserve">Une attractivité confirmée sur les marchés de capitaux </w:t>
      </w:r>
    </w:p>
    <w:p w14:paraId="50A8DB62" w14:textId="18588E20" w:rsidR="00D7673A" w:rsidRPr="005716F4" w:rsidRDefault="00D7673A" w:rsidP="00D7673A">
      <w:pPr>
        <w:suppressAutoHyphens w:val="0"/>
        <w:autoSpaceDN/>
        <w:spacing w:before="120" w:after="120"/>
        <w:jc w:val="both"/>
        <w:rPr>
          <w:rFonts w:eastAsia="Times New Roman"/>
          <w:lang w:eastAsia="fr-FR"/>
        </w:rPr>
      </w:pPr>
      <w:r w:rsidRPr="005716F4">
        <w:rPr>
          <w:rFonts w:eastAsia="Times New Roman"/>
          <w:lang w:eastAsia="fr-FR"/>
        </w:rPr>
        <w:t>Après une année 2024 marquée par le passage de la dette de l’AFL en HQLA</w:t>
      </w:r>
      <w:r w:rsidRPr="005716F4">
        <w:rPr>
          <w:rFonts w:eastAsia="Times New Roman"/>
          <w:lang w:eastAsia="fr-FR"/>
        </w:rPr>
        <w:noBreakHyphen/>
        <w:t>1 et par l’alignement de sa notation sur celle de l’État français, les effets positifs de ces évolutions se sont confirmés en 2025.</w:t>
      </w:r>
    </w:p>
    <w:p w14:paraId="5FAA1436" w14:textId="01E6D775" w:rsidR="00D7673A" w:rsidRPr="005716F4" w:rsidRDefault="59F1ED5B" w:rsidP="00D7673A">
      <w:pPr>
        <w:suppressAutoHyphens w:val="0"/>
        <w:autoSpaceDN/>
        <w:spacing w:before="120" w:after="120"/>
        <w:jc w:val="both"/>
        <w:rPr>
          <w:rFonts w:eastAsia="Times New Roman"/>
          <w:lang w:eastAsia="fr-FR"/>
        </w:rPr>
      </w:pPr>
      <w:r w:rsidRPr="7F720FDA">
        <w:rPr>
          <w:rFonts w:eastAsia="Times New Roman"/>
          <w:lang w:eastAsia="fr-FR"/>
        </w:rPr>
        <w:t>Le coût moyen des émissions</w:t>
      </w:r>
      <w:r w:rsidR="005C67A5">
        <w:rPr>
          <w:rFonts w:eastAsia="Times New Roman"/>
          <w:lang w:eastAsia="fr-FR"/>
        </w:rPr>
        <w:t xml:space="preserve"> obligataires</w:t>
      </w:r>
      <w:r w:rsidRPr="7F720FDA">
        <w:rPr>
          <w:rFonts w:eastAsia="Times New Roman"/>
          <w:lang w:eastAsia="fr-FR"/>
        </w:rPr>
        <w:t xml:space="preserve"> s’est nettement resserré, avec une marge moyenne de 15,6 points de base </w:t>
      </w:r>
      <w:r w:rsidR="00D8457F" w:rsidRPr="7F720FDA">
        <w:rPr>
          <w:rFonts w:eastAsia="Times New Roman"/>
          <w:lang w:eastAsia="fr-FR"/>
        </w:rPr>
        <w:t>au-dessus</w:t>
      </w:r>
      <w:r w:rsidRPr="7F720FDA">
        <w:rPr>
          <w:rFonts w:eastAsia="Times New Roman"/>
          <w:lang w:eastAsia="fr-FR"/>
        </w:rPr>
        <w:t xml:space="preserve"> de la courbe des OAT, contre 32,5 points de base en 2024, pour un volume total </w:t>
      </w:r>
      <w:r w:rsidR="00287A93">
        <w:rPr>
          <w:rFonts w:eastAsia="Times New Roman"/>
          <w:lang w:eastAsia="fr-FR"/>
        </w:rPr>
        <w:t xml:space="preserve">d’émissions </w:t>
      </w:r>
      <w:r w:rsidRPr="7F720FDA">
        <w:rPr>
          <w:rFonts w:eastAsia="Times New Roman"/>
          <w:lang w:eastAsia="fr-FR"/>
        </w:rPr>
        <w:t>de 2,2 milliards d’euros.</w:t>
      </w:r>
    </w:p>
    <w:p w14:paraId="1AD64784" w14:textId="5CD210D9" w:rsidR="00D7673A" w:rsidRPr="005716F4" w:rsidRDefault="59F1ED5B" w:rsidP="7F720FDA">
      <w:pPr>
        <w:spacing w:before="120" w:after="120" w:line="259" w:lineRule="auto"/>
        <w:jc w:val="both"/>
        <w:rPr>
          <w:rFonts w:eastAsia="Times New Roman"/>
          <w:lang w:eastAsia="fr-FR"/>
        </w:rPr>
      </w:pPr>
      <w:r w:rsidRPr="7F720FDA">
        <w:rPr>
          <w:rFonts w:eastAsia="Times New Roman"/>
          <w:lang w:eastAsia="fr-FR"/>
        </w:rPr>
        <w:t>Se refinançant exclusivement sur les marchés de capitaux, l</w:t>
      </w:r>
      <w:r w:rsidR="00AD4A06">
        <w:rPr>
          <w:rFonts w:eastAsia="Times New Roman"/>
          <w:lang w:eastAsia="fr-FR"/>
        </w:rPr>
        <w:t>’AFL</w:t>
      </w:r>
      <w:r w:rsidRPr="7F720FDA">
        <w:rPr>
          <w:rFonts w:eastAsia="Times New Roman"/>
          <w:lang w:eastAsia="fr-FR"/>
        </w:rPr>
        <w:t xml:space="preserve"> poursuit une stratégie d</w:t>
      </w:r>
      <w:r w:rsidR="75EC88B2" w:rsidRPr="7F720FDA">
        <w:rPr>
          <w:rFonts w:eastAsia="Times New Roman"/>
          <w:lang w:eastAsia="fr-FR"/>
        </w:rPr>
        <w:t>’émission</w:t>
      </w:r>
      <w:r w:rsidR="00487F3F">
        <w:rPr>
          <w:rFonts w:eastAsia="Times New Roman"/>
          <w:lang w:eastAsia="fr-FR"/>
        </w:rPr>
        <w:t>s</w:t>
      </w:r>
      <w:r w:rsidR="75EC88B2" w:rsidRPr="7F720FDA">
        <w:rPr>
          <w:rFonts w:eastAsia="Times New Roman"/>
          <w:lang w:eastAsia="fr-FR"/>
        </w:rPr>
        <w:t xml:space="preserve"> </w:t>
      </w:r>
      <w:r w:rsidR="008F6A7B">
        <w:rPr>
          <w:rFonts w:eastAsia="Times New Roman"/>
          <w:lang w:eastAsia="fr-FR"/>
        </w:rPr>
        <w:t>obligataires</w:t>
      </w:r>
      <w:r w:rsidR="008F6A7B" w:rsidRPr="7F720FDA">
        <w:rPr>
          <w:rFonts w:eastAsia="Times New Roman"/>
          <w:lang w:eastAsia="fr-FR"/>
        </w:rPr>
        <w:t xml:space="preserve"> </w:t>
      </w:r>
      <w:r w:rsidR="6952C3E9" w:rsidRPr="7F720FDA">
        <w:rPr>
          <w:rFonts w:eastAsia="Times New Roman"/>
          <w:lang w:eastAsia="fr-FR"/>
        </w:rPr>
        <w:t>fondée sur la construction d’une courbe en euro</w:t>
      </w:r>
      <w:r w:rsidR="00487F3F">
        <w:rPr>
          <w:rFonts w:eastAsia="Times New Roman"/>
          <w:lang w:eastAsia="fr-FR"/>
        </w:rPr>
        <w:t>,</w:t>
      </w:r>
      <w:r w:rsidR="6952C3E9" w:rsidRPr="7F720FDA">
        <w:rPr>
          <w:rFonts w:eastAsia="Times New Roman"/>
          <w:lang w:eastAsia="fr-FR"/>
        </w:rPr>
        <w:t xml:space="preserve"> complétée </w:t>
      </w:r>
      <w:r w:rsidRPr="7F720FDA">
        <w:rPr>
          <w:rFonts w:eastAsia="Times New Roman"/>
          <w:lang w:eastAsia="fr-FR"/>
        </w:rPr>
        <w:t xml:space="preserve">par des émissions en devises et des placements privés, </w:t>
      </w:r>
      <w:r w:rsidR="090E7CD7" w:rsidRPr="7F720FDA">
        <w:rPr>
          <w:rFonts w:eastAsia="Times New Roman"/>
          <w:lang w:eastAsia="fr-FR"/>
        </w:rPr>
        <w:t xml:space="preserve">avec pour double objectif </w:t>
      </w:r>
      <w:r w:rsidR="008F6A7B">
        <w:rPr>
          <w:rFonts w:eastAsia="Times New Roman"/>
          <w:lang w:eastAsia="fr-FR"/>
        </w:rPr>
        <w:t>d’</w:t>
      </w:r>
      <w:r w:rsidR="090E7CD7" w:rsidRPr="7F720FDA">
        <w:rPr>
          <w:rFonts w:eastAsia="Times New Roman"/>
          <w:lang w:eastAsia="fr-FR"/>
        </w:rPr>
        <w:t xml:space="preserve">optimiser le coût de ses ressources et </w:t>
      </w:r>
      <w:r w:rsidR="008F6A7B">
        <w:rPr>
          <w:rFonts w:eastAsia="Times New Roman"/>
          <w:lang w:eastAsia="fr-FR"/>
        </w:rPr>
        <w:t>d’</w:t>
      </w:r>
      <w:r w:rsidR="090E7CD7" w:rsidRPr="7F720FDA">
        <w:rPr>
          <w:rFonts w:eastAsia="Times New Roman"/>
          <w:lang w:eastAsia="fr-FR"/>
        </w:rPr>
        <w:t xml:space="preserve">adosser </w:t>
      </w:r>
      <w:r w:rsidRPr="7F720FDA">
        <w:rPr>
          <w:rFonts w:eastAsia="Times New Roman"/>
          <w:lang w:eastAsia="fr-FR"/>
        </w:rPr>
        <w:t>son bilan.</w:t>
      </w:r>
    </w:p>
    <w:p w14:paraId="29825C03" w14:textId="43EBAE6E" w:rsidR="00D7673A" w:rsidRPr="00D7673A" w:rsidRDefault="00D7673A" w:rsidP="00D7673A">
      <w:pPr>
        <w:suppressAutoHyphens w:val="0"/>
        <w:autoSpaceDN/>
        <w:spacing w:before="120" w:after="120"/>
        <w:jc w:val="both"/>
        <w:rPr>
          <w:rFonts w:eastAsia="Times New Roman"/>
          <w:lang w:eastAsia="fr-FR"/>
        </w:rPr>
      </w:pPr>
      <w:r w:rsidRPr="005716F4">
        <w:rPr>
          <w:rFonts w:eastAsia="Times New Roman"/>
          <w:lang w:eastAsia="fr-FR"/>
        </w:rPr>
        <w:t>Depuis 2015, l’AFL a ainsi mobilisé 14,8 milliards d’euros sur le marché primaire obligataire, auprès de près de 300 investisseurs</w:t>
      </w:r>
      <w:r w:rsidR="00A52307">
        <w:rPr>
          <w:rFonts w:eastAsia="Times New Roman"/>
          <w:lang w:eastAsia="fr-FR"/>
        </w:rPr>
        <w:t>, pour un encours</w:t>
      </w:r>
      <w:r w:rsidR="00BD3DE4">
        <w:rPr>
          <w:rFonts w:eastAsia="Times New Roman"/>
          <w:lang w:eastAsia="fr-FR"/>
        </w:rPr>
        <w:t xml:space="preserve"> de dette</w:t>
      </w:r>
      <w:r w:rsidR="00A52307">
        <w:rPr>
          <w:rFonts w:eastAsia="Times New Roman"/>
          <w:lang w:eastAsia="fr-FR"/>
        </w:rPr>
        <w:t xml:space="preserve"> </w:t>
      </w:r>
      <w:r w:rsidR="00501D56">
        <w:rPr>
          <w:rFonts w:eastAsia="Times New Roman"/>
          <w:lang w:eastAsia="fr-FR"/>
        </w:rPr>
        <w:t>de 11,</w:t>
      </w:r>
      <w:r w:rsidR="002454BE">
        <w:rPr>
          <w:rFonts w:eastAsia="Times New Roman"/>
          <w:lang w:eastAsia="fr-FR"/>
        </w:rPr>
        <w:t>5</w:t>
      </w:r>
      <w:r w:rsidR="00501D56">
        <w:rPr>
          <w:rFonts w:eastAsia="Times New Roman"/>
          <w:lang w:eastAsia="fr-FR"/>
        </w:rPr>
        <w:t xml:space="preserve"> milliards d’euros au 31 décembre 2025</w:t>
      </w:r>
      <w:r w:rsidR="008D1C15">
        <w:rPr>
          <w:rFonts w:eastAsia="Times New Roman"/>
          <w:lang w:eastAsia="fr-FR"/>
        </w:rPr>
        <w:t>.</w:t>
      </w:r>
    </w:p>
    <w:p w14:paraId="746378CA" w14:textId="77777777" w:rsidR="005525E2" w:rsidRDefault="005525E2" w:rsidP="009F5901">
      <w:pPr>
        <w:spacing w:line="276" w:lineRule="auto"/>
        <w:jc w:val="both"/>
        <w:rPr>
          <w:rFonts w:ascii="Antipasto" w:hAnsi="Antipasto"/>
          <w:b/>
          <w:bCs/>
          <w:i/>
          <w:iCs/>
          <w:color w:val="273780" w:themeColor="text2"/>
          <w:sz w:val="24"/>
          <w:szCs w:val="24"/>
        </w:rPr>
      </w:pPr>
    </w:p>
    <w:p w14:paraId="0EA685C6" w14:textId="0E759DA1" w:rsidR="00E03D93" w:rsidRDefault="00E03D93" w:rsidP="00E03D93">
      <w:pPr>
        <w:pStyle w:val="Titre1"/>
        <w:rPr>
          <w:rFonts w:ascii="Antipasto" w:eastAsia="Times New Roman" w:hAnsi="Antipasto" w:cs="Times New Roman"/>
          <w:b/>
          <w:bCs/>
          <w:color w:val="C30D25" w:themeColor="accent4"/>
        </w:rPr>
      </w:pPr>
      <w:r w:rsidRPr="00F41138">
        <w:rPr>
          <w:rFonts w:ascii="Antipasto" w:eastAsia="Times New Roman" w:hAnsi="Antipasto" w:cs="Times New Roman"/>
          <w:b/>
          <w:bCs/>
          <w:color w:val="C30D25" w:themeColor="accent4"/>
        </w:rPr>
        <w:t xml:space="preserve">Faits </w:t>
      </w:r>
      <w:r w:rsidR="005E49D0">
        <w:rPr>
          <w:rFonts w:ascii="Antipasto" w:eastAsia="Times New Roman" w:hAnsi="Antipasto" w:cs="Times New Roman"/>
          <w:b/>
          <w:bCs/>
          <w:color w:val="C30D25" w:themeColor="accent4"/>
        </w:rPr>
        <w:t>m</w:t>
      </w:r>
      <w:r w:rsidRPr="00F41138">
        <w:rPr>
          <w:rFonts w:ascii="Antipasto" w:eastAsia="Times New Roman" w:hAnsi="Antipasto" w:cs="Times New Roman"/>
          <w:b/>
          <w:bCs/>
          <w:color w:val="C30D25" w:themeColor="accent4"/>
        </w:rPr>
        <w:t>arquants 202</w:t>
      </w:r>
      <w:r>
        <w:rPr>
          <w:rFonts w:ascii="Antipasto" w:eastAsia="Times New Roman" w:hAnsi="Antipasto" w:cs="Times New Roman"/>
          <w:b/>
          <w:bCs/>
          <w:color w:val="C30D25" w:themeColor="accent4"/>
        </w:rPr>
        <w:t>5</w:t>
      </w:r>
    </w:p>
    <w:p w14:paraId="24C3696A" w14:textId="61384D5D" w:rsidR="00E03D93" w:rsidRPr="00ED6499" w:rsidRDefault="005716F4" w:rsidP="7229ED94">
      <w:pPr>
        <w:pStyle w:val="Titre1"/>
        <w:rPr>
          <w:rFonts w:ascii="Antipasto" w:hAnsi="Antipasto"/>
          <w:b/>
          <w:bCs/>
          <w:i/>
          <w:iCs/>
          <w:color w:val="273780" w:themeColor="text2"/>
          <w:sz w:val="26"/>
          <w:szCs w:val="26"/>
        </w:rPr>
      </w:pPr>
      <w:r>
        <w:rPr>
          <w:rFonts w:ascii="Antipasto" w:hAnsi="Antipasto"/>
          <w:b/>
          <w:bCs/>
          <w:i/>
          <w:iCs/>
          <w:color w:val="273780" w:themeColor="text2"/>
          <w:sz w:val="26"/>
          <w:szCs w:val="26"/>
        </w:rPr>
        <w:t>Un profil de crédit solide</w:t>
      </w:r>
    </w:p>
    <w:p w14:paraId="79A2941B" w14:textId="458FDDF0" w:rsidR="00ED6499" w:rsidRPr="005716F4" w:rsidRDefault="00ED6499" w:rsidP="00ED6499">
      <w:pPr>
        <w:jc w:val="both"/>
      </w:pPr>
      <w:r>
        <w:rPr>
          <w:rFonts w:ascii="Antipasto" w:hAnsi="Antipasto"/>
          <w:b/>
          <w:bCs/>
          <w:i/>
          <w:iCs/>
          <w:color w:val="273780" w:themeColor="text2"/>
          <w:sz w:val="24"/>
          <w:szCs w:val="24"/>
        </w:rPr>
        <w:br/>
      </w:r>
      <w:r w:rsidRPr="005716F4">
        <w:t xml:space="preserve">Cette année, </w:t>
      </w:r>
      <w:r w:rsidR="002900C1">
        <w:t xml:space="preserve">à la suite de </w:t>
      </w:r>
      <w:r w:rsidRPr="005716F4">
        <w:t>la r</w:t>
      </w:r>
      <w:r w:rsidR="002900C1">
        <w:t xml:space="preserve">evue </w:t>
      </w:r>
      <w:r w:rsidRPr="005716F4">
        <w:t>du risque souverain français, les principales agences de notation ont procédé à une révision de la note de l’AFL :</w:t>
      </w:r>
    </w:p>
    <w:p w14:paraId="6D18CEF6" w14:textId="49D3F56F" w:rsidR="00ED6499" w:rsidRPr="00CC2664" w:rsidRDefault="00ED6499" w:rsidP="00DC1E84">
      <w:pPr>
        <w:pStyle w:val="Paragraphedeliste"/>
        <w:numPr>
          <w:ilvl w:val="0"/>
          <w:numId w:val="16"/>
        </w:numPr>
        <w:suppressAutoHyphens w:val="0"/>
        <w:autoSpaceDN/>
        <w:spacing w:before="120" w:after="120"/>
        <w:ind w:left="714" w:hanging="357"/>
        <w:jc w:val="both"/>
        <w:rPr>
          <w:rFonts w:ascii="Gotham Book" w:eastAsia="Times New Roman" w:hAnsi="Gotham Book"/>
          <w:lang w:eastAsia="fr-FR"/>
        </w:rPr>
      </w:pPr>
      <w:r w:rsidRPr="00CC2664">
        <w:rPr>
          <w:rFonts w:ascii="Gotham Book" w:eastAsia="Times New Roman" w:hAnsi="Gotham Book"/>
          <w:lang w:eastAsia="fr-FR"/>
        </w:rPr>
        <w:t xml:space="preserve">18 septembre 2025 : Fitch Ratings </w:t>
      </w:r>
      <w:r w:rsidR="005716F4" w:rsidRPr="00CC2664">
        <w:rPr>
          <w:rFonts w:ascii="Gotham Book" w:eastAsia="Times New Roman" w:hAnsi="Gotham Book"/>
          <w:lang w:eastAsia="fr-FR"/>
        </w:rPr>
        <w:t>révise</w:t>
      </w:r>
      <w:r w:rsidRPr="00CC2664">
        <w:rPr>
          <w:rFonts w:ascii="Gotham Book" w:eastAsia="Times New Roman" w:hAnsi="Gotham Book"/>
          <w:lang w:eastAsia="fr-FR"/>
        </w:rPr>
        <w:t xml:space="preserve"> la note long terme à A+, avec perspective stable. </w:t>
      </w:r>
    </w:p>
    <w:p w14:paraId="6BC896A5" w14:textId="5B2B902F" w:rsidR="00ED6499" w:rsidRPr="00CC2664" w:rsidRDefault="00ED6499" w:rsidP="00DC1E84">
      <w:pPr>
        <w:pStyle w:val="Paragraphedeliste"/>
        <w:numPr>
          <w:ilvl w:val="0"/>
          <w:numId w:val="16"/>
        </w:numPr>
        <w:suppressAutoHyphens w:val="0"/>
        <w:autoSpaceDN/>
        <w:spacing w:before="120" w:after="120"/>
        <w:ind w:left="714" w:hanging="357"/>
        <w:jc w:val="both"/>
        <w:rPr>
          <w:rFonts w:ascii="Gotham Book" w:eastAsia="Times New Roman" w:hAnsi="Gotham Book"/>
          <w:lang w:eastAsia="fr-FR"/>
        </w:rPr>
      </w:pPr>
      <w:r w:rsidRPr="00CC2664">
        <w:rPr>
          <w:rFonts w:ascii="Gotham Book" w:eastAsia="Times New Roman" w:hAnsi="Gotham Book"/>
          <w:lang w:eastAsia="fr-FR"/>
        </w:rPr>
        <w:t>21 octobre 2025 : S&amp;P Global Ratings ajuste également la notation à A+ / A-</w:t>
      </w:r>
      <w:r w:rsidR="006A4DC6">
        <w:rPr>
          <w:rFonts w:ascii="Gotham Book" w:eastAsia="Times New Roman" w:hAnsi="Gotham Book"/>
          <w:lang w:eastAsia="fr-FR"/>
        </w:rPr>
        <w:t> </w:t>
      </w:r>
      <w:r w:rsidRPr="00CC2664">
        <w:rPr>
          <w:rFonts w:ascii="Gotham Book" w:eastAsia="Times New Roman" w:hAnsi="Gotham Book"/>
          <w:lang w:eastAsia="fr-FR"/>
        </w:rPr>
        <w:t xml:space="preserve">1, perspective stable. </w:t>
      </w:r>
    </w:p>
    <w:p w14:paraId="09482BB6" w14:textId="6175345E" w:rsidR="00ED6499" w:rsidRPr="005716F4" w:rsidRDefault="00ED6499" w:rsidP="00ED6499">
      <w:pPr>
        <w:jc w:val="both"/>
      </w:pPr>
      <w:r>
        <w:t xml:space="preserve">Ces évaluations reflètent la résilience du modèle économique de l’AFL, sa liquidité élevée et ses politiques financières prudentes. Elles attestent de la capacité de la </w:t>
      </w:r>
      <w:r w:rsidR="003046CA">
        <w:t xml:space="preserve">société </w:t>
      </w:r>
      <w:r>
        <w:t>à maintenir une trajectoire stable et à sécuriser les intérêts de ses investisseurs et collectivités locales</w:t>
      </w:r>
      <w:r w:rsidR="1B8E8053">
        <w:t xml:space="preserve"> actionnaires</w:t>
      </w:r>
      <w:r>
        <w:t>.</w:t>
      </w:r>
    </w:p>
    <w:p w14:paraId="692CB39D" w14:textId="77777777" w:rsidR="008B1AA8" w:rsidRDefault="008B1AA8" w:rsidP="008161EA">
      <w:pPr>
        <w:spacing w:before="120" w:after="120" w:line="259" w:lineRule="auto"/>
        <w:jc w:val="center"/>
        <w:rPr>
          <w:rFonts w:ascii="Gotham Bold" w:hAnsi="Gotham Bold"/>
          <w:b/>
          <w:bCs/>
          <w:sz w:val="20"/>
          <w:szCs w:val="20"/>
        </w:rPr>
      </w:pPr>
    </w:p>
    <w:p w14:paraId="755D939E" w14:textId="77777777" w:rsidR="008B1AA8" w:rsidRDefault="008B1AA8" w:rsidP="008161EA">
      <w:pPr>
        <w:spacing w:before="120" w:after="120" w:line="259" w:lineRule="auto"/>
        <w:jc w:val="center"/>
        <w:rPr>
          <w:rFonts w:ascii="Gotham Bold" w:hAnsi="Gotham Bold"/>
          <w:b/>
          <w:bCs/>
          <w:sz w:val="20"/>
          <w:szCs w:val="20"/>
        </w:rPr>
      </w:pPr>
    </w:p>
    <w:p w14:paraId="4E2EEF2B" w14:textId="77777777" w:rsidR="001C6EC9" w:rsidRDefault="001C6EC9" w:rsidP="008161EA">
      <w:pPr>
        <w:spacing w:before="120" w:after="120" w:line="259" w:lineRule="auto"/>
        <w:jc w:val="center"/>
        <w:rPr>
          <w:rFonts w:ascii="Gotham Bold" w:hAnsi="Gotham Bold"/>
          <w:b/>
          <w:bCs/>
          <w:sz w:val="20"/>
          <w:szCs w:val="20"/>
        </w:rPr>
      </w:pPr>
    </w:p>
    <w:p w14:paraId="5D05F82A" w14:textId="080C920A" w:rsidR="008161EA" w:rsidRPr="005716F4" w:rsidRDefault="008161EA" w:rsidP="008161EA">
      <w:pPr>
        <w:spacing w:before="120" w:after="120" w:line="259" w:lineRule="auto"/>
        <w:jc w:val="center"/>
        <w:rPr>
          <w:rFonts w:ascii="Gotham Bold" w:hAnsi="Gotham Bold"/>
          <w:b/>
          <w:bCs/>
          <w:sz w:val="20"/>
          <w:szCs w:val="20"/>
        </w:rPr>
      </w:pPr>
      <w:r w:rsidRPr="005716F4">
        <w:rPr>
          <w:rFonts w:ascii="Gotham Bold" w:hAnsi="Gotham Bold"/>
          <w:b/>
          <w:bCs/>
          <w:sz w:val="20"/>
          <w:szCs w:val="20"/>
        </w:rPr>
        <w:lastRenderedPageBreak/>
        <w:t>Notations de l’AFL</w:t>
      </w:r>
    </w:p>
    <w:tbl>
      <w:tblPr>
        <w:tblW w:w="6265" w:type="dxa"/>
        <w:jc w:val="center"/>
        <w:tblCellMar>
          <w:left w:w="70" w:type="dxa"/>
          <w:right w:w="70" w:type="dxa"/>
        </w:tblCellMar>
        <w:tblLook w:val="04A0" w:firstRow="1" w:lastRow="0" w:firstColumn="1" w:lastColumn="0" w:noHBand="0" w:noVBand="1"/>
      </w:tblPr>
      <w:tblGrid>
        <w:gridCol w:w="2680"/>
        <w:gridCol w:w="1857"/>
        <w:gridCol w:w="1728"/>
      </w:tblGrid>
      <w:tr w:rsidR="008161EA" w:rsidRPr="005716F4" w14:paraId="07831DAF" w14:textId="77777777" w:rsidTr="00E85CD7">
        <w:trPr>
          <w:trHeight w:val="605"/>
          <w:jc w:val="center"/>
        </w:trPr>
        <w:tc>
          <w:tcPr>
            <w:tcW w:w="2680" w:type="dxa"/>
            <w:tcBorders>
              <w:top w:val="single" w:sz="8" w:space="0" w:color="auto"/>
              <w:left w:val="single" w:sz="8" w:space="0" w:color="auto"/>
              <w:bottom w:val="single" w:sz="8" w:space="0" w:color="auto"/>
              <w:right w:val="single" w:sz="8" w:space="0" w:color="auto"/>
            </w:tcBorders>
            <w:vAlign w:val="center"/>
            <w:hideMark/>
          </w:tcPr>
          <w:p w14:paraId="490E57EC" w14:textId="77777777" w:rsidR="008161EA" w:rsidRPr="005716F4" w:rsidRDefault="008161EA">
            <w:pPr>
              <w:spacing w:before="120" w:after="120"/>
              <w:jc w:val="both"/>
              <w:rPr>
                <w:rFonts w:cs="Calibri"/>
                <w:color w:val="000000"/>
                <w:sz w:val="18"/>
                <w:szCs w:val="18"/>
              </w:rPr>
            </w:pPr>
            <w:r w:rsidRPr="005716F4">
              <w:rPr>
                <w:rFonts w:cs="Calibri"/>
                <w:color w:val="000000"/>
                <w:sz w:val="18"/>
                <w:szCs w:val="18"/>
              </w:rPr>
              <w:t> </w:t>
            </w:r>
          </w:p>
        </w:tc>
        <w:tc>
          <w:tcPr>
            <w:tcW w:w="1857" w:type="dxa"/>
            <w:tcBorders>
              <w:top w:val="single" w:sz="8" w:space="0" w:color="auto"/>
              <w:left w:val="nil"/>
              <w:bottom w:val="single" w:sz="8" w:space="0" w:color="auto"/>
              <w:right w:val="single" w:sz="8" w:space="0" w:color="auto"/>
            </w:tcBorders>
            <w:vAlign w:val="center"/>
            <w:hideMark/>
          </w:tcPr>
          <w:p w14:paraId="464FCB75" w14:textId="77777777" w:rsidR="008161EA" w:rsidRPr="005716F4" w:rsidRDefault="008161EA">
            <w:pPr>
              <w:spacing w:before="120" w:after="120"/>
              <w:jc w:val="center"/>
              <w:rPr>
                <w:rFonts w:cs="Calibri"/>
                <w:b/>
                <w:bCs/>
                <w:color w:val="000000"/>
                <w:sz w:val="18"/>
                <w:szCs w:val="18"/>
              </w:rPr>
            </w:pPr>
            <w:r w:rsidRPr="005716F4">
              <w:rPr>
                <w:rFonts w:cs="Calibri"/>
                <w:b/>
                <w:bCs/>
                <w:color w:val="000000"/>
                <w:sz w:val="18"/>
                <w:szCs w:val="18"/>
              </w:rPr>
              <w:t>Fitch Ratings</w:t>
            </w:r>
          </w:p>
        </w:tc>
        <w:tc>
          <w:tcPr>
            <w:tcW w:w="1728" w:type="dxa"/>
            <w:tcBorders>
              <w:top w:val="single" w:sz="8" w:space="0" w:color="auto"/>
              <w:left w:val="nil"/>
              <w:bottom w:val="single" w:sz="8" w:space="0" w:color="auto"/>
              <w:right w:val="single" w:sz="8" w:space="0" w:color="auto"/>
            </w:tcBorders>
            <w:vAlign w:val="center"/>
            <w:hideMark/>
          </w:tcPr>
          <w:p w14:paraId="7E3D0F5B" w14:textId="77777777" w:rsidR="008161EA" w:rsidRPr="005716F4" w:rsidRDefault="008161EA">
            <w:pPr>
              <w:spacing w:before="120" w:after="120"/>
              <w:jc w:val="center"/>
              <w:rPr>
                <w:rFonts w:cs="Calibri"/>
                <w:b/>
                <w:bCs/>
                <w:color w:val="000000"/>
                <w:sz w:val="18"/>
                <w:szCs w:val="18"/>
              </w:rPr>
            </w:pPr>
            <w:r w:rsidRPr="005716F4">
              <w:rPr>
                <w:rFonts w:cs="Calibri"/>
                <w:b/>
                <w:bCs/>
                <w:color w:val="000000"/>
                <w:sz w:val="18"/>
                <w:szCs w:val="18"/>
              </w:rPr>
              <w:t xml:space="preserve">Standard &amp; </w:t>
            </w:r>
            <w:proofErr w:type="spellStart"/>
            <w:r w:rsidRPr="005716F4">
              <w:rPr>
                <w:rFonts w:cs="Calibri"/>
                <w:b/>
                <w:bCs/>
                <w:color w:val="000000"/>
                <w:sz w:val="18"/>
                <w:szCs w:val="18"/>
              </w:rPr>
              <w:t>Poor's</w:t>
            </w:r>
            <w:proofErr w:type="spellEnd"/>
          </w:p>
        </w:tc>
      </w:tr>
      <w:tr w:rsidR="008161EA" w:rsidRPr="005716F4" w14:paraId="48FA5A55" w14:textId="77777777">
        <w:trPr>
          <w:trHeight w:val="220"/>
          <w:jc w:val="center"/>
        </w:trPr>
        <w:tc>
          <w:tcPr>
            <w:tcW w:w="2680" w:type="dxa"/>
            <w:tcBorders>
              <w:top w:val="nil"/>
              <w:left w:val="single" w:sz="8" w:space="0" w:color="auto"/>
              <w:bottom w:val="single" w:sz="8" w:space="0" w:color="auto"/>
              <w:right w:val="single" w:sz="8" w:space="0" w:color="auto"/>
            </w:tcBorders>
            <w:vAlign w:val="center"/>
            <w:hideMark/>
          </w:tcPr>
          <w:p w14:paraId="4C166D5C" w14:textId="77777777" w:rsidR="008161EA" w:rsidRPr="005716F4" w:rsidRDefault="008161EA">
            <w:pPr>
              <w:spacing w:before="120" w:after="120"/>
              <w:rPr>
                <w:rFonts w:cs="Calibri"/>
                <w:color w:val="000000"/>
                <w:sz w:val="18"/>
                <w:szCs w:val="18"/>
              </w:rPr>
            </w:pPr>
            <w:r w:rsidRPr="005716F4">
              <w:rPr>
                <w:rFonts w:cs="Calibri"/>
                <w:color w:val="000000"/>
                <w:sz w:val="18"/>
                <w:szCs w:val="18"/>
              </w:rPr>
              <w:t>Notation long terme</w:t>
            </w:r>
          </w:p>
        </w:tc>
        <w:tc>
          <w:tcPr>
            <w:tcW w:w="1857" w:type="dxa"/>
            <w:tcBorders>
              <w:top w:val="nil"/>
              <w:left w:val="nil"/>
              <w:bottom w:val="single" w:sz="8" w:space="0" w:color="auto"/>
              <w:right w:val="single" w:sz="8" w:space="0" w:color="auto"/>
            </w:tcBorders>
            <w:vAlign w:val="center"/>
            <w:hideMark/>
          </w:tcPr>
          <w:p w14:paraId="136E3166" w14:textId="091F4E78" w:rsidR="008161EA" w:rsidRPr="005716F4" w:rsidRDefault="008161EA">
            <w:pPr>
              <w:spacing w:before="120" w:after="120"/>
              <w:jc w:val="center"/>
              <w:rPr>
                <w:rFonts w:cs="Calibri"/>
                <w:color w:val="000000"/>
                <w:sz w:val="18"/>
                <w:szCs w:val="18"/>
              </w:rPr>
            </w:pPr>
            <w:r w:rsidRPr="005716F4">
              <w:rPr>
                <w:rFonts w:cs="Calibri"/>
                <w:color w:val="000000"/>
                <w:sz w:val="18"/>
                <w:szCs w:val="18"/>
              </w:rPr>
              <w:t>A</w:t>
            </w:r>
            <w:r w:rsidR="00CB4698">
              <w:rPr>
                <w:rFonts w:cs="Calibri"/>
                <w:color w:val="000000"/>
                <w:sz w:val="18"/>
                <w:szCs w:val="18"/>
              </w:rPr>
              <w:t>+</w:t>
            </w:r>
          </w:p>
        </w:tc>
        <w:tc>
          <w:tcPr>
            <w:tcW w:w="1728" w:type="dxa"/>
            <w:tcBorders>
              <w:top w:val="nil"/>
              <w:left w:val="nil"/>
              <w:bottom w:val="single" w:sz="8" w:space="0" w:color="auto"/>
              <w:right w:val="single" w:sz="8" w:space="0" w:color="auto"/>
            </w:tcBorders>
            <w:vAlign w:val="center"/>
            <w:hideMark/>
          </w:tcPr>
          <w:p w14:paraId="0569DAC5" w14:textId="05F8993E" w:rsidR="008161EA" w:rsidRPr="005716F4" w:rsidRDefault="008161EA">
            <w:pPr>
              <w:spacing w:before="120" w:after="120"/>
              <w:jc w:val="center"/>
              <w:rPr>
                <w:rFonts w:cs="Calibri"/>
                <w:color w:val="000000"/>
                <w:sz w:val="18"/>
                <w:szCs w:val="18"/>
              </w:rPr>
            </w:pPr>
            <w:r w:rsidRPr="005716F4">
              <w:rPr>
                <w:rFonts w:cs="Calibri"/>
                <w:color w:val="000000"/>
                <w:sz w:val="18"/>
                <w:szCs w:val="18"/>
              </w:rPr>
              <w:t>A</w:t>
            </w:r>
            <w:r w:rsidR="006E1A12" w:rsidRPr="005716F4">
              <w:rPr>
                <w:rFonts w:cs="Calibri"/>
                <w:color w:val="000000"/>
                <w:sz w:val="18"/>
                <w:szCs w:val="18"/>
              </w:rPr>
              <w:t>+</w:t>
            </w:r>
          </w:p>
        </w:tc>
      </w:tr>
      <w:tr w:rsidR="008161EA" w:rsidRPr="005716F4" w14:paraId="1E9B8465" w14:textId="77777777">
        <w:trPr>
          <w:trHeight w:val="220"/>
          <w:jc w:val="center"/>
        </w:trPr>
        <w:tc>
          <w:tcPr>
            <w:tcW w:w="2680" w:type="dxa"/>
            <w:tcBorders>
              <w:top w:val="nil"/>
              <w:left w:val="single" w:sz="8" w:space="0" w:color="auto"/>
              <w:bottom w:val="single" w:sz="8" w:space="0" w:color="auto"/>
              <w:right w:val="single" w:sz="8" w:space="0" w:color="auto"/>
            </w:tcBorders>
            <w:vAlign w:val="center"/>
            <w:hideMark/>
          </w:tcPr>
          <w:p w14:paraId="47685382" w14:textId="77777777" w:rsidR="008161EA" w:rsidRPr="005716F4" w:rsidRDefault="008161EA">
            <w:pPr>
              <w:spacing w:before="120" w:after="120"/>
              <w:rPr>
                <w:rFonts w:cs="Calibri"/>
                <w:color w:val="000000"/>
                <w:sz w:val="18"/>
                <w:szCs w:val="18"/>
              </w:rPr>
            </w:pPr>
            <w:r w:rsidRPr="005716F4">
              <w:rPr>
                <w:rFonts w:cs="Calibri"/>
                <w:color w:val="000000"/>
                <w:sz w:val="18"/>
                <w:szCs w:val="18"/>
              </w:rPr>
              <w:t xml:space="preserve">Perspective </w:t>
            </w:r>
          </w:p>
        </w:tc>
        <w:tc>
          <w:tcPr>
            <w:tcW w:w="1857" w:type="dxa"/>
            <w:tcBorders>
              <w:top w:val="nil"/>
              <w:left w:val="nil"/>
              <w:bottom w:val="single" w:sz="8" w:space="0" w:color="auto"/>
              <w:right w:val="single" w:sz="8" w:space="0" w:color="auto"/>
            </w:tcBorders>
            <w:vAlign w:val="center"/>
            <w:hideMark/>
          </w:tcPr>
          <w:p w14:paraId="085879E5" w14:textId="68EB3625" w:rsidR="008161EA" w:rsidRPr="005716F4" w:rsidRDefault="008161EA">
            <w:pPr>
              <w:spacing w:before="120" w:after="120"/>
              <w:jc w:val="center"/>
              <w:rPr>
                <w:rFonts w:cs="Calibri"/>
                <w:color w:val="000000"/>
                <w:sz w:val="18"/>
                <w:szCs w:val="18"/>
              </w:rPr>
            </w:pPr>
            <w:r w:rsidRPr="005716F4">
              <w:rPr>
                <w:rFonts w:cs="Calibri"/>
                <w:color w:val="000000"/>
                <w:sz w:val="18"/>
                <w:szCs w:val="18"/>
              </w:rPr>
              <w:t>Stable</w:t>
            </w:r>
          </w:p>
        </w:tc>
        <w:tc>
          <w:tcPr>
            <w:tcW w:w="1728" w:type="dxa"/>
            <w:tcBorders>
              <w:top w:val="nil"/>
              <w:left w:val="nil"/>
              <w:bottom w:val="single" w:sz="8" w:space="0" w:color="auto"/>
              <w:right w:val="single" w:sz="8" w:space="0" w:color="auto"/>
            </w:tcBorders>
            <w:vAlign w:val="center"/>
            <w:hideMark/>
          </w:tcPr>
          <w:p w14:paraId="45490D99" w14:textId="745BAC13" w:rsidR="008161EA" w:rsidRPr="005716F4" w:rsidRDefault="006E1A12">
            <w:pPr>
              <w:spacing w:before="120" w:after="120"/>
              <w:jc w:val="center"/>
              <w:rPr>
                <w:rFonts w:cs="Calibri"/>
                <w:color w:val="000000"/>
                <w:sz w:val="18"/>
                <w:szCs w:val="18"/>
              </w:rPr>
            </w:pPr>
            <w:r w:rsidRPr="005716F4">
              <w:rPr>
                <w:rFonts w:cs="Calibri"/>
                <w:color w:val="000000"/>
                <w:sz w:val="18"/>
                <w:szCs w:val="18"/>
              </w:rPr>
              <w:t>Stable</w:t>
            </w:r>
            <w:r w:rsidR="008161EA" w:rsidRPr="005716F4">
              <w:rPr>
                <w:rFonts w:cs="Calibri"/>
                <w:color w:val="000000"/>
                <w:sz w:val="18"/>
                <w:szCs w:val="18"/>
              </w:rPr>
              <w:t xml:space="preserve"> </w:t>
            </w:r>
          </w:p>
        </w:tc>
      </w:tr>
      <w:tr w:rsidR="008161EA" w:rsidRPr="00CE6419" w14:paraId="70C03180" w14:textId="77777777">
        <w:trPr>
          <w:trHeight w:val="192"/>
          <w:jc w:val="center"/>
        </w:trPr>
        <w:tc>
          <w:tcPr>
            <w:tcW w:w="2680" w:type="dxa"/>
            <w:tcBorders>
              <w:top w:val="nil"/>
              <w:left w:val="single" w:sz="8" w:space="0" w:color="auto"/>
              <w:bottom w:val="single" w:sz="8" w:space="0" w:color="auto"/>
              <w:right w:val="single" w:sz="8" w:space="0" w:color="auto"/>
            </w:tcBorders>
            <w:vAlign w:val="center"/>
            <w:hideMark/>
          </w:tcPr>
          <w:p w14:paraId="4F32DA0D" w14:textId="77777777" w:rsidR="008161EA" w:rsidRPr="005716F4" w:rsidRDefault="008161EA">
            <w:pPr>
              <w:spacing w:before="120" w:after="120"/>
              <w:rPr>
                <w:rFonts w:cs="Calibri"/>
                <w:color w:val="000000"/>
                <w:sz w:val="18"/>
                <w:szCs w:val="18"/>
              </w:rPr>
            </w:pPr>
            <w:r w:rsidRPr="005716F4">
              <w:rPr>
                <w:rFonts w:cs="Calibri"/>
                <w:color w:val="000000"/>
                <w:sz w:val="18"/>
                <w:szCs w:val="18"/>
              </w:rPr>
              <w:t>Notation court terme</w:t>
            </w:r>
          </w:p>
        </w:tc>
        <w:tc>
          <w:tcPr>
            <w:tcW w:w="1857" w:type="dxa"/>
            <w:tcBorders>
              <w:top w:val="nil"/>
              <w:left w:val="nil"/>
              <w:bottom w:val="single" w:sz="8" w:space="0" w:color="auto"/>
              <w:right w:val="single" w:sz="8" w:space="0" w:color="auto"/>
            </w:tcBorders>
            <w:vAlign w:val="center"/>
            <w:hideMark/>
          </w:tcPr>
          <w:p w14:paraId="6CE409E0" w14:textId="628DD48E" w:rsidR="008161EA" w:rsidRPr="005716F4" w:rsidRDefault="006E1A12">
            <w:pPr>
              <w:spacing w:before="120" w:after="120"/>
              <w:jc w:val="center"/>
              <w:rPr>
                <w:rFonts w:cs="Calibri"/>
                <w:color w:val="000000"/>
                <w:sz w:val="18"/>
                <w:szCs w:val="18"/>
              </w:rPr>
            </w:pPr>
            <w:r w:rsidRPr="005716F4">
              <w:rPr>
                <w:rFonts w:cs="Calibri"/>
                <w:color w:val="000000"/>
                <w:sz w:val="18"/>
                <w:szCs w:val="18"/>
              </w:rPr>
              <w:t>F1+</w:t>
            </w:r>
          </w:p>
        </w:tc>
        <w:tc>
          <w:tcPr>
            <w:tcW w:w="1728" w:type="dxa"/>
            <w:tcBorders>
              <w:top w:val="nil"/>
              <w:left w:val="nil"/>
              <w:bottom w:val="single" w:sz="8" w:space="0" w:color="auto"/>
              <w:right w:val="single" w:sz="8" w:space="0" w:color="auto"/>
            </w:tcBorders>
            <w:vAlign w:val="center"/>
            <w:hideMark/>
          </w:tcPr>
          <w:p w14:paraId="035BB876" w14:textId="2D1BA2CF" w:rsidR="008161EA" w:rsidRPr="00287893" w:rsidRDefault="008161EA">
            <w:pPr>
              <w:spacing w:before="120" w:after="120"/>
              <w:jc w:val="center"/>
              <w:rPr>
                <w:rFonts w:cs="Calibri"/>
                <w:color w:val="000000"/>
                <w:sz w:val="18"/>
                <w:szCs w:val="18"/>
              </w:rPr>
            </w:pPr>
            <w:r w:rsidRPr="005716F4">
              <w:rPr>
                <w:rFonts w:cs="Calibri"/>
                <w:color w:val="000000"/>
                <w:sz w:val="18"/>
                <w:szCs w:val="18"/>
              </w:rPr>
              <w:t>A-1</w:t>
            </w:r>
          </w:p>
        </w:tc>
      </w:tr>
    </w:tbl>
    <w:p w14:paraId="195E1819" w14:textId="21F4FC8D" w:rsidR="00687859" w:rsidRPr="00ED6499" w:rsidRDefault="008B1AA8" w:rsidP="00687859">
      <w:pPr>
        <w:pStyle w:val="Titre1"/>
        <w:rPr>
          <w:rFonts w:ascii="Antipasto" w:hAnsi="Antipasto"/>
          <w:b/>
          <w:bCs/>
          <w:i/>
          <w:iCs/>
          <w:color w:val="273780" w:themeColor="text2"/>
          <w:sz w:val="26"/>
          <w:szCs w:val="26"/>
        </w:rPr>
      </w:pPr>
      <w:r>
        <w:rPr>
          <w:rFonts w:ascii="Antipasto" w:hAnsi="Antipasto"/>
          <w:b/>
          <w:bCs/>
          <w:i/>
          <w:iCs/>
          <w:color w:val="273780" w:themeColor="text2"/>
          <w:sz w:val="26"/>
          <w:szCs w:val="26"/>
        </w:rPr>
        <w:br/>
      </w:r>
      <w:r w:rsidR="00687859">
        <w:rPr>
          <w:rFonts w:ascii="Antipasto" w:hAnsi="Antipasto"/>
          <w:b/>
          <w:bCs/>
          <w:i/>
          <w:iCs/>
          <w:color w:val="273780" w:themeColor="text2"/>
          <w:sz w:val="26"/>
          <w:szCs w:val="26"/>
        </w:rPr>
        <w:t>Renforcement des fonds propres</w:t>
      </w:r>
    </w:p>
    <w:p w14:paraId="44808CC8" w14:textId="7A2B372E" w:rsidR="00045686" w:rsidRPr="003149FE" w:rsidRDefault="00045686" w:rsidP="7F720FDA">
      <w:pPr>
        <w:spacing w:line="276" w:lineRule="auto"/>
        <w:jc w:val="both"/>
      </w:pPr>
      <w:r>
        <w:br/>
      </w:r>
      <w:r w:rsidR="57B24E92">
        <w:t xml:space="preserve">Afin d’accompagner la croissance de son bilan et renforcer durablement sa capacité de financement, l’AFL a franchi en 2025 une étape </w:t>
      </w:r>
      <w:r w:rsidR="4B5648AE">
        <w:t xml:space="preserve">importante </w:t>
      </w:r>
      <w:r w:rsidR="57B24E92">
        <w:t xml:space="preserve">avec </w:t>
      </w:r>
      <w:r w:rsidR="79063241">
        <w:t>l’admission</w:t>
      </w:r>
      <w:r w:rsidR="00401883">
        <w:t>,</w:t>
      </w:r>
      <w:r w:rsidR="79063241">
        <w:t xml:space="preserve"> à des fins réglementaires </w:t>
      </w:r>
      <w:r w:rsidR="274D2123">
        <w:t>au 31 décembre 2025</w:t>
      </w:r>
      <w:r w:rsidR="00401883">
        <w:t>,</w:t>
      </w:r>
      <w:r w:rsidR="274D2123">
        <w:t xml:space="preserve"> </w:t>
      </w:r>
      <w:r w:rsidR="7072BBCF">
        <w:t>des titres de dette super subordonnée</w:t>
      </w:r>
      <w:r w:rsidR="500CE529">
        <w:t xml:space="preserve"> comme fonds propres additionnels de catégorie 1</w:t>
      </w:r>
      <w:r w:rsidR="7072BBCF">
        <w:t xml:space="preserve"> </w:t>
      </w:r>
      <w:r w:rsidR="0D34F628">
        <w:t>pour</w:t>
      </w:r>
      <w:r w:rsidR="49A51E65">
        <w:t xml:space="preserve"> l’AFL et sa maison mère, l’AFL-ST</w:t>
      </w:r>
      <w:r w:rsidR="57B24E92">
        <w:t>.</w:t>
      </w:r>
    </w:p>
    <w:p w14:paraId="12A5A74E" w14:textId="44065148" w:rsidR="00045686" w:rsidRDefault="57B24E92" w:rsidP="00045686">
      <w:pPr>
        <w:spacing w:line="276" w:lineRule="auto"/>
        <w:jc w:val="both"/>
      </w:pPr>
      <w:r>
        <w:t xml:space="preserve">Cette </w:t>
      </w:r>
      <w:r w:rsidR="07FA277F">
        <w:t xml:space="preserve">reconnaissance contribue à renforcer </w:t>
      </w:r>
      <w:r>
        <w:t xml:space="preserve">la solidité de la banque et </w:t>
      </w:r>
      <w:r w:rsidR="1E891F85">
        <w:t>à</w:t>
      </w:r>
      <w:r w:rsidR="6CA623CD">
        <w:t xml:space="preserve"> </w:t>
      </w:r>
      <w:r w:rsidR="6E93BD5D">
        <w:t xml:space="preserve">faciliter </w:t>
      </w:r>
      <w:r w:rsidR="6CA623CD">
        <w:t xml:space="preserve">le </w:t>
      </w:r>
      <w:r w:rsidR="00E05692">
        <w:t>développement</w:t>
      </w:r>
      <w:r w:rsidR="6CA623CD">
        <w:t xml:space="preserve"> de</w:t>
      </w:r>
      <w:r w:rsidR="62A9918E">
        <w:t xml:space="preserve"> ses</w:t>
      </w:r>
      <w:r w:rsidR="6CA623CD">
        <w:t xml:space="preserve"> activités de crédit </w:t>
      </w:r>
      <w:r w:rsidR="0CF9C373">
        <w:t>au service de s</w:t>
      </w:r>
      <w:r w:rsidR="6CA623CD">
        <w:t xml:space="preserve">a stratégie visant </w:t>
      </w:r>
      <w:r>
        <w:t>à soutenir l’investissement des collectivités locales, tout en maintenant un profil de risque maîtrisé.</w:t>
      </w:r>
    </w:p>
    <w:p w14:paraId="5890505E" w14:textId="2121F27F" w:rsidR="00485574" w:rsidRPr="00793342" w:rsidRDefault="006A6FB7" w:rsidP="00485574">
      <w:pPr>
        <w:spacing w:line="276" w:lineRule="auto"/>
        <w:jc w:val="both"/>
      </w:pPr>
      <w:r>
        <w:rPr>
          <w:rFonts w:ascii="Antipasto" w:hAnsi="Antipasto"/>
          <w:b/>
          <w:bCs/>
          <w:i/>
          <w:iCs/>
          <w:color w:val="273780" w:themeColor="text2"/>
          <w:sz w:val="26"/>
          <w:szCs w:val="26"/>
        </w:rPr>
        <w:br/>
      </w:r>
      <w:r w:rsidR="00793342" w:rsidRPr="000F4CB2">
        <w:rPr>
          <w:rFonts w:ascii="Antipasto" w:hAnsi="Antipasto"/>
          <w:b/>
          <w:bCs/>
          <w:i/>
          <w:iCs/>
          <w:color w:val="273780" w:themeColor="text2"/>
          <w:sz w:val="26"/>
          <w:szCs w:val="26"/>
        </w:rPr>
        <w:t>Amélioration des conditions de financement pour les collectivités locales</w:t>
      </w:r>
    </w:p>
    <w:p w14:paraId="7F6D9240" w14:textId="2D6D7E35" w:rsidR="001C7385" w:rsidRDefault="00C1768C" w:rsidP="00BD7784">
      <w:pPr>
        <w:spacing w:line="276" w:lineRule="auto"/>
        <w:jc w:val="both"/>
      </w:pPr>
      <w:r>
        <w:t xml:space="preserve">Dans un contexte de </w:t>
      </w:r>
      <w:r w:rsidR="00774529">
        <w:t xml:space="preserve">dégradation de la notation de la France, </w:t>
      </w:r>
      <w:r w:rsidR="00EF48FA">
        <w:t>l</w:t>
      </w:r>
      <w:r w:rsidR="00BF6D6B">
        <w:t xml:space="preserve">e coût d’accès à la ressource </w:t>
      </w:r>
      <w:r w:rsidR="00910D4B">
        <w:t xml:space="preserve">de l’AFL </w:t>
      </w:r>
      <w:r w:rsidR="00D764EC">
        <w:t xml:space="preserve">est un </w:t>
      </w:r>
      <w:r w:rsidR="00051086">
        <w:t>sujet de surveillance permanent</w:t>
      </w:r>
      <w:r w:rsidR="00F14E98">
        <w:t>. A cet égard, u</w:t>
      </w:r>
      <w:r w:rsidR="007A5639">
        <w:t>ne avancée majeure est attendue</w:t>
      </w:r>
      <w:r w:rsidR="003F7B15">
        <w:t xml:space="preserve"> </w:t>
      </w:r>
      <w:r w:rsidR="00A179CE">
        <w:t xml:space="preserve">concernant </w:t>
      </w:r>
      <w:r w:rsidR="00D71BC0">
        <w:t xml:space="preserve">l’évolution de la </w:t>
      </w:r>
      <w:r w:rsidR="003B6264">
        <w:t>pondération</w:t>
      </w:r>
      <w:r w:rsidR="00D71BC0">
        <w:t xml:space="preserve"> en risque des titres de dette de l’AFL. En effet</w:t>
      </w:r>
      <w:r w:rsidR="000E23F4">
        <w:t>,</w:t>
      </w:r>
      <w:r w:rsidR="00D71BC0">
        <w:t xml:space="preserve"> </w:t>
      </w:r>
      <w:r w:rsidR="009B2B17">
        <w:t xml:space="preserve">après </w:t>
      </w:r>
      <w:r w:rsidR="00F553A6">
        <w:t>s’être fortement engagé</w:t>
      </w:r>
      <w:r w:rsidR="000E23F4">
        <w:t>e</w:t>
      </w:r>
      <w:r w:rsidR="00F553A6">
        <w:t xml:space="preserve"> en faveur de </w:t>
      </w:r>
      <w:r w:rsidR="00562EBF">
        <w:t>l</w:t>
      </w:r>
      <w:r w:rsidR="00047432">
        <w:t xml:space="preserve">a reconnaissance </w:t>
      </w:r>
      <w:r w:rsidR="00007CB5">
        <w:t xml:space="preserve">de la pondération </w:t>
      </w:r>
      <w:r w:rsidR="00562EBF">
        <w:t xml:space="preserve">en risque </w:t>
      </w:r>
      <w:r w:rsidR="00007CB5">
        <w:t xml:space="preserve">à 0% des </w:t>
      </w:r>
      <w:r w:rsidR="00562EBF">
        <w:t>collectivités locales françaises</w:t>
      </w:r>
      <w:r w:rsidR="00C5241C">
        <w:t>,</w:t>
      </w:r>
      <w:r w:rsidR="00562EBF">
        <w:t xml:space="preserve"> </w:t>
      </w:r>
      <w:r w:rsidR="00F553A6">
        <w:t xml:space="preserve">qui a été obtenue </w:t>
      </w:r>
      <w:r w:rsidR="00562EBF">
        <w:t xml:space="preserve">par une décision de l’ACPR du 21 juin 2024, l’AFL </w:t>
      </w:r>
      <w:r w:rsidR="00F553A6">
        <w:t xml:space="preserve">a poursuivi </w:t>
      </w:r>
      <w:r w:rsidR="00864011">
        <w:t>ses démarches afin d</w:t>
      </w:r>
      <w:r w:rsidR="00270522">
        <w:t xml:space="preserve">’obtenir </w:t>
      </w:r>
      <w:r w:rsidR="00665D50">
        <w:t xml:space="preserve">pour elle-même </w:t>
      </w:r>
      <w:r w:rsidR="000E23F4">
        <w:t xml:space="preserve">une </w:t>
      </w:r>
      <w:r w:rsidR="00270522">
        <w:t xml:space="preserve">reconnaissance </w:t>
      </w:r>
      <w:r w:rsidR="000E23F4">
        <w:t xml:space="preserve">équivalente à celle de </w:t>
      </w:r>
      <w:r w:rsidR="00270522">
        <w:t xml:space="preserve">ses actionnaires </w:t>
      </w:r>
      <w:r w:rsidR="008F1B11">
        <w:t xml:space="preserve">et emprunteurs. </w:t>
      </w:r>
      <w:r w:rsidR="00656943">
        <w:t xml:space="preserve">Cette démarche </w:t>
      </w:r>
      <w:r w:rsidR="00B77FA3">
        <w:t xml:space="preserve">pourrait </w:t>
      </w:r>
      <w:r w:rsidR="00656943">
        <w:t xml:space="preserve">aboutir </w:t>
      </w:r>
      <w:r w:rsidR="002F65C0">
        <w:t xml:space="preserve">une fois </w:t>
      </w:r>
      <w:r w:rsidR="000E23F4">
        <w:t xml:space="preserve">que </w:t>
      </w:r>
      <w:r w:rsidR="002F65C0">
        <w:t xml:space="preserve">le projet de </w:t>
      </w:r>
      <w:r w:rsidR="007F0685">
        <w:t>Loi de Simpli</w:t>
      </w:r>
      <w:r w:rsidR="00F523CC">
        <w:t>fi</w:t>
      </w:r>
      <w:r w:rsidR="007F0685">
        <w:t>cation</w:t>
      </w:r>
      <w:r w:rsidR="002F65C0">
        <w:t xml:space="preserve"> </w:t>
      </w:r>
      <w:r w:rsidR="000E23F4">
        <w:t xml:space="preserve">aura été </w:t>
      </w:r>
      <w:r w:rsidR="002F65C0">
        <w:t>adopté</w:t>
      </w:r>
      <w:r w:rsidR="001C7385">
        <w:t xml:space="preserve">. </w:t>
      </w:r>
      <w:r w:rsidR="001C7385" w:rsidRPr="00B77FA3">
        <w:t xml:space="preserve">Ce texte, et plus précisément son article 26, est de nature à satisfaire les conditions posées par l’ACPR pour que l’AFL soit traitée en risque à 0% à l’issue d’une évolution du dispositif actuel de garantie. </w:t>
      </w:r>
    </w:p>
    <w:p w14:paraId="1B4C0B58" w14:textId="77777777" w:rsidR="00F76BFB" w:rsidRDefault="00F76BFB" w:rsidP="00BD7784">
      <w:pPr>
        <w:spacing w:line="276" w:lineRule="auto"/>
        <w:jc w:val="both"/>
      </w:pPr>
    </w:p>
    <w:p w14:paraId="11819EFD" w14:textId="77777777" w:rsidR="00F76BFB" w:rsidRPr="00F76BFB" w:rsidRDefault="00F76BFB" w:rsidP="00F76BFB">
      <w:pPr>
        <w:spacing w:line="276" w:lineRule="auto"/>
        <w:jc w:val="both"/>
        <w:rPr>
          <w:rFonts w:ascii="Antipasto" w:hAnsi="Antipasto"/>
          <w:b/>
          <w:bCs/>
          <w:i/>
          <w:iCs/>
          <w:color w:val="273780" w:themeColor="text2"/>
          <w:sz w:val="26"/>
          <w:szCs w:val="26"/>
        </w:rPr>
      </w:pPr>
      <w:r w:rsidRPr="00F76BFB">
        <w:rPr>
          <w:rFonts w:ascii="Antipasto" w:hAnsi="Antipasto"/>
          <w:b/>
          <w:bCs/>
          <w:i/>
          <w:iCs/>
          <w:color w:val="273780" w:themeColor="text2"/>
          <w:sz w:val="26"/>
          <w:szCs w:val="26"/>
        </w:rPr>
        <w:t>Mise en conformité du mécanisme de séquestre</w:t>
      </w:r>
    </w:p>
    <w:p w14:paraId="55AA36EF" w14:textId="75C1331D" w:rsidR="00F76BFB" w:rsidRPr="00F76BFB" w:rsidRDefault="00F76BFB" w:rsidP="00F76BFB">
      <w:pPr>
        <w:spacing w:line="276" w:lineRule="auto"/>
        <w:jc w:val="both"/>
      </w:pPr>
      <w:r w:rsidRPr="00F76BFB">
        <w:t>Le système de garanties des titres émis par l’AFL prévoit, afin de faciliter sa mise en œuvre pratique ou de façon anticipée, le recours à un compte séquestre sur lequel</w:t>
      </w:r>
      <w:r w:rsidR="00FA1248">
        <w:t xml:space="preserve"> </w:t>
      </w:r>
      <w:r w:rsidRPr="00F76BFB">
        <w:t xml:space="preserve">les sommes sont déposées entre leur appel auprès des Collectivités Membres et leur </w:t>
      </w:r>
      <w:r w:rsidRPr="00F76BFB">
        <w:lastRenderedPageBreak/>
        <w:t xml:space="preserve">versement aux titulaires de Titres Garantis. Ce mécanisme de séquestre est provisoirement suspendu, l’Agent Séquestre préalablement </w:t>
      </w:r>
      <w:proofErr w:type="gramStart"/>
      <w:r w:rsidRPr="00F76BFB">
        <w:t>sélectionné</w:t>
      </w:r>
      <w:proofErr w:type="gramEnd"/>
      <w:r w:rsidRPr="00F76BFB">
        <w:t xml:space="preserve"> ne souhaitant plus remplir ce rôle. </w:t>
      </w:r>
    </w:p>
    <w:p w14:paraId="7E0A4909" w14:textId="2D7981AE" w:rsidR="00F76BFB" w:rsidRPr="00F76BFB" w:rsidRDefault="00F76BFB" w:rsidP="00F76BFB">
      <w:pPr>
        <w:spacing w:line="276" w:lineRule="auto"/>
        <w:jc w:val="both"/>
      </w:pPr>
      <w:r w:rsidRPr="00F76BFB">
        <w:t>Cette absence provisoire d’Agent Séquestre empêche temporairement la Société Territoriale ou l’A</w:t>
      </w:r>
      <w:r w:rsidR="00486125">
        <w:t xml:space="preserve">FL </w:t>
      </w:r>
      <w:r w:rsidRPr="00F76BFB">
        <w:t>de faire appel elles-mêmes aux garanties consenties par les Collectivités Membres. En revanche, l’appel en garantie des Collectivités Membres directement par les titulaires de Titres Garantis demeure pleinement effectif, assurant ainsi auxdits titulaires une protection inchangée.</w:t>
      </w:r>
    </w:p>
    <w:p w14:paraId="6BA0D2C8" w14:textId="6E39F573" w:rsidR="00F76BFB" w:rsidRPr="00F76BFB" w:rsidRDefault="00F76BFB" w:rsidP="00F76BFB">
      <w:pPr>
        <w:spacing w:line="276" w:lineRule="auto"/>
        <w:jc w:val="both"/>
      </w:pPr>
      <w:r w:rsidRPr="00F76BFB">
        <w:t xml:space="preserve">L’AFL est en discussions avancées avec une grande banque </w:t>
      </w:r>
      <w:r w:rsidR="008A117A">
        <w:t>française</w:t>
      </w:r>
      <w:r w:rsidRPr="00F76BFB">
        <w:t xml:space="preserve"> pour la reprise du rôle de teneur des comptes séquestres. </w:t>
      </w:r>
    </w:p>
    <w:p w14:paraId="048184B5" w14:textId="77777777" w:rsidR="00C93AD7" w:rsidRPr="00967BCA" w:rsidRDefault="001C6EC9" w:rsidP="00C93AD7">
      <w:pPr>
        <w:pStyle w:val="Titre1"/>
        <w:rPr>
          <w:rFonts w:ascii="Antipasto" w:hAnsi="Antipasto"/>
          <w:b/>
          <w:bCs/>
          <w:i/>
          <w:iCs/>
          <w:color w:val="273780" w:themeColor="text2"/>
          <w:sz w:val="26"/>
          <w:szCs w:val="26"/>
        </w:rPr>
      </w:pPr>
      <w:r>
        <w:br/>
      </w:r>
      <w:r w:rsidR="00C93AD7" w:rsidRPr="00967BCA">
        <w:rPr>
          <w:rFonts w:ascii="Antipasto" w:hAnsi="Antipasto"/>
          <w:b/>
          <w:bCs/>
          <w:i/>
          <w:iCs/>
          <w:color w:val="273780" w:themeColor="text2"/>
          <w:sz w:val="26"/>
          <w:szCs w:val="26"/>
        </w:rPr>
        <w:t xml:space="preserve">Notation extra financière </w:t>
      </w:r>
    </w:p>
    <w:p w14:paraId="77CCCDBF" w14:textId="554F2AF1" w:rsidR="00C93AD7" w:rsidRPr="007510BC" w:rsidRDefault="00C93AD7" w:rsidP="00C93AD7">
      <w:pPr>
        <w:jc w:val="both"/>
      </w:pPr>
      <w:r>
        <w:br/>
        <w:t xml:space="preserve">Le 23 juin 2025, l’agence de notation </w:t>
      </w:r>
      <w:proofErr w:type="spellStart"/>
      <w:r>
        <w:t>Sustainalytics</w:t>
      </w:r>
      <w:proofErr w:type="spellEnd"/>
      <w:r>
        <w:t xml:space="preserve"> a </w:t>
      </w:r>
      <w:r w:rsidR="00C13DF7">
        <w:t>mis à jour la</w:t>
      </w:r>
      <w:r w:rsidR="00680AA4">
        <w:t xml:space="preserve"> </w:t>
      </w:r>
      <w:r>
        <w:t xml:space="preserve">notation extra financière de l’AFL, </w:t>
      </w:r>
      <w:r w:rsidR="006839D9">
        <w:t>notation non sollicitée</w:t>
      </w:r>
      <w:r>
        <w:t xml:space="preserve">, en passant celle-ci de 16,1 à 13,7. </w:t>
      </w:r>
    </w:p>
    <w:p w14:paraId="75686862" w14:textId="06FE08DC" w:rsidR="002B2526" w:rsidRDefault="002B2526" w:rsidP="7229ED94">
      <w:pPr>
        <w:spacing w:line="276" w:lineRule="auto"/>
        <w:jc w:val="both"/>
        <w:rPr>
          <w:rFonts w:ascii="Antipasto" w:hAnsi="Antipasto"/>
          <w:b/>
          <w:bCs/>
          <w:i/>
          <w:iCs/>
          <w:color w:val="273780" w:themeColor="text2"/>
          <w:sz w:val="26"/>
          <w:szCs w:val="26"/>
        </w:rPr>
      </w:pPr>
    </w:p>
    <w:p w14:paraId="270BC97B" w14:textId="4E60DF6E" w:rsidR="006953E2" w:rsidRDefault="003149FE" w:rsidP="7229ED94">
      <w:pPr>
        <w:spacing w:line="276" w:lineRule="auto"/>
        <w:jc w:val="both"/>
        <w:rPr>
          <w:rFonts w:ascii="Antipasto" w:hAnsi="Antipasto"/>
          <w:b/>
          <w:bCs/>
          <w:i/>
          <w:iCs/>
          <w:color w:val="273780" w:themeColor="text2"/>
          <w:sz w:val="26"/>
          <w:szCs w:val="26"/>
        </w:rPr>
      </w:pPr>
      <w:r w:rsidRPr="003149FE">
        <w:rPr>
          <w:rFonts w:ascii="Antipasto" w:hAnsi="Antipasto"/>
          <w:b/>
          <w:bCs/>
          <w:i/>
          <w:iCs/>
          <w:color w:val="273780" w:themeColor="text2"/>
          <w:sz w:val="26"/>
          <w:szCs w:val="26"/>
        </w:rPr>
        <w:t>Obligations durables : l’AFL poursuit sa stratégie de financement responsable</w:t>
      </w:r>
    </w:p>
    <w:p w14:paraId="749695E0" w14:textId="4995B7BF" w:rsidR="00401883" w:rsidRDefault="1BA44F09" w:rsidP="005D76FE">
      <w:pPr>
        <w:spacing w:before="120" w:after="120" w:line="276" w:lineRule="auto"/>
        <w:jc w:val="both"/>
      </w:pPr>
      <w:r>
        <w:t xml:space="preserve">Dans le cadre de sa stratégie de finance durable, l’AFL a </w:t>
      </w:r>
      <w:r w:rsidR="252D3487">
        <w:t xml:space="preserve">procédé </w:t>
      </w:r>
      <w:r w:rsidR="5DCE9FF3">
        <w:t xml:space="preserve">en 2025 </w:t>
      </w:r>
      <w:r w:rsidR="252D3487">
        <w:t xml:space="preserve">à une refonte </w:t>
      </w:r>
      <w:r w:rsidR="63CC4389">
        <w:t xml:space="preserve">importante </w:t>
      </w:r>
      <w:r w:rsidR="252D3487">
        <w:t>de son dispositif d’émissions durables</w:t>
      </w:r>
      <w:r w:rsidR="75C3458B">
        <w:t xml:space="preserve">, conforme aux Principes de l’ICMA </w:t>
      </w:r>
      <w:r w:rsidR="00401883">
        <w:t xml:space="preserve">en </w:t>
      </w:r>
      <w:r w:rsidR="009D7824">
        <w:t xml:space="preserve">la </w:t>
      </w:r>
      <w:r w:rsidR="00401883">
        <w:t>matière,</w:t>
      </w:r>
      <w:r w:rsidR="0D187121">
        <w:t xml:space="preserve"> </w:t>
      </w:r>
      <w:r w:rsidR="75C3458B">
        <w:t xml:space="preserve">et </w:t>
      </w:r>
      <w:r w:rsidR="1512EC1E">
        <w:t>dont la première version avait été mise en place en 2020</w:t>
      </w:r>
      <w:r>
        <w:t>.</w:t>
      </w:r>
    </w:p>
    <w:p w14:paraId="32FD527D" w14:textId="44D391E6" w:rsidR="00A94BB9" w:rsidRDefault="00BF277E" w:rsidP="005D76FE">
      <w:pPr>
        <w:spacing w:before="120" w:after="120" w:line="276" w:lineRule="auto"/>
        <w:jc w:val="both"/>
      </w:pPr>
      <w:r>
        <w:t>A l’avenir, l</w:t>
      </w:r>
      <w:r w:rsidR="00106291">
        <w:t xml:space="preserve">’AFL </w:t>
      </w:r>
      <w:r>
        <w:t xml:space="preserve">ne s’appuiera </w:t>
      </w:r>
      <w:r w:rsidR="00AE106B">
        <w:t xml:space="preserve">plus </w:t>
      </w:r>
      <w:r w:rsidR="00A94BB9">
        <w:t>seulement sur l'analyse budgétaire des comptes administratifs</w:t>
      </w:r>
      <w:r w:rsidR="70752866">
        <w:t xml:space="preserve"> des collectivités</w:t>
      </w:r>
      <w:r w:rsidR="00A94BB9">
        <w:t>, comme c'est le cas depuis 2020.</w:t>
      </w:r>
      <w:r w:rsidR="00342B79">
        <w:t xml:space="preserve"> </w:t>
      </w:r>
      <w:r w:rsidR="00A94BB9">
        <w:t xml:space="preserve">Le nouveau dispositif prévoit également l'intégration </w:t>
      </w:r>
      <w:r w:rsidR="00AE106B">
        <w:t xml:space="preserve">des </w:t>
      </w:r>
      <w:r w:rsidR="00342B79">
        <w:t>« </w:t>
      </w:r>
      <w:r w:rsidR="00A94BB9">
        <w:t>annexes vertes</w:t>
      </w:r>
      <w:r w:rsidR="00342B79">
        <w:t> »</w:t>
      </w:r>
      <w:r w:rsidR="00A94BB9">
        <w:t>, documents qui présenteront progressivement les données d'investissement par le prisme des 6 axes de la taxonomie.</w:t>
      </w:r>
      <w:r>
        <w:t xml:space="preserve"> </w:t>
      </w:r>
      <w:r w:rsidR="00A94BB9">
        <w:t>A terme, lorsque ces données seront reconnues comme suffisamment pertinentes, l'AFL envisage de pouvoir s'en servir comme base de nouvelles émissions vertes, durables ou sociales</w:t>
      </w:r>
      <w:r w:rsidR="006943AE">
        <w:t>.</w:t>
      </w:r>
    </w:p>
    <w:p w14:paraId="61134FBB" w14:textId="740EEF4C" w:rsidR="006953E2" w:rsidRDefault="00D36357" w:rsidP="005D76FE">
      <w:pPr>
        <w:spacing w:before="120" w:after="120" w:line="276" w:lineRule="auto"/>
        <w:jc w:val="both"/>
      </w:pPr>
      <w:r>
        <w:t>Depuis 2020,</w:t>
      </w:r>
      <w:r w:rsidR="00D14B8C">
        <w:t xml:space="preserve"> </w:t>
      </w:r>
      <w:r w:rsidR="1BA44F09">
        <w:t>l</w:t>
      </w:r>
      <w:r w:rsidR="00106291">
        <w:t>’AFL</w:t>
      </w:r>
      <w:r w:rsidR="1BA44F09">
        <w:t xml:space="preserve"> a levé</w:t>
      </w:r>
      <w:r w:rsidR="00D14B8C">
        <w:t>,</w:t>
      </w:r>
      <w:r w:rsidR="1BA44F09">
        <w:t xml:space="preserve"> </w:t>
      </w:r>
      <w:r w:rsidR="002E42B0">
        <w:t>à</w:t>
      </w:r>
      <w:r>
        <w:t xml:space="preserve"> travers ce dispositif</w:t>
      </w:r>
      <w:r w:rsidR="00D14B8C">
        <w:t>,</w:t>
      </w:r>
      <w:r>
        <w:t xml:space="preserve"> </w:t>
      </w:r>
      <w:r w:rsidR="1BA44F09">
        <w:t>un total cumulé de 2,25 milliards d’euros</w:t>
      </w:r>
      <w:r w:rsidR="00FD0A04">
        <w:t xml:space="preserve"> </w:t>
      </w:r>
      <w:r>
        <w:t xml:space="preserve">via </w:t>
      </w:r>
      <w:r w:rsidR="00FD0A04">
        <w:t>l’</w:t>
      </w:r>
      <w:r w:rsidR="4CCC9062">
        <w:t>émission</w:t>
      </w:r>
      <w:r w:rsidR="00FD0A04">
        <w:t xml:space="preserve"> de </w:t>
      </w:r>
      <w:r w:rsidR="4CCC9062">
        <w:t>trois benchmarks de 500 millions d’euros, complétée par des abondements et des placements privés</w:t>
      </w:r>
      <w:r w:rsidR="002E42B0">
        <w:t xml:space="preserve">. Le succès de ces </w:t>
      </w:r>
      <w:r w:rsidR="00D14B8C">
        <w:t>opérations confirme</w:t>
      </w:r>
      <w:r w:rsidR="2E029813">
        <w:t xml:space="preserve"> l’appétit des </w:t>
      </w:r>
      <w:r w:rsidR="1BA44F09">
        <w:t xml:space="preserve">investisseurs pour </w:t>
      </w:r>
      <w:r w:rsidR="2DFF7DB9">
        <w:t xml:space="preserve">ce type d’instrument combiné à la </w:t>
      </w:r>
      <w:r w:rsidR="4CCC9062">
        <w:t>signature</w:t>
      </w:r>
      <w:r w:rsidR="55B8BFEA">
        <w:t xml:space="preserve"> de l’AFL</w:t>
      </w:r>
      <w:r w:rsidR="1BA44F09">
        <w:t xml:space="preserve">. La publication du rapport d’obligations durables 2025 détaille l’allocation et l’impact des fonds levés, ainsi que leur contribution aux </w:t>
      </w:r>
      <w:r w:rsidR="0050754C">
        <w:t>o</w:t>
      </w:r>
      <w:r w:rsidR="1BA44F09">
        <w:t>bjectifs de développement durable.</w:t>
      </w:r>
    </w:p>
    <w:p w14:paraId="4FB6A326" w14:textId="56CDA10C" w:rsidR="00E64C07" w:rsidRPr="00650E98" w:rsidRDefault="00E64C07" w:rsidP="005D76FE">
      <w:pPr>
        <w:spacing w:before="120" w:after="120" w:line="276" w:lineRule="auto"/>
        <w:jc w:val="both"/>
        <w:rPr>
          <w:b/>
          <w:bCs/>
        </w:rPr>
      </w:pPr>
      <w:r w:rsidRPr="00650E98">
        <w:rPr>
          <w:b/>
          <w:bCs/>
        </w:rPr>
        <w:t>Lire le rapport d’émissions d’obligations durables 2025 :</w:t>
      </w:r>
      <w:r w:rsidR="009837AE" w:rsidRPr="00650E98">
        <w:rPr>
          <w:b/>
          <w:bCs/>
        </w:rPr>
        <w:t xml:space="preserve"> </w:t>
      </w:r>
      <w:hyperlink r:id="rId13" w:history="1">
        <w:r w:rsidR="009837AE" w:rsidRPr="00650E98">
          <w:rPr>
            <w:rStyle w:val="Lienhypertexte"/>
            <w:b/>
            <w:bCs/>
          </w:rPr>
          <w:t>ici</w:t>
        </w:r>
      </w:hyperlink>
      <w:r w:rsidR="009837AE" w:rsidRPr="00650E98">
        <w:rPr>
          <w:b/>
          <w:bCs/>
        </w:rPr>
        <w:t>.</w:t>
      </w:r>
    </w:p>
    <w:p w14:paraId="3CE6941F" w14:textId="5D313723" w:rsidR="006953E2" w:rsidRDefault="1D68F701" w:rsidP="005D76FE">
      <w:pPr>
        <w:spacing w:before="120" w:after="120" w:line="276" w:lineRule="auto"/>
        <w:jc w:val="both"/>
      </w:pPr>
      <w:r>
        <w:t>Parallèlement</w:t>
      </w:r>
      <w:r w:rsidR="192E6674">
        <w:t xml:space="preserve"> à la publication de ses résultats annuels</w:t>
      </w:r>
      <w:r>
        <w:t xml:space="preserve">, l’AFL a publié son rapport </w:t>
      </w:r>
      <w:r w:rsidR="007F2C17">
        <w:t>ESG</w:t>
      </w:r>
      <w:r>
        <w:t xml:space="preserve"> (</w:t>
      </w:r>
      <w:proofErr w:type="spellStart"/>
      <w:r>
        <w:t>extrafinancier</w:t>
      </w:r>
      <w:proofErr w:type="spellEnd"/>
      <w:r>
        <w:t>), qui présente</w:t>
      </w:r>
      <w:r w:rsidR="192E6674">
        <w:t>,</w:t>
      </w:r>
      <w:r>
        <w:t xml:space="preserve"> de manière structurée</w:t>
      </w:r>
      <w:r w:rsidR="192E6674">
        <w:t>,</w:t>
      </w:r>
      <w:r>
        <w:t xml:space="preserve"> ses engagements, sa gouvernance et les impacts environnementaux, sociaux et sociétaux de son activité.</w:t>
      </w:r>
      <w:r w:rsidR="192E6674">
        <w:t xml:space="preserve"> </w:t>
      </w:r>
      <w:r>
        <w:lastRenderedPageBreak/>
        <w:t xml:space="preserve">Ce </w:t>
      </w:r>
      <w:proofErr w:type="spellStart"/>
      <w:r>
        <w:t>reporting</w:t>
      </w:r>
      <w:proofErr w:type="spellEnd"/>
      <w:r>
        <w:t xml:space="preserve"> contribue à la transparence de la signature AFL et à sa lisibilité auprès des investisseurs, dans un contexte d’exigences accrues en matière d’information </w:t>
      </w:r>
      <w:proofErr w:type="spellStart"/>
      <w:r>
        <w:t>extrafinancière</w:t>
      </w:r>
      <w:proofErr w:type="spellEnd"/>
      <w:r>
        <w:t>.</w:t>
      </w:r>
    </w:p>
    <w:p w14:paraId="430D9F18" w14:textId="384FC2D8" w:rsidR="000D71AE" w:rsidRPr="00650E98" w:rsidRDefault="611B3A84" w:rsidP="009837AE">
      <w:pPr>
        <w:spacing w:line="276" w:lineRule="auto"/>
        <w:rPr>
          <w:b/>
          <w:bCs/>
        </w:rPr>
      </w:pPr>
      <w:r w:rsidRPr="00650E98">
        <w:rPr>
          <w:b/>
          <w:bCs/>
        </w:rPr>
        <w:t xml:space="preserve">Lire le rapport </w:t>
      </w:r>
      <w:r w:rsidR="00730714" w:rsidRPr="00650E98">
        <w:rPr>
          <w:b/>
          <w:bCs/>
        </w:rPr>
        <w:t>ESG</w:t>
      </w:r>
      <w:r w:rsidRPr="00650E98">
        <w:rPr>
          <w:b/>
          <w:bCs/>
        </w:rPr>
        <w:t xml:space="preserve"> 2025 : </w:t>
      </w:r>
      <w:hyperlink r:id="rId14" w:history="1">
        <w:r w:rsidR="009837AE" w:rsidRPr="00650E98">
          <w:rPr>
            <w:rStyle w:val="Lienhypertexte"/>
            <w:b/>
            <w:bCs/>
          </w:rPr>
          <w:t>ici.</w:t>
        </w:r>
      </w:hyperlink>
      <w:r w:rsidR="009837AE" w:rsidRPr="00650E98">
        <w:rPr>
          <w:b/>
          <w:bCs/>
        </w:rPr>
        <w:t xml:space="preserve"> </w:t>
      </w:r>
    </w:p>
    <w:p w14:paraId="2891AE3E" w14:textId="77777777" w:rsidR="00967BCA" w:rsidRDefault="00967BCA" w:rsidP="002E1EC2">
      <w:pPr>
        <w:spacing w:line="276" w:lineRule="auto"/>
        <w:jc w:val="both"/>
        <w:rPr>
          <w:rFonts w:ascii="Antipasto" w:hAnsi="Antipasto"/>
          <w:b/>
          <w:bCs/>
          <w:i/>
          <w:iCs/>
          <w:color w:val="273780" w:themeColor="text2"/>
          <w:sz w:val="26"/>
          <w:szCs w:val="26"/>
        </w:rPr>
      </w:pPr>
    </w:p>
    <w:p w14:paraId="20EB9E03" w14:textId="77777777" w:rsidR="00AF62E5" w:rsidRDefault="00AF62E5" w:rsidP="00AF62E5">
      <w:pPr>
        <w:pStyle w:val="Titre1"/>
        <w:rPr>
          <w:rFonts w:ascii="Antipasto" w:eastAsia="Times New Roman" w:hAnsi="Antipasto" w:cs="Times New Roman"/>
          <w:b/>
          <w:bCs/>
          <w:color w:val="C30D25" w:themeColor="accent4"/>
        </w:rPr>
      </w:pPr>
      <w:r w:rsidRPr="001878FC">
        <w:rPr>
          <w:rFonts w:ascii="Antipasto" w:eastAsia="Times New Roman" w:hAnsi="Antipasto" w:cs="Times New Roman"/>
          <w:b/>
          <w:bCs/>
          <w:color w:val="C30D25" w:themeColor="accent4"/>
        </w:rPr>
        <w:t>Evènements post-clôture et perspectives</w:t>
      </w:r>
    </w:p>
    <w:p w14:paraId="1F500101" w14:textId="77777777" w:rsidR="00AF62E5" w:rsidRPr="00AF62E5" w:rsidRDefault="00AF62E5" w:rsidP="00AF62E5"/>
    <w:p w14:paraId="0A19A179" w14:textId="2C5438C8" w:rsidR="00AF62E5" w:rsidRPr="00F549F9" w:rsidRDefault="00E97835" w:rsidP="00D14B8C">
      <w:pPr>
        <w:suppressAutoHyphens w:val="0"/>
        <w:autoSpaceDN/>
        <w:spacing w:before="120" w:after="120" w:line="259" w:lineRule="auto"/>
        <w:jc w:val="both"/>
        <w:rPr>
          <w:i/>
          <w:iCs/>
        </w:rPr>
      </w:pPr>
      <w:r w:rsidRPr="00C40672">
        <w:t xml:space="preserve">L’AFL-ST a </w:t>
      </w:r>
      <w:r>
        <w:t xml:space="preserve">ouvert </w:t>
      </w:r>
      <w:r w:rsidR="00EF5FD8">
        <w:t xml:space="preserve">le 25 mars 2026 </w:t>
      </w:r>
      <w:r w:rsidRPr="5CC7D0AA">
        <w:t xml:space="preserve">une </w:t>
      </w:r>
      <w:r w:rsidRPr="5CC7D0AA">
        <w:rPr>
          <w:rFonts w:ascii="Gotham Bold" w:hAnsi="Gotham Bold" w:cs="Arial"/>
          <w:color w:val="C30D25" w:themeColor="accent4"/>
        </w:rPr>
        <w:t>4</w:t>
      </w:r>
      <w:r w:rsidR="00EF5FD8">
        <w:rPr>
          <w:rFonts w:ascii="Gotham Bold" w:hAnsi="Gotham Bold" w:cs="Arial"/>
          <w:color w:val="C30D25" w:themeColor="accent4"/>
        </w:rPr>
        <w:t>7</w:t>
      </w:r>
      <w:r w:rsidRPr="5CC7D0AA">
        <w:rPr>
          <w:rFonts w:ascii="Gotham Bold" w:hAnsi="Gotham Bold" w:cs="Arial"/>
          <w:color w:val="C30D25" w:themeColor="accent4"/>
          <w:vertAlign w:val="superscript"/>
        </w:rPr>
        <w:t>ème</w:t>
      </w:r>
      <w:r w:rsidRPr="5CC7D0AA">
        <w:rPr>
          <w:rFonts w:ascii="Gotham Bold" w:hAnsi="Gotham Bold" w:cs="Arial"/>
          <w:color w:val="C30D25" w:themeColor="accent4"/>
        </w:rPr>
        <w:t xml:space="preserve"> augmentation de capital</w:t>
      </w:r>
      <w:r>
        <w:rPr>
          <w:rFonts w:ascii="Gotham Bold" w:hAnsi="Gotham Bold" w:cs="Arial"/>
          <w:color w:val="C30D25" w:themeColor="accent4"/>
        </w:rPr>
        <w:t>,</w:t>
      </w:r>
      <w:r w:rsidRPr="5CC7D0AA">
        <w:t xml:space="preserve"> qui</w:t>
      </w:r>
      <w:r w:rsidR="00985971">
        <w:t xml:space="preserve"> sera clôturée </w:t>
      </w:r>
      <w:r w:rsidR="00430CCF">
        <w:t>le 17 juin 2026</w:t>
      </w:r>
      <w:r w:rsidR="00967BCA">
        <w:t>,</w:t>
      </w:r>
      <w:r w:rsidR="00430CCF">
        <w:t xml:space="preserve"> afin de permettre à de nouvelles collectivités locales de rejoindre le Grou</w:t>
      </w:r>
      <w:r w:rsidR="00A5586A">
        <w:t>pe</w:t>
      </w:r>
      <w:r w:rsidR="00430CCF">
        <w:t xml:space="preserve"> AFL.</w:t>
      </w:r>
      <w:r w:rsidRPr="5CC7D0AA">
        <w:t xml:space="preserve"> </w:t>
      </w:r>
    </w:p>
    <w:p w14:paraId="694E3DB7" w14:textId="49CF3F3D" w:rsidR="00ED6499" w:rsidRDefault="00ED6499" w:rsidP="009F5901">
      <w:pPr>
        <w:spacing w:line="276" w:lineRule="auto"/>
        <w:jc w:val="both"/>
        <w:rPr>
          <w:rFonts w:ascii="Antipasto" w:hAnsi="Antipasto"/>
          <w:b/>
          <w:bCs/>
          <w:i/>
          <w:iCs/>
          <w:color w:val="273780" w:themeColor="text2"/>
          <w:sz w:val="24"/>
          <w:szCs w:val="24"/>
        </w:rPr>
      </w:pPr>
    </w:p>
    <w:p w14:paraId="1335E8E8" w14:textId="77777777" w:rsidR="00810551" w:rsidRPr="007741E8" w:rsidRDefault="00810551" w:rsidP="00810551">
      <w:pPr>
        <w:pBdr>
          <w:top w:val="single" w:sz="4" w:space="1" w:color="auto"/>
        </w:pBdr>
      </w:pPr>
    </w:p>
    <w:p w14:paraId="1634D796" w14:textId="298A1D78" w:rsidR="00810551" w:rsidRPr="00810551" w:rsidRDefault="0F1FA026" w:rsidP="005D76FE">
      <w:pPr>
        <w:spacing w:before="120" w:after="120" w:line="257" w:lineRule="auto"/>
        <w:jc w:val="both"/>
        <w:rPr>
          <w:rFonts w:eastAsia="Calibri" w:cs="Calibri"/>
          <w:i/>
          <w:iCs/>
        </w:rPr>
      </w:pPr>
      <w:r w:rsidRPr="7F720FDA">
        <w:rPr>
          <w:rFonts w:eastAsia="Calibri" w:cs="Calibri"/>
          <w:i/>
          <w:iCs/>
        </w:rPr>
        <w:t>Le Directoire de l’AFL a arrêté les comptes annuels sociaux et consolidés de l’AFL pour l’année 202</w:t>
      </w:r>
      <w:r w:rsidR="2DAC5B48" w:rsidRPr="7F720FDA">
        <w:rPr>
          <w:rFonts w:eastAsia="Calibri" w:cs="Calibri"/>
          <w:i/>
          <w:iCs/>
        </w:rPr>
        <w:t>5</w:t>
      </w:r>
      <w:r w:rsidRPr="7F720FDA">
        <w:rPr>
          <w:rFonts w:eastAsia="Calibri" w:cs="Calibri"/>
          <w:i/>
          <w:iCs/>
        </w:rPr>
        <w:t xml:space="preserve">, le </w:t>
      </w:r>
      <w:r w:rsidR="1223D693" w:rsidRPr="7F720FDA">
        <w:rPr>
          <w:rFonts w:eastAsia="Calibri" w:cs="Calibri"/>
          <w:i/>
          <w:iCs/>
        </w:rPr>
        <w:t>11</w:t>
      </w:r>
      <w:r w:rsidR="2DAC5B48" w:rsidRPr="7F720FDA">
        <w:rPr>
          <w:rFonts w:eastAsia="Calibri" w:cs="Calibri"/>
          <w:i/>
          <w:iCs/>
        </w:rPr>
        <w:t xml:space="preserve"> </w:t>
      </w:r>
      <w:r w:rsidRPr="7F720FDA">
        <w:rPr>
          <w:rFonts w:eastAsia="Calibri" w:cs="Calibri"/>
          <w:i/>
          <w:iCs/>
        </w:rPr>
        <w:t>mars 202</w:t>
      </w:r>
      <w:r w:rsidR="00A67C25">
        <w:rPr>
          <w:rFonts w:eastAsia="Calibri" w:cs="Calibri"/>
          <w:i/>
          <w:iCs/>
        </w:rPr>
        <w:t>6</w:t>
      </w:r>
      <w:r w:rsidRPr="7F720FDA">
        <w:rPr>
          <w:rFonts w:eastAsia="Calibri" w:cs="Calibri"/>
          <w:i/>
          <w:iCs/>
        </w:rPr>
        <w:t xml:space="preserve">. Le Conseil de Surveillance de l’AFL </w:t>
      </w:r>
      <w:r w:rsidR="3C1A4C38" w:rsidRPr="7F720FDA">
        <w:rPr>
          <w:rFonts w:eastAsia="Calibri" w:cs="Calibri"/>
          <w:i/>
          <w:iCs/>
        </w:rPr>
        <w:t xml:space="preserve">réuni </w:t>
      </w:r>
      <w:r w:rsidRPr="7F720FDA">
        <w:rPr>
          <w:rFonts w:eastAsia="Calibri" w:cs="Calibri"/>
          <w:i/>
          <w:iCs/>
        </w:rPr>
        <w:t>le 2</w:t>
      </w:r>
      <w:r w:rsidR="2DAC5B48" w:rsidRPr="7F720FDA">
        <w:rPr>
          <w:rFonts w:eastAsia="Calibri" w:cs="Calibri"/>
          <w:i/>
          <w:iCs/>
        </w:rPr>
        <w:t>5</w:t>
      </w:r>
      <w:r w:rsidRPr="7F720FDA">
        <w:rPr>
          <w:rFonts w:eastAsia="Calibri" w:cs="Calibri"/>
          <w:i/>
          <w:iCs/>
        </w:rPr>
        <w:t xml:space="preserve"> mars 202</w:t>
      </w:r>
      <w:r w:rsidR="2DAC5B48" w:rsidRPr="7F720FDA">
        <w:rPr>
          <w:rFonts w:eastAsia="Calibri" w:cs="Calibri"/>
          <w:i/>
          <w:iCs/>
        </w:rPr>
        <w:t>6</w:t>
      </w:r>
      <w:r w:rsidRPr="7F720FDA">
        <w:rPr>
          <w:rFonts w:eastAsia="Calibri" w:cs="Calibri"/>
          <w:i/>
          <w:iCs/>
        </w:rPr>
        <w:t xml:space="preserve"> a examiné favorablement les comptes annuels de l’AFL. </w:t>
      </w:r>
    </w:p>
    <w:p w14:paraId="043F5E07" w14:textId="4EE98E9C" w:rsidR="00810551" w:rsidRPr="00810551" w:rsidRDefault="00810551" w:rsidP="005D76FE">
      <w:pPr>
        <w:spacing w:before="120" w:after="120"/>
        <w:jc w:val="both"/>
        <w:rPr>
          <w:rFonts w:eastAsia="Calibri" w:cs="Calibri"/>
          <w:i/>
          <w:iCs/>
        </w:rPr>
      </w:pPr>
      <w:r w:rsidRPr="00810551">
        <w:rPr>
          <w:rFonts w:eastAsia="Calibri" w:cs="Calibri"/>
          <w:i/>
          <w:iCs/>
        </w:rPr>
        <w:t>Le Conseil d’Administration de l’AFL-ST, la Société Territoriale, réuni le 2</w:t>
      </w:r>
      <w:r w:rsidR="00DD5A03">
        <w:rPr>
          <w:rFonts w:eastAsia="Calibri" w:cs="Calibri"/>
          <w:i/>
          <w:iCs/>
        </w:rPr>
        <w:t>5</w:t>
      </w:r>
      <w:r w:rsidRPr="00810551">
        <w:rPr>
          <w:rFonts w:eastAsia="Calibri" w:cs="Calibri"/>
          <w:i/>
          <w:iCs/>
        </w:rPr>
        <w:t xml:space="preserve"> mars 202</w:t>
      </w:r>
      <w:r w:rsidR="00DD5A03">
        <w:rPr>
          <w:rFonts w:eastAsia="Calibri" w:cs="Calibri"/>
          <w:i/>
          <w:iCs/>
        </w:rPr>
        <w:t>6</w:t>
      </w:r>
      <w:r w:rsidRPr="00810551">
        <w:rPr>
          <w:rFonts w:eastAsia="Calibri" w:cs="Calibri"/>
          <w:i/>
          <w:iCs/>
        </w:rPr>
        <w:t>, a arrêté les comptes annuels sociaux de la maison-mère, la Société Territoriale, ainsi que les comptes annuels consolidés du Groupe AFL.</w:t>
      </w:r>
    </w:p>
    <w:p w14:paraId="38B62ADF" w14:textId="24CC144A" w:rsidR="00810551" w:rsidRPr="00810551" w:rsidRDefault="00810551" w:rsidP="005D76FE">
      <w:pPr>
        <w:spacing w:before="120" w:after="120"/>
        <w:jc w:val="both"/>
        <w:rPr>
          <w:rStyle w:val="Lienhypertexte"/>
          <w:rFonts w:eastAsia="Calibri" w:cs="Calibri"/>
          <w:i/>
          <w:iCs/>
          <w:color w:val="auto"/>
        </w:rPr>
      </w:pPr>
      <w:r w:rsidRPr="00810551">
        <w:rPr>
          <w:rFonts w:eastAsia="Calibri" w:cs="Calibri"/>
          <w:i/>
          <w:iCs/>
        </w:rPr>
        <w:t>Les procédures d'audit sur les comptes annuels et consolidés, relatifs à la période du 1er janvier 202</w:t>
      </w:r>
      <w:r w:rsidR="008977DC">
        <w:rPr>
          <w:rFonts w:eastAsia="Calibri" w:cs="Calibri"/>
          <w:i/>
          <w:iCs/>
        </w:rPr>
        <w:t>5</w:t>
      </w:r>
      <w:r w:rsidRPr="00810551">
        <w:rPr>
          <w:rFonts w:eastAsia="Calibri" w:cs="Calibri"/>
          <w:i/>
          <w:iCs/>
        </w:rPr>
        <w:t xml:space="preserve"> au 31 décembre 202</w:t>
      </w:r>
      <w:r w:rsidR="008977DC">
        <w:rPr>
          <w:rFonts w:eastAsia="Calibri" w:cs="Calibri"/>
          <w:i/>
          <w:iCs/>
        </w:rPr>
        <w:t>5</w:t>
      </w:r>
      <w:r w:rsidRPr="00810551">
        <w:rPr>
          <w:rFonts w:eastAsia="Calibri" w:cs="Calibri"/>
          <w:i/>
          <w:iCs/>
        </w:rPr>
        <w:t xml:space="preserve">, ont été effectuées par les commissaires aux comptes dont les rapports sont disponibles à l’adresse suivante : </w:t>
      </w:r>
      <w:hyperlink r:id="rId15" w:history="1">
        <w:r w:rsidRPr="00810551">
          <w:rPr>
            <w:rStyle w:val="Lienhypertexte"/>
            <w:i/>
          </w:rPr>
          <w:t>http://www.agence-france-locale.fr</w:t>
        </w:r>
      </w:hyperlink>
    </w:p>
    <w:p w14:paraId="2FE70FDB" w14:textId="77777777" w:rsidR="00810551" w:rsidRPr="00810551" w:rsidRDefault="00810551" w:rsidP="005D76FE">
      <w:pPr>
        <w:spacing w:before="120" w:after="120"/>
        <w:jc w:val="both"/>
        <w:rPr>
          <w:i/>
        </w:rPr>
      </w:pPr>
      <w:r w:rsidRPr="00810551">
        <w:rPr>
          <w:i/>
        </w:rPr>
        <w:t xml:space="preserve">Ce communiqué contient certaines déclarations de nature prévisionnelle. Bien que le Groupe AFL estime que ces déclarations reposent sur des hypothèses raisonnables à la date de publication du présent communiqué, elles sont par nature soumises à des risques et incertitudes, liés </w:t>
      </w:r>
      <w:r w:rsidRPr="00810551">
        <w:rPr>
          <w:i/>
          <w:iCs/>
        </w:rPr>
        <w:t xml:space="preserve">aux tensions géopolitiques et aux changements de prévisions macroéconomiques et aux évolutions des politiques monétaires, </w:t>
      </w:r>
      <w:r w:rsidRPr="00810551">
        <w:rPr>
          <w:i/>
        </w:rPr>
        <w:t>pouvant donner lieu à un écart entre les chiffres réels et ceux indiqués ou induits dans ces déclarations.</w:t>
      </w:r>
    </w:p>
    <w:p w14:paraId="4E58134F" w14:textId="77777777" w:rsidR="00810551" w:rsidRPr="007741E8" w:rsidRDefault="00810551" w:rsidP="00810551"/>
    <w:p w14:paraId="23E993DE" w14:textId="4852A647" w:rsidR="00810551" w:rsidRDefault="00810551" w:rsidP="00810551">
      <w:pPr>
        <w:pBdr>
          <w:top w:val="single" w:sz="4" w:space="1" w:color="auto"/>
          <w:left w:val="single" w:sz="4" w:space="1" w:color="auto"/>
          <w:bottom w:val="single" w:sz="4" w:space="1" w:color="auto"/>
          <w:right w:val="single" w:sz="4" w:space="1" w:color="auto"/>
        </w:pBdr>
        <w:spacing w:after="120"/>
        <w:ind w:right="-142"/>
        <w:jc w:val="center"/>
      </w:pPr>
      <w:r w:rsidRPr="689C6517">
        <w:rPr>
          <w:rFonts w:cs="Gotham Book"/>
        </w:rPr>
        <w:t xml:space="preserve"> L’information financière du Groupe AFL pour l’année </w:t>
      </w:r>
      <w:r w:rsidRPr="3F717A81">
        <w:rPr>
          <w:rFonts w:cs="Gotham Book"/>
        </w:rPr>
        <w:t>202</w:t>
      </w:r>
      <w:r>
        <w:rPr>
          <w:rFonts w:cs="Gotham Book"/>
        </w:rPr>
        <w:t>5</w:t>
      </w:r>
      <w:r w:rsidRPr="689C6517">
        <w:rPr>
          <w:rFonts w:cs="Gotham Book"/>
        </w:rPr>
        <w:t xml:space="preserve"> est composée du présent communiqué complété du rapport disponible sur le site </w:t>
      </w:r>
      <w:r>
        <w:t xml:space="preserve">: </w:t>
      </w:r>
      <w:hyperlink r:id="rId16" w:history="1">
        <w:r w:rsidR="00E77201" w:rsidRPr="00736081">
          <w:rPr>
            <w:rStyle w:val="Lienhypertexte"/>
          </w:rPr>
          <w:t>ici</w:t>
        </w:r>
      </w:hyperlink>
      <w:r w:rsidR="00E77201">
        <w:t>.</w:t>
      </w:r>
    </w:p>
    <w:p w14:paraId="621D7728" w14:textId="791BEA2A" w:rsidR="00985A59" w:rsidRDefault="00985A59" w:rsidP="008977DC">
      <w:pPr>
        <w:tabs>
          <w:tab w:val="left" w:pos="1140"/>
        </w:tabs>
        <w:spacing w:line="276" w:lineRule="auto"/>
        <w:jc w:val="both"/>
        <w:rPr>
          <w:rFonts w:ascii="Antipasto" w:hAnsi="Antipasto"/>
          <w:b/>
          <w:bCs/>
          <w:i/>
          <w:iCs/>
          <w:color w:val="273780" w:themeColor="text2"/>
          <w:sz w:val="24"/>
          <w:szCs w:val="24"/>
        </w:rPr>
      </w:pPr>
    </w:p>
    <w:p w14:paraId="33533771" w14:textId="1F713218" w:rsidR="009F5901" w:rsidRPr="00B80233" w:rsidRDefault="009F5901" w:rsidP="009F5901">
      <w:pPr>
        <w:spacing w:line="276" w:lineRule="auto"/>
        <w:jc w:val="both"/>
        <w:rPr>
          <w:rFonts w:cs="Arial"/>
          <w:i/>
          <w:iCs/>
        </w:rPr>
      </w:pPr>
      <w:r w:rsidRPr="1339FCD8">
        <w:rPr>
          <w:rFonts w:ascii="Antipasto" w:hAnsi="Antipasto"/>
          <w:b/>
          <w:bCs/>
          <w:i/>
          <w:iCs/>
          <w:color w:val="273780" w:themeColor="text2"/>
          <w:sz w:val="24"/>
          <w:szCs w:val="24"/>
        </w:rPr>
        <w:t xml:space="preserve">A propos de l’AFL, la banque des collectivités locales </w:t>
      </w:r>
    </w:p>
    <w:p w14:paraId="1A82C7F0" w14:textId="77777777" w:rsidR="009F5901" w:rsidRPr="0088558B" w:rsidRDefault="009F5901" w:rsidP="009F5901">
      <w:pPr>
        <w:pStyle w:val="Sansinterligne"/>
        <w:jc w:val="both"/>
        <w:rPr>
          <w:rFonts w:ascii="Gotham Bold" w:hAnsi="Gotham Bold"/>
          <w:sz w:val="20"/>
          <w:szCs w:val="20"/>
        </w:rPr>
      </w:pPr>
      <w:r w:rsidRPr="0088558B">
        <w:rPr>
          <w:rFonts w:ascii="Gotham Bold" w:hAnsi="Gotham Bold"/>
          <w:sz w:val="20"/>
          <w:szCs w:val="20"/>
        </w:rPr>
        <w:t>« </w:t>
      </w:r>
      <w:r w:rsidRPr="0088558B">
        <w:rPr>
          <w:rFonts w:ascii="Gotham Bold" w:hAnsi="Gotham Bold"/>
          <w:i/>
          <w:iCs/>
          <w:sz w:val="20"/>
          <w:szCs w:val="20"/>
        </w:rPr>
        <w:t>Incarner une finance responsable pour renforcer le pouvoir d’agir du monde local afin de répondre aux besoins présents et futurs des habitants</w:t>
      </w:r>
      <w:r w:rsidRPr="0088558B">
        <w:rPr>
          <w:rFonts w:ascii="Gotham Bold" w:hAnsi="Gotham Bold"/>
          <w:sz w:val="20"/>
          <w:szCs w:val="20"/>
        </w:rPr>
        <w:t xml:space="preserve"> ». </w:t>
      </w:r>
    </w:p>
    <w:p w14:paraId="263D0C85" w14:textId="77777777" w:rsidR="009F5901" w:rsidRDefault="009F5901" w:rsidP="009F5901">
      <w:pPr>
        <w:pStyle w:val="Sansinterligne"/>
        <w:jc w:val="both"/>
        <w:rPr>
          <w:sz w:val="20"/>
          <w:szCs w:val="20"/>
        </w:rPr>
      </w:pPr>
    </w:p>
    <w:p w14:paraId="0F1604FD" w14:textId="4EFF88C5" w:rsidR="009F5901" w:rsidRPr="00736081" w:rsidRDefault="3B7D4B41" w:rsidP="009F5901">
      <w:pPr>
        <w:pStyle w:val="Sansinterligne"/>
        <w:jc w:val="both"/>
        <w:rPr>
          <w:sz w:val="20"/>
          <w:szCs w:val="20"/>
        </w:rPr>
      </w:pPr>
      <w:r w:rsidRPr="00736081">
        <w:rPr>
          <w:sz w:val="20"/>
          <w:szCs w:val="20"/>
        </w:rPr>
        <w:t>Seul</w:t>
      </w:r>
      <w:r w:rsidR="00F1023C" w:rsidRPr="00736081">
        <w:rPr>
          <w:sz w:val="20"/>
          <w:szCs w:val="20"/>
        </w:rPr>
        <w:t xml:space="preserve"> établissement de crédits </w:t>
      </w:r>
      <w:r w:rsidRPr="00736081">
        <w:rPr>
          <w:sz w:val="20"/>
          <w:szCs w:val="20"/>
        </w:rPr>
        <w:t xml:space="preserve">détenue à 100% par les collectivités locales, l’AFL dispose d’un modèle unique et innovant ; celui d’une banque créée par et pour toutes les collectivités. En </w:t>
      </w:r>
      <w:r w:rsidRPr="00736081">
        <w:rPr>
          <w:sz w:val="20"/>
          <w:szCs w:val="20"/>
        </w:rPr>
        <w:lastRenderedPageBreak/>
        <w:t xml:space="preserve">devenant actionnaires de l’AFL, les collectivités accèdent à un financement rapide et sur mesure pour leurs investissements locaux, tout en s’inscrivant dans une démarche de finance durable et responsable. Pour les collectivités, c’est la liberté d’investir, tout en ayant une gestion maîtrisée de leurs finances. Depuis le début de son activité en 2015, l’AFL a déjà octroyé </w:t>
      </w:r>
      <w:r w:rsidR="7E480786" w:rsidRPr="00736081">
        <w:rPr>
          <w:sz w:val="20"/>
          <w:szCs w:val="20"/>
        </w:rPr>
        <w:t>p</w:t>
      </w:r>
      <w:r w:rsidR="00CF4470" w:rsidRPr="00736081">
        <w:rPr>
          <w:sz w:val="20"/>
          <w:szCs w:val="20"/>
        </w:rPr>
        <w:t>rès de 13 m</w:t>
      </w:r>
      <w:r w:rsidRPr="00736081">
        <w:rPr>
          <w:sz w:val="20"/>
          <w:szCs w:val="20"/>
        </w:rPr>
        <w:t>illiards d’euros</w:t>
      </w:r>
      <w:r w:rsidR="00CF4470" w:rsidRPr="00736081">
        <w:rPr>
          <w:sz w:val="20"/>
          <w:szCs w:val="20"/>
        </w:rPr>
        <w:t xml:space="preserve"> de prêts moyen et long terme</w:t>
      </w:r>
      <w:r w:rsidRPr="00736081">
        <w:rPr>
          <w:sz w:val="20"/>
          <w:szCs w:val="20"/>
        </w:rPr>
        <w:t xml:space="preserve">, dont </w:t>
      </w:r>
      <w:r w:rsidR="00CF4470" w:rsidRPr="00736081">
        <w:rPr>
          <w:sz w:val="20"/>
          <w:szCs w:val="20"/>
        </w:rPr>
        <w:t>1,8 m</w:t>
      </w:r>
      <w:r w:rsidRPr="00736081">
        <w:rPr>
          <w:sz w:val="20"/>
          <w:szCs w:val="20"/>
        </w:rPr>
        <w:t>illiards en 202</w:t>
      </w:r>
      <w:r w:rsidR="7E480786" w:rsidRPr="00736081">
        <w:rPr>
          <w:sz w:val="20"/>
          <w:szCs w:val="20"/>
        </w:rPr>
        <w:t>5</w:t>
      </w:r>
      <w:r w:rsidRPr="00736081">
        <w:rPr>
          <w:sz w:val="20"/>
          <w:szCs w:val="20"/>
        </w:rPr>
        <w:t>, et compte aujourd’hui 1</w:t>
      </w:r>
      <w:r w:rsidR="00B04B72" w:rsidRPr="00736081">
        <w:rPr>
          <w:sz w:val="20"/>
          <w:szCs w:val="20"/>
        </w:rPr>
        <w:t xml:space="preserve"> </w:t>
      </w:r>
      <w:r w:rsidRPr="00736081">
        <w:rPr>
          <w:sz w:val="20"/>
          <w:szCs w:val="20"/>
        </w:rPr>
        <w:t>2</w:t>
      </w:r>
      <w:r w:rsidR="7E480786" w:rsidRPr="00736081">
        <w:rPr>
          <w:sz w:val="20"/>
          <w:szCs w:val="20"/>
        </w:rPr>
        <w:t>71</w:t>
      </w:r>
      <w:r w:rsidRPr="00736081">
        <w:rPr>
          <w:sz w:val="20"/>
          <w:szCs w:val="20"/>
        </w:rPr>
        <w:t xml:space="preserve"> actionnaires.</w:t>
      </w:r>
    </w:p>
    <w:p w14:paraId="2C2DB266" w14:textId="61494690" w:rsidR="007D0C70" w:rsidRPr="00736081" w:rsidRDefault="009F5901" w:rsidP="006E3DC8">
      <w:pPr>
        <w:pStyle w:val="Sansinterligne"/>
        <w:jc w:val="both"/>
        <w:rPr>
          <w:sz w:val="20"/>
          <w:szCs w:val="20"/>
        </w:rPr>
      </w:pPr>
      <w:r w:rsidRPr="00736081">
        <w:rPr>
          <w:sz w:val="20"/>
          <w:szCs w:val="20"/>
        </w:rPr>
        <w:br/>
        <w:t xml:space="preserve">Plus d’informations : </w:t>
      </w:r>
      <w:hyperlink r:id="rId17" w:history="1">
        <w:r w:rsidRPr="00736081">
          <w:rPr>
            <w:rStyle w:val="Lienhypertexte"/>
            <w:sz w:val="20"/>
            <w:szCs w:val="20"/>
          </w:rPr>
          <w:t>www.afl-banque.fr</w:t>
        </w:r>
      </w:hyperlink>
      <w:r w:rsidRPr="00736081">
        <w:rPr>
          <w:sz w:val="20"/>
          <w:szCs w:val="20"/>
        </w:rPr>
        <w:t xml:space="preserve"> </w:t>
      </w:r>
    </w:p>
    <w:p w14:paraId="4150AB28" w14:textId="77777777" w:rsidR="0036738B" w:rsidRDefault="0036738B" w:rsidP="006E3DC8">
      <w:pPr>
        <w:pStyle w:val="Sansinterligne"/>
        <w:jc w:val="both"/>
        <w:rPr>
          <w:sz w:val="19"/>
          <w:szCs w:val="19"/>
        </w:rPr>
      </w:pPr>
    </w:p>
    <w:p w14:paraId="28736ADE" w14:textId="77777777" w:rsidR="0036738B" w:rsidRDefault="0036738B" w:rsidP="006E3DC8">
      <w:pPr>
        <w:pStyle w:val="Sansinterligne"/>
        <w:jc w:val="both"/>
        <w:rPr>
          <w:sz w:val="19"/>
          <w:szCs w:val="19"/>
        </w:rPr>
      </w:pPr>
    </w:p>
    <w:p w14:paraId="5DAB35D1" w14:textId="77777777" w:rsidR="0036738B" w:rsidRDefault="0036738B" w:rsidP="006E3DC8">
      <w:pPr>
        <w:pStyle w:val="Sansinterligne"/>
        <w:jc w:val="both"/>
        <w:rPr>
          <w:sz w:val="19"/>
          <w:szCs w:val="19"/>
        </w:rPr>
      </w:pPr>
    </w:p>
    <w:p w14:paraId="2C6E0868" w14:textId="3F2E99A3" w:rsidR="0036738B" w:rsidRPr="00FF5F48" w:rsidRDefault="0036738B" w:rsidP="0036738B">
      <w:pPr>
        <w:pStyle w:val="Pieddepage"/>
        <w:jc w:val="center"/>
        <w:rPr>
          <w:rFonts w:ascii="Antipasto" w:hAnsi="Antipasto"/>
          <w:b/>
          <w:bCs/>
          <w:color w:val="002060"/>
          <w:sz w:val="24"/>
          <w:szCs w:val="24"/>
        </w:rPr>
      </w:pPr>
      <w:r w:rsidRPr="00FF5F48">
        <w:rPr>
          <w:rFonts w:ascii="Antipasto" w:hAnsi="Antipasto"/>
          <w:b/>
          <w:bCs/>
          <w:color w:val="002060"/>
          <w:sz w:val="24"/>
          <w:szCs w:val="24"/>
        </w:rPr>
        <w:t>Contact presse</w:t>
      </w:r>
    </w:p>
    <w:p w14:paraId="14455167" w14:textId="79C8E066" w:rsidR="0036738B" w:rsidRPr="00FF5F48" w:rsidRDefault="0036738B" w:rsidP="0036738B">
      <w:pPr>
        <w:pStyle w:val="Pieddepage"/>
        <w:tabs>
          <w:tab w:val="clear" w:pos="4536"/>
        </w:tabs>
        <w:jc w:val="center"/>
        <w:rPr>
          <w:rFonts w:ascii="Antipasto" w:hAnsi="Antipasto"/>
          <w:sz w:val="24"/>
          <w:szCs w:val="24"/>
        </w:rPr>
      </w:pPr>
      <w:r w:rsidRPr="00FF5F48">
        <w:rPr>
          <w:rFonts w:ascii="Antipasto" w:hAnsi="Antipasto"/>
          <w:sz w:val="24"/>
          <w:szCs w:val="24"/>
        </w:rPr>
        <w:t>Justine GUIGUES – Chargée des relations presse</w:t>
      </w:r>
    </w:p>
    <w:p w14:paraId="4250AB2B" w14:textId="77777777" w:rsidR="0036738B" w:rsidRPr="00FF5F48" w:rsidRDefault="0036738B" w:rsidP="0036738B">
      <w:pPr>
        <w:pStyle w:val="Pieddepage"/>
        <w:jc w:val="center"/>
        <w:rPr>
          <w:rFonts w:ascii="Antipasto" w:hAnsi="Antipasto"/>
          <w:sz w:val="24"/>
          <w:szCs w:val="24"/>
        </w:rPr>
      </w:pPr>
      <w:hyperlink r:id="rId18" w:history="1">
        <w:r w:rsidRPr="00FF5F48">
          <w:rPr>
            <w:rStyle w:val="Lienhypertexte"/>
            <w:rFonts w:ascii="Antipasto" w:hAnsi="Antipasto"/>
            <w:sz w:val="24"/>
            <w:szCs w:val="24"/>
          </w:rPr>
          <w:t>justine.guigues@afl-banque.fr</w:t>
        </w:r>
      </w:hyperlink>
      <w:r w:rsidRPr="00FF5F48">
        <w:rPr>
          <w:rFonts w:ascii="Antipasto" w:hAnsi="Antipasto"/>
          <w:sz w:val="24"/>
          <w:szCs w:val="24"/>
        </w:rPr>
        <w:t xml:space="preserve"> – 06 74 94 29 66</w:t>
      </w:r>
    </w:p>
    <w:p w14:paraId="09E8360B" w14:textId="7C48BF1E" w:rsidR="00DF0519" w:rsidRDefault="00DF0519" w:rsidP="006E3DC8">
      <w:pPr>
        <w:pStyle w:val="Sansinterligne"/>
        <w:jc w:val="both"/>
        <w:rPr>
          <w:sz w:val="19"/>
          <w:szCs w:val="19"/>
        </w:rPr>
      </w:pPr>
    </w:p>
    <w:p w14:paraId="009F59E8" w14:textId="77777777" w:rsidR="0036738B" w:rsidRPr="006E3DC8" w:rsidRDefault="0036738B" w:rsidP="00401883">
      <w:pPr>
        <w:suppressAutoHyphens w:val="0"/>
        <w:rPr>
          <w:sz w:val="19"/>
          <w:szCs w:val="19"/>
        </w:rPr>
      </w:pPr>
    </w:p>
    <w:sectPr w:rsidR="0036738B" w:rsidRPr="006E3DC8" w:rsidSect="00DF0519">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57059" w14:textId="77777777" w:rsidR="00EB6EA4" w:rsidRDefault="00EB6EA4">
      <w:pPr>
        <w:spacing w:after="0"/>
      </w:pPr>
      <w:r>
        <w:separator/>
      </w:r>
    </w:p>
  </w:endnote>
  <w:endnote w:type="continuationSeparator" w:id="0">
    <w:p w14:paraId="3860D2DB" w14:textId="77777777" w:rsidR="00EB6EA4" w:rsidRDefault="00EB6EA4">
      <w:pPr>
        <w:spacing w:after="0"/>
      </w:pPr>
      <w:r>
        <w:continuationSeparator/>
      </w:r>
    </w:p>
  </w:endnote>
  <w:endnote w:type="continuationNotice" w:id="1">
    <w:p w14:paraId="2DEDA9B2" w14:textId="77777777" w:rsidR="00EB6EA4" w:rsidRDefault="00EB6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panose1 w:val="00000000000000000000"/>
    <w:charset w:val="00"/>
    <w:family w:val="modern"/>
    <w:notTrueType/>
    <w:pitch w:val="variable"/>
    <w:sig w:usb0="A00002FF" w:usb1="40000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otham Bold">
    <w:panose1 w:val="00000000000000000000"/>
    <w:charset w:val="00"/>
    <w:family w:val="modern"/>
    <w:notTrueType/>
    <w:pitch w:val="variable"/>
    <w:sig w:usb0="A00002FF" w:usb1="4000005B" w:usb2="00000000" w:usb3="00000000" w:csb0="0000009F" w:csb1="00000000"/>
  </w:font>
  <w:font w:name="Antipasto">
    <w:panose1 w:val="02000506000000020004"/>
    <w:charset w:val="00"/>
    <w:family w:val="auto"/>
    <w:pitch w:val="variable"/>
    <w:sig w:usb0="800000AF" w:usb1="4000004A" w:usb2="00000000" w:usb3="00000000" w:csb0="00000093"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CC9D7" w14:textId="43CFBCBD" w:rsidR="00C46162" w:rsidRDefault="00C46162">
    <w:pPr>
      <w:pStyle w:val="Pieddepage"/>
    </w:pPr>
    <w:r>
      <w:rPr>
        <w:noProof/>
      </w:rPr>
      <mc:AlternateContent>
        <mc:Choice Requires="wps">
          <w:drawing>
            <wp:anchor distT="0" distB="0" distL="0" distR="0" simplePos="0" relativeHeight="251658240" behindDoc="0" locked="0" layoutInCell="1" allowOverlap="1" wp14:anchorId="13887EB9" wp14:editId="2883BEC7">
              <wp:simplePos x="635" y="635"/>
              <wp:positionH relativeFrom="page">
                <wp:align>right</wp:align>
              </wp:positionH>
              <wp:positionV relativeFrom="page">
                <wp:align>bottom</wp:align>
              </wp:positionV>
              <wp:extent cx="1424940" cy="345440"/>
              <wp:effectExtent l="0" t="0" r="0" b="0"/>
              <wp:wrapNone/>
              <wp:docPr id="713359172" name="Zone de texte 2"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24940" cy="345440"/>
                      </a:xfrm>
                      <a:prstGeom prst="rect">
                        <a:avLst/>
                      </a:prstGeom>
                      <a:noFill/>
                      <a:ln>
                        <a:noFill/>
                      </a:ln>
                    </wps:spPr>
                    <wps:txbx>
                      <w:txbxContent>
                        <w:p w14:paraId="393996EE" w14:textId="716002D2" w:rsidR="00C46162" w:rsidRPr="00C46162" w:rsidRDefault="00C46162" w:rsidP="00C46162">
                          <w:pPr>
                            <w:spacing w:after="0"/>
                            <w:rPr>
                              <w:rFonts w:ascii="Calibri" w:eastAsia="Calibri" w:hAnsi="Calibri" w:cs="Calibri"/>
                              <w:noProof/>
                              <w:color w:val="0078D7"/>
                              <w:sz w:val="20"/>
                              <w:szCs w:val="20"/>
                            </w:rPr>
                          </w:pPr>
                          <w:r w:rsidRPr="00C46162">
                            <w:rPr>
                              <w:rFonts w:ascii="Calibri" w:eastAsia="Calibri" w:hAnsi="Calibri" w:cs="Calibri"/>
                              <w:noProof/>
                              <w:color w:val="0078D7"/>
                              <w:sz w:val="20"/>
                              <w:szCs w:val="20"/>
                            </w:rPr>
                            <w:t>Classification : Internal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887EB9" id="_x0000_t202" coordsize="21600,21600" o:spt="202" path="m,l,21600r21600,l21600,xe">
              <v:stroke joinstyle="miter"/>
              <v:path gradientshapeok="t" o:connecttype="rect"/>
            </v:shapetype>
            <v:shape id="Zone de texte 2" o:spid="_x0000_s1027" type="#_x0000_t202" alt="Classification : Internal" style="position:absolute;margin-left:61pt;margin-top:0;width:112.2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" filled="f" stroked="f">
              <v:textbox style="mso-fit-shape-to-text:t" inset="0,0,20pt,15pt">
                <w:txbxContent>
                  <w:p w14:paraId="393996EE" w14:textId="716002D2" w:rsidR="00C46162" w:rsidRPr="00C46162" w:rsidRDefault="00C46162" w:rsidP="00C46162">
                    <w:pPr>
                      <w:spacing w:after="0"/>
                      <w:rPr>
                        <w:rFonts w:ascii="Calibri" w:eastAsia="Calibri" w:hAnsi="Calibri" w:cs="Calibri"/>
                        <w:noProof/>
                        <w:color w:val="0078D7"/>
                        <w:sz w:val="20"/>
                        <w:szCs w:val="20"/>
                      </w:rPr>
                    </w:pPr>
                    <w:r w:rsidRPr="00C46162">
                      <w:rPr>
                        <w:rFonts w:ascii="Calibri" w:eastAsia="Calibri" w:hAnsi="Calibri" w:cs="Calibri"/>
                        <w:noProof/>
                        <w:color w:val="0078D7"/>
                        <w:sz w:val="20"/>
                        <w:szCs w:val="20"/>
                      </w:rPr>
                      <w:t>Classification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84777" w14:textId="2C55DD7C" w:rsidR="001125B7" w:rsidRDefault="001125B7">
    <w:pPr>
      <w:pStyle w:val="Pieddepage"/>
    </w:pPr>
  </w:p>
  <w:p w14:paraId="12FC626F" w14:textId="751EB509" w:rsidR="00F52B06" w:rsidRDefault="00D31052" w:rsidP="00F52B06">
    <w:pPr>
      <w:pStyle w:val="Pieddepage"/>
    </w:pPr>
    <w:r>
      <w:rPr>
        <w:noProof/>
        <w14:ligatures w14:val="standardContextual"/>
      </w:rPr>
      <mc:AlternateContent>
        <mc:Choice Requires="wps">
          <w:drawing>
            <wp:anchor distT="0" distB="0" distL="114300" distR="114300" simplePos="0" relativeHeight="251658245" behindDoc="0" locked="0" layoutInCell="1" allowOverlap="1" wp14:anchorId="432D5E89" wp14:editId="613AA47E">
              <wp:simplePos x="0" y="0"/>
              <wp:positionH relativeFrom="margin">
                <wp:align>left</wp:align>
              </wp:positionH>
              <wp:positionV relativeFrom="paragraph">
                <wp:posOffset>58024</wp:posOffset>
              </wp:positionV>
              <wp:extent cx="1276937" cy="0"/>
              <wp:effectExtent l="0" t="0" r="0" b="0"/>
              <wp:wrapNone/>
              <wp:docPr id="815244562" name="Connecteur droit 3"/>
              <wp:cNvGraphicFramePr/>
              <a:graphic xmlns:a="http://schemas.openxmlformats.org/drawingml/2006/main">
                <a:graphicData uri="http://schemas.microsoft.com/office/word/2010/wordprocessingShape">
                  <wps:wsp>
                    <wps:cNvCnPr/>
                    <wps:spPr>
                      <a:xfrm>
                        <a:off x="0" y="0"/>
                        <a:ext cx="1276937"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3331F8DC">
            <v:line id="Connecteur droit 3" style="position:absolute;z-index:251666437;visibility:visible;mso-wrap-style:square;mso-wrap-distance-left:9pt;mso-wrap-distance-top:0;mso-wrap-distance-right:9pt;mso-wrap-distance-bottom:0;mso-position-horizontal:left;mso-position-horizontal-relative:margin;mso-position-vertical:absolute;mso-position-vertical-relative:text" o:spid="_x0000_s1026" strokecolor="red" strokeweight="1.5pt" from="0,4.55pt" to="100.55pt,4.55pt" w14:anchorId="7E97F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">
              <v:stroke joinstyle="miter"/>
              <w10:wrap anchorx="margin"/>
            </v:line>
          </w:pict>
        </mc:Fallback>
      </mc:AlternateContent>
    </w:r>
  </w:p>
  <w:p w14:paraId="77590860" w14:textId="3EFD9083" w:rsidR="00F52B06" w:rsidRPr="00D31052" w:rsidRDefault="00F52B06" w:rsidP="00F52B06">
    <w:pPr>
      <w:pStyle w:val="Pieddepage"/>
      <w:rPr>
        <w:rFonts w:ascii="Gotham Bold" w:hAnsi="Gotham Bold"/>
        <w:color w:val="39A9E5" w:themeColor="accent1"/>
        <w:sz w:val="20"/>
        <w:szCs w:val="20"/>
      </w:rPr>
    </w:pPr>
    <w:r w:rsidRPr="00D31052">
      <w:rPr>
        <w:rFonts w:ascii="Gotham Bold" w:hAnsi="Gotham Bold"/>
        <w:color w:val="39A9E5" w:themeColor="accent1"/>
        <w:sz w:val="20"/>
        <w:szCs w:val="20"/>
      </w:rPr>
      <w:t xml:space="preserve">Contact presse </w:t>
    </w:r>
  </w:p>
  <w:p w14:paraId="2DA332BA" w14:textId="62FB4EBE" w:rsidR="00F52B06" w:rsidRPr="00D31052" w:rsidRDefault="005D561C" w:rsidP="00F52B06">
    <w:pPr>
      <w:pStyle w:val="Pieddepage"/>
      <w:tabs>
        <w:tab w:val="clear" w:pos="4536"/>
      </w:tabs>
      <w:rPr>
        <w:sz w:val="20"/>
        <w:szCs w:val="20"/>
      </w:rPr>
    </w:pPr>
    <w:r w:rsidRPr="00D31052">
      <w:rPr>
        <w:i/>
        <w:iCs/>
        <w:noProof/>
        <w:color w:val="273780" w:themeColor="text2"/>
      </w:rPr>
      <mc:AlternateContent>
        <mc:Choice Requires="wps">
          <w:drawing>
            <wp:anchor distT="0" distB="0" distL="114300" distR="114300" simplePos="0" relativeHeight="251658243" behindDoc="0" locked="0" layoutInCell="1" allowOverlap="1" wp14:anchorId="6088F40E" wp14:editId="21C56B90">
              <wp:simplePos x="0" y="0"/>
              <wp:positionH relativeFrom="page">
                <wp:posOffset>4534876</wp:posOffset>
              </wp:positionH>
              <wp:positionV relativeFrom="paragraph">
                <wp:posOffset>77160</wp:posOffset>
              </wp:positionV>
              <wp:extent cx="4246179" cy="4246179"/>
              <wp:effectExtent l="266700" t="266700" r="269240" b="707390"/>
              <wp:wrapNone/>
              <wp:docPr id="543300065" name="Larme 6"/>
              <wp:cNvGraphicFramePr/>
              <a:graphic xmlns:a="http://schemas.openxmlformats.org/drawingml/2006/main">
                <a:graphicData uri="http://schemas.microsoft.com/office/word/2010/wordprocessingShape">
                  <wps:wsp>
                    <wps:cNvSpPr/>
                    <wps:spPr>
                      <a:xfrm rot="6122108">
                        <a:off x="0" y="0"/>
                        <a:ext cx="4246179" cy="4246179"/>
                      </a:xfrm>
                      <a:prstGeom prst="teardrop">
                        <a:avLst/>
                      </a:prstGeom>
                      <a:solidFill>
                        <a:schemeClr val="bg1"/>
                      </a:solidFill>
                      <a:ln w="504825">
                        <a:solidFill>
                          <a:schemeClr val="tx2">
                            <a:lumMod val="20000"/>
                            <a:lumOff val="80000"/>
                            <a:alpha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0C7EBF28">
            <v:shape id="Larme 6" style="position:absolute;margin-left:357.1pt;margin-top:6.1pt;width:334.35pt;height:334.35pt;rotation:6686974fd;z-index:251663365;visibility:visible;mso-wrap-style:square;mso-wrap-distance-left:9pt;mso-wrap-distance-top:0;mso-wrap-distance-right:9pt;mso-wrap-distance-bottom:0;mso-position-horizontal:absolute;mso-position-horizontal-relative:page;mso-position-vertical:absolute;mso-position-vertical-relative:text;v-text-anchor:middle" coordsize="4246179,4246179" o:spid="_x0000_s1026" fillcolor="white [3212]" strokecolor="#cad0ef [671]" strokeweight="39.75pt" path="m,2123090c,950540,950540,,2123090,l4246179,r,2123090c4246179,3295640,3295639,4246180,2123089,4246180,950539,4246180,-1,3295640,-1,2123090r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" w14:anchorId="0B0F36E7">
              <v:stroke opacity="32896f" joinstyle="miter"/>
              <v:path arrowok="t" o:connecttype="custom" o:connectlocs="0,2123090;2123090,0;4246179,0;4246179,2123090;2123089,4246180;-1,2123090;0,2123090" o:connectangles="0,0,0,0,0,0,0"/>
              <w10:wrap anchorx="page"/>
            </v:shape>
          </w:pict>
        </mc:Fallback>
      </mc:AlternateContent>
    </w:r>
    <w:r w:rsidR="00F52B06" w:rsidRPr="00D31052">
      <w:rPr>
        <w:color w:val="273780" w:themeColor="text2"/>
        <w:sz w:val="20"/>
        <w:szCs w:val="20"/>
      </w:rPr>
      <w:t>Justine GUIGUES – Chargée des relations presse</w:t>
    </w:r>
    <w:r w:rsidR="00F52B06" w:rsidRPr="00D31052">
      <w:rPr>
        <w:sz w:val="20"/>
        <w:szCs w:val="20"/>
      </w:rPr>
      <w:tab/>
    </w:r>
  </w:p>
  <w:p w14:paraId="7A1A7B91" w14:textId="7A856BBE" w:rsidR="00F52B06" w:rsidRPr="00D31052" w:rsidRDefault="00F52B06" w:rsidP="00F52B06">
    <w:pPr>
      <w:pStyle w:val="Pieddepage"/>
      <w:rPr>
        <w:rFonts w:ascii="Gotham Bold" w:hAnsi="Gotham Bold"/>
        <w:color w:val="303A7D" w:themeColor="background2"/>
        <w:sz w:val="20"/>
        <w:szCs w:val="20"/>
      </w:rPr>
    </w:pPr>
    <w:hyperlink r:id="rId1" w:history="1">
      <w:r w:rsidRPr="00D31052">
        <w:rPr>
          <w:rStyle w:val="Lienhypertexte"/>
          <w:rFonts w:ascii="Gotham Bold" w:hAnsi="Gotham Bold"/>
          <w:color w:val="303A7D" w:themeColor="background2"/>
          <w:sz w:val="20"/>
          <w:szCs w:val="20"/>
        </w:rPr>
        <w:t>justine.guigues@afl-banque.fr</w:t>
      </w:r>
    </w:hyperlink>
    <w:r w:rsidRPr="00D31052">
      <w:rPr>
        <w:rFonts w:ascii="Gotham Bold" w:hAnsi="Gotham Bold"/>
        <w:color w:val="303A7D" w:themeColor="background2"/>
        <w:sz w:val="20"/>
        <w:szCs w:val="20"/>
      </w:rPr>
      <w:t xml:space="preserve"> – 06 74 94 29 66</w:t>
    </w:r>
  </w:p>
  <w:p w14:paraId="536CDC8E" w14:textId="3C92B374" w:rsidR="001125B7" w:rsidRPr="00AE5ABD" w:rsidRDefault="005D561C">
    <w:pPr>
      <w:pStyle w:val="Pieddepage"/>
      <w:rPr>
        <w:sz w:val="24"/>
        <w:szCs w:val="24"/>
      </w:rPr>
    </w:pPr>
    <w:r>
      <w:rPr>
        <w:i/>
        <w:iCs/>
        <w:noProof/>
        <w:color w:val="273780" w:themeColor="text2"/>
      </w:rPr>
      <mc:AlternateContent>
        <mc:Choice Requires="wps">
          <w:drawing>
            <wp:anchor distT="0" distB="0" distL="114300" distR="114300" simplePos="0" relativeHeight="251658244" behindDoc="0" locked="0" layoutInCell="1" allowOverlap="1" wp14:anchorId="1B135553" wp14:editId="2DBC3B78">
              <wp:simplePos x="0" y="0"/>
              <wp:positionH relativeFrom="margin">
                <wp:posOffset>2349338</wp:posOffset>
              </wp:positionH>
              <wp:positionV relativeFrom="paragraph">
                <wp:posOffset>324914</wp:posOffset>
              </wp:positionV>
              <wp:extent cx="3351530" cy="3351530"/>
              <wp:effectExtent l="19050" t="19050" r="20320" b="344170"/>
              <wp:wrapNone/>
              <wp:docPr id="273708063" name="Larme 6"/>
              <wp:cNvGraphicFramePr/>
              <a:graphic xmlns:a="http://schemas.openxmlformats.org/drawingml/2006/main">
                <a:graphicData uri="http://schemas.microsoft.com/office/word/2010/wordprocessingShape">
                  <wps:wsp>
                    <wps:cNvSpPr/>
                    <wps:spPr>
                      <a:xfrm rot="6122108">
                        <a:off x="0" y="0"/>
                        <a:ext cx="3351530" cy="3351530"/>
                      </a:xfrm>
                      <a:prstGeom prst="teardrop">
                        <a:avLst/>
                      </a:prstGeom>
                      <a:noFill/>
                      <a:ln w="28575">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1F1C1846">
            <v:shape id="Larme 6" style="position:absolute;margin-left:185pt;margin-top:25.6pt;width:263.9pt;height:263.9pt;rotation:6686974fd;z-index:2516643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51530,3351530" o:spid="_x0000_s1026" filled="f" strokecolor="#39a9e5 [3205]" strokeweight="2.25pt" path="m,1675765c,750266,750266,,1675765,l3351530,r,1675765c3351530,2601264,2601264,3351530,1675765,3351530,750266,3351530,,2601264,,167576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" w14:anchorId="03F0C233">
              <v:stroke joinstyle="miter"/>
              <v:path arrowok="t" o:connecttype="custom" o:connectlocs="0,1675765;1675765,0;3351530,0;3351530,1675765;1675765,3351530;0,1675765" o:connectangles="0,0,0,0,0,0"/>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ED0AE" w14:textId="08AD0CA9" w:rsidR="00DF0519" w:rsidRDefault="00DF0519" w:rsidP="00DF0519">
    <w:pPr>
      <w:pStyle w:val="Pieddepage"/>
    </w:pPr>
  </w:p>
  <w:p w14:paraId="4C46BAE7" w14:textId="71CB6D82" w:rsidR="00DF0519" w:rsidRPr="00DF0519" w:rsidRDefault="00DF0519" w:rsidP="00DF0519">
    <w:pPr>
      <w:pStyle w:val="Pieddepage"/>
    </w:pPr>
    <w:r>
      <w:rPr>
        <w:noProof/>
        <w14:ligatures w14:val="standardContextual"/>
      </w:rPr>
      <mc:AlternateContent>
        <mc:Choice Requires="wps">
          <w:drawing>
            <wp:anchor distT="0" distB="0" distL="114300" distR="114300" simplePos="0" relativeHeight="251658248" behindDoc="0" locked="0" layoutInCell="1" allowOverlap="1" wp14:anchorId="694DB93D" wp14:editId="192E9628">
              <wp:simplePos x="0" y="0"/>
              <wp:positionH relativeFrom="margin">
                <wp:align>left</wp:align>
              </wp:positionH>
              <wp:positionV relativeFrom="paragraph">
                <wp:posOffset>38100</wp:posOffset>
              </wp:positionV>
              <wp:extent cx="1276937" cy="0"/>
              <wp:effectExtent l="0" t="0" r="0" b="0"/>
              <wp:wrapNone/>
              <wp:docPr id="1261544421" name="Connecteur droit 3"/>
              <wp:cNvGraphicFramePr/>
              <a:graphic xmlns:a="http://schemas.openxmlformats.org/drawingml/2006/main">
                <a:graphicData uri="http://schemas.microsoft.com/office/word/2010/wordprocessingShape">
                  <wps:wsp>
                    <wps:cNvCnPr/>
                    <wps:spPr>
                      <a:xfrm>
                        <a:off x="0" y="0"/>
                        <a:ext cx="1276937"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05C73556">
            <v:line id="Connecteur droit 3" style="position:absolute;z-index:251674629;visibility:visible;mso-wrap-style:square;mso-wrap-distance-left:9pt;mso-wrap-distance-top:0;mso-wrap-distance-right:9pt;mso-wrap-distance-bottom:0;mso-position-horizontal:left;mso-position-horizontal-relative:margin;mso-position-vertical:absolute;mso-position-vertical-relative:text" o:spid="_x0000_s1026" strokecolor="red" strokeweight="1.5pt" from="0,3pt" to="100.55pt,3pt" w14:anchorId="5F5EA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">
              <v:stroke joinstyle="miter"/>
              <w10:wrap anchorx="margin"/>
            </v:line>
          </w:pict>
        </mc:Fallback>
      </mc:AlternateContent>
    </w:r>
  </w:p>
  <w:p w14:paraId="65BCED8F" w14:textId="53052466" w:rsidR="00DF0519" w:rsidRPr="00D31052" w:rsidRDefault="00DF0519" w:rsidP="00DF0519">
    <w:pPr>
      <w:pStyle w:val="Pieddepage"/>
      <w:rPr>
        <w:rFonts w:ascii="Gotham Bold" w:hAnsi="Gotham Bold"/>
        <w:color w:val="39A9E5" w:themeColor="accent1"/>
        <w:sz w:val="20"/>
        <w:szCs w:val="20"/>
      </w:rPr>
    </w:pPr>
    <w:r w:rsidRPr="00D31052">
      <w:rPr>
        <w:rFonts w:ascii="Gotham Bold" w:hAnsi="Gotham Bold"/>
        <w:color w:val="39A9E5" w:themeColor="accent1"/>
        <w:sz w:val="20"/>
        <w:szCs w:val="20"/>
      </w:rPr>
      <w:t xml:space="preserve">Contact presse </w:t>
    </w:r>
  </w:p>
  <w:p w14:paraId="1BF27565" w14:textId="3E18A157" w:rsidR="00DF0519" w:rsidRPr="00D31052" w:rsidRDefault="00DF0519" w:rsidP="00DF0519">
    <w:pPr>
      <w:pStyle w:val="Pieddepage"/>
      <w:tabs>
        <w:tab w:val="clear" w:pos="4536"/>
      </w:tabs>
      <w:rPr>
        <w:sz w:val="20"/>
        <w:szCs w:val="20"/>
      </w:rPr>
    </w:pPr>
    <w:r w:rsidRPr="00D31052">
      <w:rPr>
        <w:i/>
        <w:iCs/>
        <w:noProof/>
        <w:color w:val="273780" w:themeColor="text2"/>
      </w:rPr>
      <mc:AlternateContent>
        <mc:Choice Requires="wps">
          <w:drawing>
            <wp:anchor distT="0" distB="0" distL="114300" distR="114300" simplePos="0" relativeHeight="251658246" behindDoc="0" locked="0" layoutInCell="1" allowOverlap="1" wp14:anchorId="06FF174F" wp14:editId="34D5AC06">
              <wp:simplePos x="0" y="0"/>
              <wp:positionH relativeFrom="page">
                <wp:posOffset>4534535</wp:posOffset>
              </wp:positionH>
              <wp:positionV relativeFrom="paragraph">
                <wp:posOffset>124460</wp:posOffset>
              </wp:positionV>
              <wp:extent cx="4246179" cy="4246179"/>
              <wp:effectExtent l="266700" t="266700" r="269240" b="707390"/>
              <wp:wrapNone/>
              <wp:docPr id="857170314" name="Larme 6"/>
              <wp:cNvGraphicFramePr/>
              <a:graphic xmlns:a="http://schemas.openxmlformats.org/drawingml/2006/main">
                <a:graphicData uri="http://schemas.microsoft.com/office/word/2010/wordprocessingShape">
                  <wps:wsp>
                    <wps:cNvSpPr/>
                    <wps:spPr>
                      <a:xfrm rot="6122108">
                        <a:off x="0" y="0"/>
                        <a:ext cx="4246179" cy="4246179"/>
                      </a:xfrm>
                      <a:prstGeom prst="teardrop">
                        <a:avLst/>
                      </a:prstGeom>
                      <a:solidFill>
                        <a:schemeClr val="bg1"/>
                      </a:solidFill>
                      <a:ln w="504825">
                        <a:solidFill>
                          <a:schemeClr val="tx2">
                            <a:lumMod val="20000"/>
                            <a:lumOff val="80000"/>
                            <a:alpha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53D511A1">
            <v:shape id="Larme 6" style="position:absolute;margin-left:357.05pt;margin-top:9.8pt;width:334.35pt;height:334.35pt;rotation:6686974fd;z-index:251671557;visibility:visible;mso-wrap-style:square;mso-wrap-distance-left:9pt;mso-wrap-distance-top:0;mso-wrap-distance-right:9pt;mso-wrap-distance-bottom:0;mso-position-horizontal:absolute;mso-position-horizontal-relative:page;mso-position-vertical:absolute;mso-position-vertical-relative:text;v-text-anchor:middle" coordsize="4246179,4246179" o:spid="_x0000_s1026" fillcolor="white [3212]" strokecolor="#cad0ef [671]" strokeweight="39.75pt" path="m,2123090c,950540,950540,,2123090,l4246179,r,2123090c4246179,3295640,3295639,4246180,2123089,4246180,950539,4246180,-1,3295640,-1,2123090r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" w14:anchorId="14D1F92C">
              <v:stroke opacity="32896f" joinstyle="miter"/>
              <v:path arrowok="t" o:connecttype="custom" o:connectlocs="0,2123090;2123090,0;4246179,0;4246179,2123090;2123089,4246180;-1,2123090;0,2123090" o:connectangles="0,0,0,0,0,0,0"/>
              <w10:wrap anchorx="page"/>
            </v:shape>
          </w:pict>
        </mc:Fallback>
      </mc:AlternateContent>
    </w:r>
    <w:r w:rsidRPr="00D31052">
      <w:rPr>
        <w:color w:val="273780" w:themeColor="text2"/>
        <w:sz w:val="20"/>
        <w:szCs w:val="20"/>
      </w:rPr>
      <w:t>Justine GUIGUES – Chargée des relations presse</w:t>
    </w:r>
    <w:r w:rsidRPr="00D31052">
      <w:rPr>
        <w:sz w:val="20"/>
        <w:szCs w:val="20"/>
      </w:rPr>
      <w:tab/>
    </w:r>
  </w:p>
  <w:p w14:paraId="56F16D68" w14:textId="78808804" w:rsidR="00DF0519" w:rsidRPr="00DF0519" w:rsidRDefault="00DF0519" w:rsidP="00DF0519">
    <w:pPr>
      <w:pStyle w:val="Pieddepage"/>
      <w:rPr>
        <w:rFonts w:ascii="Gotham Bold" w:hAnsi="Gotham Bold"/>
        <w:color w:val="303A7D" w:themeColor="background2"/>
        <w:sz w:val="20"/>
        <w:szCs w:val="20"/>
      </w:rPr>
    </w:pPr>
    <w:hyperlink r:id="rId1" w:history="1">
      <w:r w:rsidRPr="00D31052">
        <w:rPr>
          <w:rStyle w:val="Lienhypertexte"/>
          <w:rFonts w:ascii="Gotham Bold" w:hAnsi="Gotham Bold"/>
          <w:color w:val="303A7D" w:themeColor="background2"/>
          <w:sz w:val="20"/>
          <w:szCs w:val="20"/>
        </w:rPr>
        <w:t>justine.guigues@afl-banque.fr</w:t>
      </w:r>
    </w:hyperlink>
    <w:r w:rsidRPr="00D31052">
      <w:rPr>
        <w:rFonts w:ascii="Gotham Bold" w:hAnsi="Gotham Bold"/>
        <w:color w:val="303A7D" w:themeColor="background2"/>
        <w:sz w:val="20"/>
        <w:szCs w:val="20"/>
      </w:rPr>
      <w:t xml:space="preserve"> – 06 74 94 29 66</w:t>
    </w:r>
  </w:p>
  <w:p w14:paraId="4DAC8AB0" w14:textId="75EF05A0" w:rsidR="00C46162" w:rsidRDefault="003236EF">
    <w:pPr>
      <w:pStyle w:val="Pieddepage"/>
    </w:pPr>
    <w:r>
      <w:rPr>
        <w:i/>
        <w:iCs/>
        <w:noProof/>
        <w:color w:val="273780" w:themeColor="text2"/>
      </w:rPr>
      <mc:AlternateContent>
        <mc:Choice Requires="wps">
          <w:drawing>
            <wp:anchor distT="0" distB="0" distL="114300" distR="114300" simplePos="0" relativeHeight="251658247" behindDoc="0" locked="0" layoutInCell="1" allowOverlap="1" wp14:anchorId="14F9C749" wp14:editId="5E1277B1">
              <wp:simplePos x="0" y="0"/>
              <wp:positionH relativeFrom="margin">
                <wp:posOffset>2310765</wp:posOffset>
              </wp:positionH>
              <wp:positionV relativeFrom="paragraph">
                <wp:posOffset>324485</wp:posOffset>
              </wp:positionV>
              <wp:extent cx="3351530" cy="3351530"/>
              <wp:effectExtent l="19050" t="19050" r="20320" b="344170"/>
              <wp:wrapNone/>
              <wp:docPr id="450031785" name="Larme 6"/>
              <wp:cNvGraphicFramePr/>
              <a:graphic xmlns:a="http://schemas.openxmlformats.org/drawingml/2006/main">
                <a:graphicData uri="http://schemas.microsoft.com/office/word/2010/wordprocessingShape">
                  <wps:wsp>
                    <wps:cNvSpPr/>
                    <wps:spPr>
                      <a:xfrm rot="6122108">
                        <a:off x="0" y="0"/>
                        <a:ext cx="3351530" cy="3351530"/>
                      </a:xfrm>
                      <a:prstGeom prst="teardrop">
                        <a:avLst/>
                      </a:prstGeom>
                      <a:noFill/>
                      <a:ln w="28575">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6CB85052">
            <v:shape id="Larme 6" style="position:absolute;margin-left:181.95pt;margin-top:25.55pt;width:263.9pt;height:263.9pt;rotation:6686974fd;z-index:25167258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51530,3351530" o:spid="_x0000_s1026" filled="f" strokecolor="#39a9e5 [3205]" strokeweight="2.25pt" path="m,1675765c,750266,750266,,1675765,l3351530,r,1675765c3351530,2601264,2601264,3351530,1675765,3351530,750266,3351530,,2601264,,167576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" w14:anchorId="78A7037F">
              <v:stroke joinstyle="miter"/>
              <v:path arrowok="t" o:connecttype="custom" o:connectlocs="0,1675765;1675765,0;3351530,0;3351530,1675765;1675765,3351530;0,1675765" o:connectangles="0,0,0,0,0,0"/>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2B57" w14:textId="77777777" w:rsidR="00EB6EA4" w:rsidRDefault="00EB6EA4">
      <w:pPr>
        <w:spacing w:after="0"/>
      </w:pPr>
      <w:r>
        <w:rPr>
          <w:color w:val="000000"/>
        </w:rPr>
        <w:separator/>
      </w:r>
    </w:p>
  </w:footnote>
  <w:footnote w:type="continuationSeparator" w:id="0">
    <w:p w14:paraId="4E06E3EE" w14:textId="77777777" w:rsidR="00EB6EA4" w:rsidRDefault="00EB6EA4">
      <w:pPr>
        <w:spacing w:after="0"/>
      </w:pPr>
      <w:r>
        <w:continuationSeparator/>
      </w:r>
    </w:p>
  </w:footnote>
  <w:footnote w:type="continuationNotice" w:id="1">
    <w:p w14:paraId="6754F35D" w14:textId="77777777" w:rsidR="00EB6EA4" w:rsidRDefault="00EB6EA4">
      <w:pPr>
        <w:spacing w:after="0"/>
      </w:pPr>
    </w:p>
  </w:footnote>
  <w:footnote w:id="2">
    <w:p w14:paraId="401F50C6" w14:textId="354F7F68" w:rsidR="007970FA" w:rsidRPr="00880084" w:rsidRDefault="007970FA" w:rsidP="004649C0">
      <w:pPr>
        <w:pStyle w:val="Notedebasdepage"/>
        <w:jc w:val="both"/>
        <w:rPr>
          <w:sz w:val="18"/>
          <w:szCs w:val="18"/>
        </w:rPr>
      </w:pPr>
      <w:r w:rsidRPr="00880084">
        <w:rPr>
          <w:rStyle w:val="Appelnotedebasdep"/>
          <w:sz w:val="18"/>
          <w:szCs w:val="18"/>
        </w:rPr>
        <w:footnoteRef/>
      </w:r>
      <w:r w:rsidRPr="00880084">
        <w:rPr>
          <w:sz w:val="18"/>
          <w:szCs w:val="18"/>
        </w:rPr>
        <w:t xml:space="preserve"> </w:t>
      </w:r>
      <w:r w:rsidR="004C5C25" w:rsidRPr="004C5C25">
        <w:rPr>
          <w:sz w:val="18"/>
          <w:szCs w:val="18"/>
        </w:rPr>
        <w:t>Le Groupe AFL est constitué de la Société Territoriale (ST)</w:t>
      </w:r>
      <w:r w:rsidR="00144492">
        <w:rPr>
          <w:sz w:val="18"/>
          <w:szCs w:val="18"/>
        </w:rPr>
        <w:t xml:space="preserve">, </w:t>
      </w:r>
      <w:r w:rsidR="004D25D9">
        <w:rPr>
          <w:sz w:val="18"/>
          <w:szCs w:val="18"/>
        </w:rPr>
        <w:t>de</w:t>
      </w:r>
      <w:r w:rsidR="004C5C25" w:rsidRPr="004C5C25">
        <w:rPr>
          <w:sz w:val="18"/>
          <w:szCs w:val="18"/>
        </w:rPr>
        <w:t xml:space="preserve"> l’Agence France Locale (AFL)</w:t>
      </w:r>
      <w:r w:rsidR="004D25D9">
        <w:rPr>
          <w:sz w:val="18"/>
          <w:szCs w:val="18"/>
        </w:rPr>
        <w:t xml:space="preserve"> et de Agence France Locale Foncière.</w:t>
      </w:r>
    </w:p>
  </w:footnote>
  <w:footnote w:id="3">
    <w:p w14:paraId="71A0AB50" w14:textId="645B793B" w:rsidR="00144492" w:rsidRPr="00880084" w:rsidRDefault="00144492" w:rsidP="004649C0">
      <w:pPr>
        <w:pStyle w:val="Notedebasdepage"/>
        <w:jc w:val="both"/>
        <w:rPr>
          <w:sz w:val="18"/>
          <w:szCs w:val="18"/>
        </w:rPr>
      </w:pPr>
      <w:r w:rsidRPr="00880084">
        <w:rPr>
          <w:rStyle w:val="Appelnotedebasdep"/>
          <w:sz w:val="18"/>
          <w:szCs w:val="18"/>
        </w:rPr>
        <w:footnoteRef/>
      </w:r>
      <w:r w:rsidRPr="00880084">
        <w:rPr>
          <w:sz w:val="18"/>
          <w:szCs w:val="18"/>
        </w:rPr>
        <w:t xml:space="preserve"> </w:t>
      </w:r>
      <w:r w:rsidRPr="004D25D9">
        <w:rPr>
          <w:sz w:val="18"/>
          <w:szCs w:val="18"/>
        </w:rPr>
        <w:t>L’AFL est constituée de l’Agence France Locale et de Agence France Locale Foncière.</w:t>
      </w:r>
    </w:p>
  </w:footnote>
  <w:footnote w:id="4">
    <w:p w14:paraId="6FE67C44" w14:textId="00D8740B" w:rsidR="00B8664A" w:rsidRPr="00646EC3" w:rsidRDefault="00B8664A" w:rsidP="004649C0">
      <w:pPr>
        <w:pStyle w:val="Notedebasdepage"/>
        <w:jc w:val="both"/>
        <w:rPr>
          <w:sz w:val="18"/>
          <w:szCs w:val="18"/>
        </w:rPr>
      </w:pPr>
      <w:r w:rsidRPr="00646EC3">
        <w:rPr>
          <w:rStyle w:val="Appelnotedebasdep"/>
          <w:sz w:val="18"/>
          <w:szCs w:val="18"/>
        </w:rPr>
        <w:footnoteRef/>
      </w:r>
      <w:r w:rsidRPr="00646EC3">
        <w:rPr>
          <w:sz w:val="18"/>
          <w:szCs w:val="18"/>
        </w:rPr>
        <w:t xml:space="preserve"> Calculé en réintégrant la charge d’intérêts de </w:t>
      </w:r>
      <w:r w:rsidR="00343F38">
        <w:rPr>
          <w:sz w:val="18"/>
          <w:szCs w:val="18"/>
        </w:rPr>
        <w:t>l’</w:t>
      </w:r>
      <w:r w:rsidRPr="00646EC3">
        <w:rPr>
          <w:sz w:val="18"/>
          <w:szCs w:val="18"/>
        </w:rPr>
        <w:t xml:space="preserve">Additional </w:t>
      </w:r>
      <w:r w:rsidR="00343F38">
        <w:rPr>
          <w:sz w:val="18"/>
          <w:szCs w:val="18"/>
        </w:rPr>
        <w:t>Tier 1</w:t>
      </w:r>
      <w:r w:rsidR="00343F38" w:rsidRPr="00646EC3">
        <w:rPr>
          <w:sz w:val="18"/>
          <w:szCs w:val="18"/>
        </w:rPr>
        <w:t xml:space="preserve"> </w:t>
      </w:r>
      <w:r w:rsidRPr="00646EC3">
        <w:rPr>
          <w:sz w:val="18"/>
          <w:szCs w:val="18"/>
        </w:rPr>
        <w:t>dans le produit net bancaire</w:t>
      </w:r>
      <w:r w:rsidR="00CE1222">
        <w:rPr>
          <w:sz w:val="18"/>
          <w:szCs w:val="18"/>
        </w:rPr>
        <w:t xml:space="preserve">, bien que conformément aux normes IFRS, ces intérêts soient </w:t>
      </w:r>
      <w:r w:rsidR="00716A8D">
        <w:rPr>
          <w:sz w:val="18"/>
          <w:szCs w:val="18"/>
        </w:rPr>
        <w:t>directement enregistrés en diminution des capitaux propres sans jamais transiter par le compte de résultat.</w:t>
      </w:r>
      <w:r w:rsidRPr="00646EC3">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6BEC" w14:textId="4257705E" w:rsidR="001125B7" w:rsidRDefault="00E339D6">
    <w:pPr>
      <w:pStyle w:val="En-tte"/>
    </w:pPr>
    <w:r>
      <w:rPr>
        <w:i/>
        <w:iCs/>
        <w:noProof/>
        <w:color w:val="273780" w:themeColor="text2"/>
      </w:rPr>
      <mc:AlternateContent>
        <mc:Choice Requires="wps">
          <w:drawing>
            <wp:anchor distT="0" distB="0" distL="114300" distR="114300" simplePos="0" relativeHeight="251658242" behindDoc="0" locked="0" layoutInCell="1" allowOverlap="1" wp14:anchorId="61687E15" wp14:editId="3D484CCE">
              <wp:simplePos x="0" y="0"/>
              <wp:positionH relativeFrom="margin">
                <wp:posOffset>1679030</wp:posOffset>
              </wp:positionH>
              <wp:positionV relativeFrom="paragraph">
                <wp:posOffset>-3455522</wp:posOffset>
              </wp:positionV>
              <wp:extent cx="3351530" cy="3351530"/>
              <wp:effectExtent l="19050" t="647700" r="20320" b="20320"/>
              <wp:wrapNone/>
              <wp:docPr id="1865235965" name="Larme 6"/>
              <wp:cNvGraphicFramePr/>
              <a:graphic xmlns:a="http://schemas.openxmlformats.org/drawingml/2006/main">
                <a:graphicData uri="http://schemas.microsoft.com/office/word/2010/wordprocessingShape">
                  <wps:wsp>
                    <wps:cNvSpPr/>
                    <wps:spPr>
                      <a:xfrm rot="18063688">
                        <a:off x="0" y="0"/>
                        <a:ext cx="3351530" cy="3351530"/>
                      </a:xfrm>
                      <a:prstGeom prst="teardrop">
                        <a:avLst/>
                      </a:prstGeom>
                      <a:noFill/>
                      <a:ln w="12700">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D8597D4">
            <v:shape id="Larme 6" style="position:absolute;margin-left:132.2pt;margin-top:-272.1pt;width:263.9pt;height:263.9pt;rotation:-3862596fd;z-index:25166131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51530,3351530" o:spid="_x0000_s1026" filled="f" strokecolor="#303a7d [3214]" strokeweight="1pt" path="m,1675765c,750266,750266,,1675765,l3351530,r,1675765c3351530,2601264,2601264,3351530,1675765,3351530,750266,3351530,,2601264,,167576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" w14:anchorId="371B4243">
              <v:stroke joinstyle="miter"/>
              <v:path arrowok="t" o:connecttype="custom" o:connectlocs="0,1675765;1675765,0;3351530,0;3351530,1675765;1675765,3351530;0,1675765" o:connectangles="0,0,0,0,0,0"/>
              <w10:wrap anchorx="margin"/>
            </v:shape>
          </w:pict>
        </mc:Fallback>
      </mc:AlternateContent>
    </w:r>
    <w:r>
      <w:rPr>
        <w:i/>
        <w:iCs/>
        <w:noProof/>
        <w:color w:val="273780" w:themeColor="text2"/>
      </w:rPr>
      <mc:AlternateContent>
        <mc:Choice Requires="wps">
          <w:drawing>
            <wp:anchor distT="0" distB="0" distL="114300" distR="114300" simplePos="0" relativeHeight="251658241" behindDoc="0" locked="0" layoutInCell="1" allowOverlap="1" wp14:anchorId="3CB87276" wp14:editId="19B74458">
              <wp:simplePos x="0" y="0"/>
              <wp:positionH relativeFrom="margin">
                <wp:posOffset>3006370</wp:posOffset>
              </wp:positionH>
              <wp:positionV relativeFrom="paragraph">
                <wp:posOffset>-4067070</wp:posOffset>
              </wp:positionV>
              <wp:extent cx="4245610" cy="4245610"/>
              <wp:effectExtent l="266700" t="1143000" r="269240" b="269240"/>
              <wp:wrapNone/>
              <wp:docPr id="1706959933" name="Larme 6"/>
              <wp:cNvGraphicFramePr/>
              <a:graphic xmlns:a="http://schemas.openxmlformats.org/drawingml/2006/main">
                <a:graphicData uri="http://schemas.microsoft.com/office/word/2010/wordprocessingShape">
                  <wps:wsp>
                    <wps:cNvSpPr/>
                    <wps:spPr>
                      <a:xfrm rot="19775414">
                        <a:off x="0" y="0"/>
                        <a:ext cx="4245610" cy="4245610"/>
                      </a:xfrm>
                      <a:prstGeom prst="teardrop">
                        <a:avLst/>
                      </a:prstGeom>
                      <a:solidFill>
                        <a:schemeClr val="bg1"/>
                      </a:solidFill>
                      <a:ln w="504825">
                        <a:solidFill>
                          <a:schemeClr val="accent1">
                            <a:lumMod val="20000"/>
                            <a:lumOff val="80000"/>
                            <a:alpha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rto="http://schemas.microsoft.com/office/word/2006/arto">
          <w:pict w14:anchorId="06D1427E">
            <v:shape id="Larme 6" style="position:absolute;margin-left:236.7pt;margin-top:-320.25pt;width:334.3pt;height:334.3pt;rotation:-1992934fd;z-index:251660293;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coordsize="4245610,4245610" o:spid="_x0000_s1026" fillcolor="white [3212]" strokecolor="#d7edf9 [660]" strokeweight="39.75pt" path="m,2122805c,950412,950412,,2122805,l4245610,r,2122805c4245610,3295198,3295198,4245610,2122805,4245610,950412,4245610,,3295198,,212280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" w14:anchorId="55A07079">
              <v:stroke opacity="32896f" joinstyle="miter"/>
              <v:path arrowok="t" o:connecttype="custom" o:connectlocs="0,2122805;2122805,0;4245610,0;4245610,2122805;2122805,4245610;0,2122805" o:connectangles="0,0,0,0,0,0"/>
              <w10:wrap anchorx="margin"/>
            </v:shape>
          </w:pict>
        </mc:Fallback>
      </mc:AlternateContent>
    </w:r>
  </w:p>
  <w:p w14:paraId="298A1933" w14:textId="762E961E" w:rsidR="001125B7" w:rsidRDefault="001125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AADC" w14:textId="630F292C" w:rsidR="00DF0519" w:rsidRDefault="003236EF">
    <w:pPr>
      <w:pStyle w:val="En-tte"/>
    </w:pPr>
    <w:r>
      <w:rPr>
        <w:i/>
        <w:iCs/>
        <w:noProof/>
        <w:color w:val="273780" w:themeColor="text2"/>
      </w:rPr>
      <mc:AlternateContent>
        <mc:Choice Requires="wps">
          <w:drawing>
            <wp:anchor distT="0" distB="0" distL="114300" distR="114300" simplePos="0" relativeHeight="251658250" behindDoc="0" locked="0" layoutInCell="1" allowOverlap="1" wp14:anchorId="7AE2924C" wp14:editId="54081CC0">
              <wp:simplePos x="0" y="0"/>
              <wp:positionH relativeFrom="margin">
                <wp:posOffset>1591310</wp:posOffset>
              </wp:positionH>
              <wp:positionV relativeFrom="paragraph">
                <wp:posOffset>-3467100</wp:posOffset>
              </wp:positionV>
              <wp:extent cx="3351530" cy="3351530"/>
              <wp:effectExtent l="19050" t="647700" r="20320" b="20320"/>
              <wp:wrapNone/>
              <wp:docPr id="1284448832" name="Larme 6"/>
              <wp:cNvGraphicFramePr/>
              <a:graphic xmlns:a="http://schemas.openxmlformats.org/drawingml/2006/main">
                <a:graphicData uri="http://schemas.microsoft.com/office/word/2010/wordprocessingShape">
                  <wps:wsp>
                    <wps:cNvSpPr/>
                    <wps:spPr>
                      <a:xfrm rot="18063688">
                        <a:off x="0" y="0"/>
                        <a:ext cx="3351530" cy="3351530"/>
                      </a:xfrm>
                      <a:prstGeom prst="teardrop">
                        <a:avLst/>
                      </a:prstGeom>
                      <a:noFill/>
                      <a:ln w="12700">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0F322BB">
            <v:shape id="Larme 6" style="position:absolute;margin-left:125.3pt;margin-top:-273pt;width:263.9pt;height:263.9pt;rotation:-3862596fd;z-index:2516807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51530,3351530" o:spid="_x0000_s1026" filled="f" strokecolor="#303a7d [3214]" strokeweight="1pt" path="m,1675765c,750266,750266,,1675765,l3351530,r,1675765c3351530,2601264,2601264,3351530,1675765,3351530,750266,3351530,,2601264,,167576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" w14:anchorId="7235B978">
              <v:stroke joinstyle="miter"/>
              <v:path arrowok="t" o:connecttype="custom" o:connectlocs="0,1675765;1675765,0;3351530,0;3351530,1675765;1675765,3351530;0,1675765" o:connectangles="0,0,0,0,0,0"/>
              <w10:wrap anchorx="margin"/>
            </v:shape>
          </w:pict>
        </mc:Fallback>
      </mc:AlternateContent>
    </w:r>
    <w:r>
      <w:rPr>
        <w:i/>
        <w:iCs/>
        <w:noProof/>
        <w:color w:val="273780" w:themeColor="text2"/>
      </w:rPr>
      <mc:AlternateContent>
        <mc:Choice Requires="wps">
          <w:drawing>
            <wp:anchor distT="0" distB="0" distL="114300" distR="114300" simplePos="0" relativeHeight="251658249" behindDoc="0" locked="0" layoutInCell="1" allowOverlap="1" wp14:anchorId="4B32F7FD" wp14:editId="7E337174">
              <wp:simplePos x="0" y="0"/>
              <wp:positionH relativeFrom="margin">
                <wp:posOffset>2918647</wp:posOffset>
              </wp:positionH>
              <wp:positionV relativeFrom="paragraph">
                <wp:posOffset>-4079032</wp:posOffset>
              </wp:positionV>
              <wp:extent cx="4245610" cy="4245610"/>
              <wp:effectExtent l="266700" t="1143000" r="269240" b="269240"/>
              <wp:wrapNone/>
              <wp:docPr id="1093770897" name="Larme 6"/>
              <wp:cNvGraphicFramePr/>
              <a:graphic xmlns:a="http://schemas.openxmlformats.org/drawingml/2006/main">
                <a:graphicData uri="http://schemas.microsoft.com/office/word/2010/wordprocessingShape">
                  <wps:wsp>
                    <wps:cNvSpPr/>
                    <wps:spPr>
                      <a:xfrm rot="19775414">
                        <a:off x="0" y="0"/>
                        <a:ext cx="4245610" cy="4245610"/>
                      </a:xfrm>
                      <a:prstGeom prst="teardrop">
                        <a:avLst/>
                      </a:prstGeom>
                      <a:solidFill>
                        <a:schemeClr val="bg1"/>
                      </a:solidFill>
                      <a:ln w="504825">
                        <a:solidFill>
                          <a:schemeClr val="accent1">
                            <a:lumMod val="20000"/>
                            <a:lumOff val="80000"/>
                            <a:alpha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rto="http://schemas.microsoft.com/office/word/2006/arto">
          <w:pict w14:anchorId="199755A1">
            <v:shape id="Larme 6" style="position:absolute;margin-left:229.8pt;margin-top:-321.2pt;width:334.3pt;height:334.3pt;rotation:-1992934fd;z-index:251679749;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coordsize="4245610,4245610" o:spid="_x0000_s1026" fillcolor="white [3212]" strokecolor="#d7edf9 [660]" strokeweight="39.75pt" path="m,2122805c,950412,950412,,2122805,l4245610,r,2122805c4245610,3295198,3295198,4245610,2122805,4245610,950412,4245610,,3295198,,212280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" w14:anchorId="38AD9B90">
              <v:stroke opacity="32896f" joinstyle="miter"/>
              <v:path arrowok="t" o:connecttype="custom" o:connectlocs="0,2122805;2122805,0;4245610,0;4245610,2122805;2122805,4245610;0,2122805" o:connectangles="0,0,0,0,0,0"/>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341CD"/>
    <w:multiLevelType w:val="multilevel"/>
    <w:tmpl w:val="3300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C32366"/>
    <w:multiLevelType w:val="hybridMultilevel"/>
    <w:tmpl w:val="DCFEAB4C"/>
    <w:lvl w:ilvl="0" w:tplc="A69054FC">
      <w:start w:val="5"/>
      <w:numFmt w:val="bullet"/>
      <w:lvlText w:val="-"/>
      <w:lvlJc w:val="left"/>
      <w:pPr>
        <w:ind w:left="1068" w:hanging="360"/>
      </w:pPr>
      <w:rPr>
        <w:rFonts w:ascii="Gotham Book" w:eastAsia="Times New Roman" w:hAnsi="Gotham Book"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15DF3ED2"/>
    <w:multiLevelType w:val="hybridMultilevel"/>
    <w:tmpl w:val="D962197C"/>
    <w:lvl w:ilvl="0" w:tplc="8EC80A34">
      <w:numFmt w:val="bullet"/>
      <w:lvlText w:val="-"/>
      <w:lvlJc w:val="left"/>
      <w:pPr>
        <w:ind w:left="360" w:hanging="360"/>
      </w:pPr>
      <w:rPr>
        <w:rFonts w:ascii="Gotham Book" w:eastAsia="Times New Roman" w:hAnsi="Gotham Book" w:cs="Arial" w:hint="default"/>
        <w:color w:val="29235C"/>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7990DC3"/>
    <w:multiLevelType w:val="hybridMultilevel"/>
    <w:tmpl w:val="2B166CF8"/>
    <w:lvl w:ilvl="0" w:tplc="A69054FC">
      <w:start w:val="5"/>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7300B7"/>
    <w:multiLevelType w:val="hybridMultilevel"/>
    <w:tmpl w:val="3E42E6FC"/>
    <w:lvl w:ilvl="0" w:tplc="A69054FC">
      <w:start w:val="5"/>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C3CD3"/>
    <w:multiLevelType w:val="hybridMultilevel"/>
    <w:tmpl w:val="7C1487E8"/>
    <w:lvl w:ilvl="0" w:tplc="A7C6C03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004755"/>
    <w:multiLevelType w:val="hybridMultilevel"/>
    <w:tmpl w:val="9642D1C6"/>
    <w:lvl w:ilvl="0" w:tplc="A69054FC">
      <w:start w:val="5"/>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21F41"/>
    <w:multiLevelType w:val="hybridMultilevel"/>
    <w:tmpl w:val="8160C968"/>
    <w:lvl w:ilvl="0" w:tplc="8EC80A34">
      <w:numFmt w:val="bullet"/>
      <w:lvlText w:val="-"/>
      <w:lvlJc w:val="left"/>
      <w:pPr>
        <w:ind w:left="720" w:hanging="360"/>
      </w:pPr>
      <w:rPr>
        <w:rFonts w:ascii="Gotham Book" w:eastAsia="Times New Roman" w:hAnsi="Gotham Book" w:cs="Arial" w:hint="default"/>
        <w:color w:val="29235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804688"/>
    <w:multiLevelType w:val="hybridMultilevel"/>
    <w:tmpl w:val="2DCEB7CA"/>
    <w:lvl w:ilvl="0" w:tplc="A69054FC">
      <w:start w:val="5"/>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7D615F"/>
    <w:multiLevelType w:val="hybridMultilevel"/>
    <w:tmpl w:val="76B2E4E2"/>
    <w:lvl w:ilvl="0" w:tplc="A69054FC">
      <w:start w:val="5"/>
      <w:numFmt w:val="bullet"/>
      <w:lvlText w:val="-"/>
      <w:lvlJc w:val="left"/>
      <w:pPr>
        <w:ind w:left="1068" w:hanging="360"/>
      </w:pPr>
      <w:rPr>
        <w:rFonts w:ascii="Gotham Book" w:eastAsia="Times New Roman" w:hAnsi="Gotham Book"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4E780BD1"/>
    <w:multiLevelType w:val="hybridMultilevel"/>
    <w:tmpl w:val="E1F02EDA"/>
    <w:lvl w:ilvl="0" w:tplc="A69054FC">
      <w:start w:val="5"/>
      <w:numFmt w:val="bullet"/>
      <w:lvlText w:val="-"/>
      <w:lvlJc w:val="left"/>
      <w:pPr>
        <w:ind w:left="720" w:hanging="360"/>
      </w:pPr>
      <w:rPr>
        <w:rFonts w:ascii="Gotham Book" w:eastAsia="Times New Roman" w:hAnsi="Gotham Book"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7731BE"/>
    <w:multiLevelType w:val="hybridMultilevel"/>
    <w:tmpl w:val="0CE64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3222B1"/>
    <w:multiLevelType w:val="hybridMultilevel"/>
    <w:tmpl w:val="48901170"/>
    <w:lvl w:ilvl="0" w:tplc="040C0005">
      <w:start w:val="1"/>
      <w:numFmt w:val="bullet"/>
      <w:lvlText w:val=""/>
      <w:lvlJc w:val="left"/>
      <w:pPr>
        <w:ind w:left="720" w:hanging="360"/>
      </w:pPr>
      <w:rPr>
        <w:rFonts w:ascii="Wingdings" w:hAnsi="Wingdings" w:hint="default"/>
      </w:rPr>
    </w:lvl>
    <w:lvl w:ilvl="1" w:tplc="A69054FC">
      <w:start w:val="5"/>
      <w:numFmt w:val="bullet"/>
      <w:lvlText w:val="-"/>
      <w:lvlJc w:val="left"/>
      <w:pPr>
        <w:ind w:left="1068" w:hanging="360"/>
      </w:pPr>
      <w:rPr>
        <w:rFonts w:ascii="Gotham Book" w:eastAsia="Times New Roman" w:hAnsi="Gotham Book"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5661550"/>
    <w:multiLevelType w:val="multilevel"/>
    <w:tmpl w:val="BA70C8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762E0C9E"/>
    <w:multiLevelType w:val="multilevel"/>
    <w:tmpl w:val="84647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1939DA"/>
    <w:multiLevelType w:val="hybridMultilevel"/>
    <w:tmpl w:val="467699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511AAD"/>
    <w:multiLevelType w:val="hybridMultilevel"/>
    <w:tmpl w:val="55D4FFAE"/>
    <w:lvl w:ilvl="0" w:tplc="8EC80A34">
      <w:numFmt w:val="bullet"/>
      <w:lvlText w:val="-"/>
      <w:lvlJc w:val="left"/>
      <w:pPr>
        <w:ind w:left="720" w:hanging="360"/>
      </w:pPr>
      <w:rPr>
        <w:rFonts w:ascii="Gotham Book" w:eastAsia="Times New Roman" w:hAnsi="Gotham Book" w:cs="Arial" w:hint="default"/>
        <w:color w:val="29235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CED62DE"/>
    <w:multiLevelType w:val="multilevel"/>
    <w:tmpl w:val="78303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36453817">
    <w:abstractNumId w:val="13"/>
  </w:num>
  <w:num w:numId="2" w16cid:durableId="712776630">
    <w:abstractNumId w:val="17"/>
  </w:num>
  <w:num w:numId="3" w16cid:durableId="1788697312">
    <w:abstractNumId w:val="5"/>
  </w:num>
  <w:num w:numId="4" w16cid:durableId="1773427800">
    <w:abstractNumId w:val="11"/>
  </w:num>
  <w:num w:numId="5" w16cid:durableId="1014916437">
    <w:abstractNumId w:val="0"/>
  </w:num>
  <w:num w:numId="6" w16cid:durableId="1917860972">
    <w:abstractNumId w:val="14"/>
  </w:num>
  <w:num w:numId="7" w16cid:durableId="1155268997">
    <w:abstractNumId w:val="2"/>
  </w:num>
  <w:num w:numId="8" w16cid:durableId="1024403817">
    <w:abstractNumId w:val="1"/>
  </w:num>
  <w:num w:numId="9" w16cid:durableId="1820413209">
    <w:abstractNumId w:val="15"/>
  </w:num>
  <w:num w:numId="10" w16cid:durableId="390008640">
    <w:abstractNumId w:val="16"/>
  </w:num>
  <w:num w:numId="11" w16cid:durableId="2017345183">
    <w:abstractNumId w:val="4"/>
  </w:num>
  <w:num w:numId="12" w16cid:durableId="174418085">
    <w:abstractNumId w:val="12"/>
  </w:num>
  <w:num w:numId="13" w16cid:durableId="1394885933">
    <w:abstractNumId w:val="3"/>
  </w:num>
  <w:num w:numId="14" w16cid:durableId="899900189">
    <w:abstractNumId w:val="6"/>
  </w:num>
  <w:num w:numId="15" w16cid:durableId="1496216271">
    <w:abstractNumId w:val="10"/>
  </w:num>
  <w:num w:numId="16" w16cid:durableId="554894283">
    <w:abstractNumId w:val="8"/>
  </w:num>
  <w:num w:numId="17" w16cid:durableId="1430469940">
    <w:abstractNumId w:val="9"/>
  </w:num>
  <w:num w:numId="18" w16cid:durableId="1117141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4A6"/>
    <w:rsid w:val="00005ACE"/>
    <w:rsid w:val="00005B93"/>
    <w:rsid w:val="00007CB5"/>
    <w:rsid w:val="000105CB"/>
    <w:rsid w:val="0001338C"/>
    <w:rsid w:val="00013BF3"/>
    <w:rsid w:val="00013FA7"/>
    <w:rsid w:val="000140FC"/>
    <w:rsid w:val="00014D01"/>
    <w:rsid w:val="00014DB0"/>
    <w:rsid w:val="0001598C"/>
    <w:rsid w:val="0001628F"/>
    <w:rsid w:val="00016B57"/>
    <w:rsid w:val="00025543"/>
    <w:rsid w:val="000279ED"/>
    <w:rsid w:val="00031D0C"/>
    <w:rsid w:val="00032727"/>
    <w:rsid w:val="00032B20"/>
    <w:rsid w:val="00033327"/>
    <w:rsid w:val="0003360F"/>
    <w:rsid w:val="0003367E"/>
    <w:rsid w:val="000337C2"/>
    <w:rsid w:val="00035FAB"/>
    <w:rsid w:val="00036929"/>
    <w:rsid w:val="00037269"/>
    <w:rsid w:val="00045021"/>
    <w:rsid w:val="00045686"/>
    <w:rsid w:val="00046D3C"/>
    <w:rsid w:val="00047432"/>
    <w:rsid w:val="000508D2"/>
    <w:rsid w:val="00051086"/>
    <w:rsid w:val="0005169C"/>
    <w:rsid w:val="000520C8"/>
    <w:rsid w:val="00052C47"/>
    <w:rsid w:val="00053017"/>
    <w:rsid w:val="00053079"/>
    <w:rsid w:val="00054A88"/>
    <w:rsid w:val="0005500C"/>
    <w:rsid w:val="00055DA1"/>
    <w:rsid w:val="00060224"/>
    <w:rsid w:val="0006037C"/>
    <w:rsid w:val="00061F7A"/>
    <w:rsid w:val="00063C1B"/>
    <w:rsid w:val="00064EFD"/>
    <w:rsid w:val="00065C47"/>
    <w:rsid w:val="00071122"/>
    <w:rsid w:val="000719C0"/>
    <w:rsid w:val="000720A7"/>
    <w:rsid w:val="00072705"/>
    <w:rsid w:val="00072C5E"/>
    <w:rsid w:val="00074CE3"/>
    <w:rsid w:val="00075AAD"/>
    <w:rsid w:val="000779A5"/>
    <w:rsid w:val="00081BBF"/>
    <w:rsid w:val="00082958"/>
    <w:rsid w:val="0008476E"/>
    <w:rsid w:val="00085B2C"/>
    <w:rsid w:val="00086657"/>
    <w:rsid w:val="00086D80"/>
    <w:rsid w:val="00090E4B"/>
    <w:rsid w:val="000941ED"/>
    <w:rsid w:val="000968CC"/>
    <w:rsid w:val="00097A06"/>
    <w:rsid w:val="00097FAE"/>
    <w:rsid w:val="000A04C5"/>
    <w:rsid w:val="000A08AE"/>
    <w:rsid w:val="000B0910"/>
    <w:rsid w:val="000B35F6"/>
    <w:rsid w:val="000B4311"/>
    <w:rsid w:val="000B4F7A"/>
    <w:rsid w:val="000B55CE"/>
    <w:rsid w:val="000B6B9A"/>
    <w:rsid w:val="000B7690"/>
    <w:rsid w:val="000C4263"/>
    <w:rsid w:val="000C6A7C"/>
    <w:rsid w:val="000C6A82"/>
    <w:rsid w:val="000D1191"/>
    <w:rsid w:val="000D3E5F"/>
    <w:rsid w:val="000D3EBE"/>
    <w:rsid w:val="000D522B"/>
    <w:rsid w:val="000D56B6"/>
    <w:rsid w:val="000D71AE"/>
    <w:rsid w:val="000D79D0"/>
    <w:rsid w:val="000D7FF3"/>
    <w:rsid w:val="000E0286"/>
    <w:rsid w:val="000E046D"/>
    <w:rsid w:val="000E126D"/>
    <w:rsid w:val="000E23F4"/>
    <w:rsid w:val="000E28FD"/>
    <w:rsid w:val="000E364B"/>
    <w:rsid w:val="000E3878"/>
    <w:rsid w:val="000E5BC5"/>
    <w:rsid w:val="000F1A84"/>
    <w:rsid w:val="000F4864"/>
    <w:rsid w:val="000F59C2"/>
    <w:rsid w:val="000F5A12"/>
    <w:rsid w:val="000F5C55"/>
    <w:rsid w:val="000F6139"/>
    <w:rsid w:val="000F67BE"/>
    <w:rsid w:val="00100745"/>
    <w:rsid w:val="001034B8"/>
    <w:rsid w:val="00104378"/>
    <w:rsid w:val="00104E06"/>
    <w:rsid w:val="001052E2"/>
    <w:rsid w:val="00105410"/>
    <w:rsid w:val="00105983"/>
    <w:rsid w:val="001059D3"/>
    <w:rsid w:val="00106291"/>
    <w:rsid w:val="00106B35"/>
    <w:rsid w:val="00106F6C"/>
    <w:rsid w:val="00110A01"/>
    <w:rsid w:val="001125B7"/>
    <w:rsid w:val="00113312"/>
    <w:rsid w:val="001136D0"/>
    <w:rsid w:val="001136DF"/>
    <w:rsid w:val="00113EF6"/>
    <w:rsid w:val="0011688D"/>
    <w:rsid w:val="00116D22"/>
    <w:rsid w:val="00117E7A"/>
    <w:rsid w:val="001211B3"/>
    <w:rsid w:val="00122FBB"/>
    <w:rsid w:val="00123030"/>
    <w:rsid w:val="00124870"/>
    <w:rsid w:val="00127271"/>
    <w:rsid w:val="001277DD"/>
    <w:rsid w:val="0013091E"/>
    <w:rsid w:val="00131335"/>
    <w:rsid w:val="001318E3"/>
    <w:rsid w:val="00132842"/>
    <w:rsid w:val="001340CA"/>
    <w:rsid w:val="00135C8A"/>
    <w:rsid w:val="001364CB"/>
    <w:rsid w:val="00137E7C"/>
    <w:rsid w:val="00140C44"/>
    <w:rsid w:val="001425B3"/>
    <w:rsid w:val="00143AFC"/>
    <w:rsid w:val="0014430E"/>
    <w:rsid w:val="00144492"/>
    <w:rsid w:val="00145E62"/>
    <w:rsid w:val="0014605E"/>
    <w:rsid w:val="00150B9B"/>
    <w:rsid w:val="00150FF0"/>
    <w:rsid w:val="001529CB"/>
    <w:rsid w:val="00153037"/>
    <w:rsid w:val="0015388B"/>
    <w:rsid w:val="00153E2F"/>
    <w:rsid w:val="001562A5"/>
    <w:rsid w:val="001568C8"/>
    <w:rsid w:val="00156AEB"/>
    <w:rsid w:val="001601CA"/>
    <w:rsid w:val="001618FD"/>
    <w:rsid w:val="00161A2E"/>
    <w:rsid w:val="00162098"/>
    <w:rsid w:val="00162A5D"/>
    <w:rsid w:val="00164944"/>
    <w:rsid w:val="00167153"/>
    <w:rsid w:val="0016763F"/>
    <w:rsid w:val="001703F1"/>
    <w:rsid w:val="00171DF4"/>
    <w:rsid w:val="00174ACE"/>
    <w:rsid w:val="001777CA"/>
    <w:rsid w:val="0017791B"/>
    <w:rsid w:val="0018063E"/>
    <w:rsid w:val="00181A87"/>
    <w:rsid w:val="00181D05"/>
    <w:rsid w:val="00182C33"/>
    <w:rsid w:val="00182FFD"/>
    <w:rsid w:val="001843DC"/>
    <w:rsid w:val="0018522C"/>
    <w:rsid w:val="001858B8"/>
    <w:rsid w:val="00186311"/>
    <w:rsid w:val="00190174"/>
    <w:rsid w:val="001926BF"/>
    <w:rsid w:val="00194734"/>
    <w:rsid w:val="00195DFE"/>
    <w:rsid w:val="001A0BD7"/>
    <w:rsid w:val="001A10DA"/>
    <w:rsid w:val="001A1A98"/>
    <w:rsid w:val="001A1E8B"/>
    <w:rsid w:val="001A1EA2"/>
    <w:rsid w:val="001A4E9C"/>
    <w:rsid w:val="001A58E1"/>
    <w:rsid w:val="001A58F2"/>
    <w:rsid w:val="001A6A97"/>
    <w:rsid w:val="001A7366"/>
    <w:rsid w:val="001A7400"/>
    <w:rsid w:val="001B13E9"/>
    <w:rsid w:val="001B1B20"/>
    <w:rsid w:val="001B4F68"/>
    <w:rsid w:val="001B64C0"/>
    <w:rsid w:val="001B6B21"/>
    <w:rsid w:val="001C092E"/>
    <w:rsid w:val="001C0FF8"/>
    <w:rsid w:val="001C42CF"/>
    <w:rsid w:val="001C48D6"/>
    <w:rsid w:val="001C5BAE"/>
    <w:rsid w:val="001C62E1"/>
    <w:rsid w:val="001C6EC9"/>
    <w:rsid w:val="001C7385"/>
    <w:rsid w:val="001D1915"/>
    <w:rsid w:val="001D2DA3"/>
    <w:rsid w:val="001D3EF2"/>
    <w:rsid w:val="001D6E0E"/>
    <w:rsid w:val="001D74FC"/>
    <w:rsid w:val="001E0619"/>
    <w:rsid w:val="001E0E78"/>
    <w:rsid w:val="001E15DE"/>
    <w:rsid w:val="001E32F7"/>
    <w:rsid w:val="001E3373"/>
    <w:rsid w:val="001E48C3"/>
    <w:rsid w:val="001E7B35"/>
    <w:rsid w:val="001E7BDF"/>
    <w:rsid w:val="001F3A48"/>
    <w:rsid w:val="001F5F16"/>
    <w:rsid w:val="001F61A3"/>
    <w:rsid w:val="001F6E67"/>
    <w:rsid w:val="001F7C1E"/>
    <w:rsid w:val="002000F8"/>
    <w:rsid w:val="00201007"/>
    <w:rsid w:val="00201166"/>
    <w:rsid w:val="00203262"/>
    <w:rsid w:val="0020473F"/>
    <w:rsid w:val="0020476A"/>
    <w:rsid w:val="00205433"/>
    <w:rsid w:val="00207A45"/>
    <w:rsid w:val="00207C9D"/>
    <w:rsid w:val="002101F1"/>
    <w:rsid w:val="00210A54"/>
    <w:rsid w:val="00210DF1"/>
    <w:rsid w:val="0021146C"/>
    <w:rsid w:val="0021152F"/>
    <w:rsid w:val="002130AE"/>
    <w:rsid w:val="00215502"/>
    <w:rsid w:val="00215F96"/>
    <w:rsid w:val="002164F0"/>
    <w:rsid w:val="002202BF"/>
    <w:rsid w:val="002206D4"/>
    <w:rsid w:val="00220D97"/>
    <w:rsid w:val="0022106E"/>
    <w:rsid w:val="002219B1"/>
    <w:rsid w:val="00221A21"/>
    <w:rsid w:val="00221BBC"/>
    <w:rsid w:val="00222C23"/>
    <w:rsid w:val="00224C1C"/>
    <w:rsid w:val="00225D1F"/>
    <w:rsid w:val="0022653D"/>
    <w:rsid w:val="00226782"/>
    <w:rsid w:val="00227546"/>
    <w:rsid w:val="0023226D"/>
    <w:rsid w:val="00233F26"/>
    <w:rsid w:val="00236BC7"/>
    <w:rsid w:val="00237014"/>
    <w:rsid w:val="00237C04"/>
    <w:rsid w:val="0024047A"/>
    <w:rsid w:val="00240C12"/>
    <w:rsid w:val="00242DC0"/>
    <w:rsid w:val="0024450A"/>
    <w:rsid w:val="00244FE4"/>
    <w:rsid w:val="002454BE"/>
    <w:rsid w:val="002455E9"/>
    <w:rsid w:val="00247432"/>
    <w:rsid w:val="00251401"/>
    <w:rsid w:val="00251676"/>
    <w:rsid w:val="00251F5B"/>
    <w:rsid w:val="00254BF0"/>
    <w:rsid w:val="00255315"/>
    <w:rsid w:val="00256A09"/>
    <w:rsid w:val="00260FC8"/>
    <w:rsid w:val="002617E9"/>
    <w:rsid w:val="00261FE0"/>
    <w:rsid w:val="00263876"/>
    <w:rsid w:val="002642CF"/>
    <w:rsid w:val="00264762"/>
    <w:rsid w:val="00265D02"/>
    <w:rsid w:val="002663DB"/>
    <w:rsid w:val="0026665A"/>
    <w:rsid w:val="00266725"/>
    <w:rsid w:val="002672A6"/>
    <w:rsid w:val="00270522"/>
    <w:rsid w:val="0027171B"/>
    <w:rsid w:val="00271A47"/>
    <w:rsid w:val="00272715"/>
    <w:rsid w:val="00273414"/>
    <w:rsid w:val="00274B5B"/>
    <w:rsid w:val="00281F88"/>
    <w:rsid w:val="002828B9"/>
    <w:rsid w:val="00282E73"/>
    <w:rsid w:val="00282F70"/>
    <w:rsid w:val="00284620"/>
    <w:rsid w:val="00285C8E"/>
    <w:rsid w:val="00287741"/>
    <w:rsid w:val="00287A93"/>
    <w:rsid w:val="002900C1"/>
    <w:rsid w:val="00295435"/>
    <w:rsid w:val="0029795C"/>
    <w:rsid w:val="002A02A8"/>
    <w:rsid w:val="002A0783"/>
    <w:rsid w:val="002A3078"/>
    <w:rsid w:val="002A3646"/>
    <w:rsid w:val="002A3A56"/>
    <w:rsid w:val="002A44DF"/>
    <w:rsid w:val="002A45EA"/>
    <w:rsid w:val="002A6C98"/>
    <w:rsid w:val="002B0188"/>
    <w:rsid w:val="002B1BE4"/>
    <w:rsid w:val="002B1C67"/>
    <w:rsid w:val="002B2526"/>
    <w:rsid w:val="002B316A"/>
    <w:rsid w:val="002B4109"/>
    <w:rsid w:val="002B4314"/>
    <w:rsid w:val="002B7873"/>
    <w:rsid w:val="002B7BCD"/>
    <w:rsid w:val="002C057C"/>
    <w:rsid w:val="002C21AE"/>
    <w:rsid w:val="002C32C4"/>
    <w:rsid w:val="002C37B6"/>
    <w:rsid w:val="002C3FA2"/>
    <w:rsid w:val="002C4353"/>
    <w:rsid w:val="002C6857"/>
    <w:rsid w:val="002C73B7"/>
    <w:rsid w:val="002C7BB8"/>
    <w:rsid w:val="002D0EB2"/>
    <w:rsid w:val="002D30CE"/>
    <w:rsid w:val="002D4996"/>
    <w:rsid w:val="002D5E79"/>
    <w:rsid w:val="002D6A4A"/>
    <w:rsid w:val="002D6C27"/>
    <w:rsid w:val="002D713B"/>
    <w:rsid w:val="002E05B0"/>
    <w:rsid w:val="002E1EC2"/>
    <w:rsid w:val="002E2857"/>
    <w:rsid w:val="002E42B0"/>
    <w:rsid w:val="002E4E6E"/>
    <w:rsid w:val="002E5033"/>
    <w:rsid w:val="002F01DC"/>
    <w:rsid w:val="002F1540"/>
    <w:rsid w:val="002F433C"/>
    <w:rsid w:val="002F4715"/>
    <w:rsid w:val="002F4E93"/>
    <w:rsid w:val="002F4F8A"/>
    <w:rsid w:val="002F648E"/>
    <w:rsid w:val="002F65C0"/>
    <w:rsid w:val="002F763A"/>
    <w:rsid w:val="00301A2D"/>
    <w:rsid w:val="0030249E"/>
    <w:rsid w:val="00303B70"/>
    <w:rsid w:val="003046CA"/>
    <w:rsid w:val="003049C9"/>
    <w:rsid w:val="00305288"/>
    <w:rsid w:val="0030548C"/>
    <w:rsid w:val="00307BD5"/>
    <w:rsid w:val="00313856"/>
    <w:rsid w:val="0031409D"/>
    <w:rsid w:val="003149FE"/>
    <w:rsid w:val="003150B7"/>
    <w:rsid w:val="0031608A"/>
    <w:rsid w:val="003161CC"/>
    <w:rsid w:val="00316A14"/>
    <w:rsid w:val="003176B7"/>
    <w:rsid w:val="003178E1"/>
    <w:rsid w:val="003236EF"/>
    <w:rsid w:val="0032448E"/>
    <w:rsid w:val="003302AE"/>
    <w:rsid w:val="00332AA8"/>
    <w:rsid w:val="003335B9"/>
    <w:rsid w:val="00333AF9"/>
    <w:rsid w:val="00333F51"/>
    <w:rsid w:val="00334A91"/>
    <w:rsid w:val="0033508F"/>
    <w:rsid w:val="00335636"/>
    <w:rsid w:val="003365F0"/>
    <w:rsid w:val="00342B79"/>
    <w:rsid w:val="0034318F"/>
    <w:rsid w:val="00343F38"/>
    <w:rsid w:val="003453BC"/>
    <w:rsid w:val="00347880"/>
    <w:rsid w:val="00351148"/>
    <w:rsid w:val="00352D26"/>
    <w:rsid w:val="003546FD"/>
    <w:rsid w:val="00357950"/>
    <w:rsid w:val="00363F83"/>
    <w:rsid w:val="00365D02"/>
    <w:rsid w:val="00366160"/>
    <w:rsid w:val="003667D9"/>
    <w:rsid w:val="00366CFE"/>
    <w:rsid w:val="0036738B"/>
    <w:rsid w:val="00367617"/>
    <w:rsid w:val="00371779"/>
    <w:rsid w:val="00372BE0"/>
    <w:rsid w:val="00372DED"/>
    <w:rsid w:val="00373BB8"/>
    <w:rsid w:val="00374DD0"/>
    <w:rsid w:val="00374E20"/>
    <w:rsid w:val="003769B7"/>
    <w:rsid w:val="0037764A"/>
    <w:rsid w:val="0038047A"/>
    <w:rsid w:val="00384309"/>
    <w:rsid w:val="00384C4D"/>
    <w:rsid w:val="0038680F"/>
    <w:rsid w:val="003868D0"/>
    <w:rsid w:val="00386EE5"/>
    <w:rsid w:val="00387AE9"/>
    <w:rsid w:val="00391DD2"/>
    <w:rsid w:val="00392707"/>
    <w:rsid w:val="00392A76"/>
    <w:rsid w:val="00393BD3"/>
    <w:rsid w:val="00394BAE"/>
    <w:rsid w:val="00395AEB"/>
    <w:rsid w:val="003970AF"/>
    <w:rsid w:val="0039722D"/>
    <w:rsid w:val="003A151D"/>
    <w:rsid w:val="003A27BC"/>
    <w:rsid w:val="003A4532"/>
    <w:rsid w:val="003A505E"/>
    <w:rsid w:val="003A612A"/>
    <w:rsid w:val="003A643F"/>
    <w:rsid w:val="003A7FE8"/>
    <w:rsid w:val="003B07FD"/>
    <w:rsid w:val="003B1543"/>
    <w:rsid w:val="003B1F77"/>
    <w:rsid w:val="003B27E5"/>
    <w:rsid w:val="003B4773"/>
    <w:rsid w:val="003B5F1A"/>
    <w:rsid w:val="003B6264"/>
    <w:rsid w:val="003B7C98"/>
    <w:rsid w:val="003C0DDF"/>
    <w:rsid w:val="003C2A34"/>
    <w:rsid w:val="003C49AC"/>
    <w:rsid w:val="003C67CF"/>
    <w:rsid w:val="003C7763"/>
    <w:rsid w:val="003D0E18"/>
    <w:rsid w:val="003D11C2"/>
    <w:rsid w:val="003D2880"/>
    <w:rsid w:val="003D386C"/>
    <w:rsid w:val="003D6147"/>
    <w:rsid w:val="003D6CF8"/>
    <w:rsid w:val="003E25A4"/>
    <w:rsid w:val="003E35DF"/>
    <w:rsid w:val="003E379D"/>
    <w:rsid w:val="003E503D"/>
    <w:rsid w:val="003E6199"/>
    <w:rsid w:val="003E6F33"/>
    <w:rsid w:val="003F1552"/>
    <w:rsid w:val="003F40C3"/>
    <w:rsid w:val="003F5084"/>
    <w:rsid w:val="003F6974"/>
    <w:rsid w:val="003F720E"/>
    <w:rsid w:val="003F74C9"/>
    <w:rsid w:val="003F76F9"/>
    <w:rsid w:val="003F7B15"/>
    <w:rsid w:val="00401654"/>
    <w:rsid w:val="00401883"/>
    <w:rsid w:val="00401A53"/>
    <w:rsid w:val="00404D53"/>
    <w:rsid w:val="00404D68"/>
    <w:rsid w:val="00404E3B"/>
    <w:rsid w:val="00406231"/>
    <w:rsid w:val="00406CAD"/>
    <w:rsid w:val="00406DDE"/>
    <w:rsid w:val="00411ECD"/>
    <w:rsid w:val="00412E37"/>
    <w:rsid w:val="004167B4"/>
    <w:rsid w:val="00416871"/>
    <w:rsid w:val="00417324"/>
    <w:rsid w:val="00417678"/>
    <w:rsid w:val="0042020B"/>
    <w:rsid w:val="00423CE6"/>
    <w:rsid w:val="00426EF2"/>
    <w:rsid w:val="0042936F"/>
    <w:rsid w:val="0043030E"/>
    <w:rsid w:val="00430CCF"/>
    <w:rsid w:val="0043118D"/>
    <w:rsid w:val="00433F6F"/>
    <w:rsid w:val="004353C8"/>
    <w:rsid w:val="0043594E"/>
    <w:rsid w:val="004360C5"/>
    <w:rsid w:val="00437191"/>
    <w:rsid w:val="0043731D"/>
    <w:rsid w:val="00437619"/>
    <w:rsid w:val="004432FD"/>
    <w:rsid w:val="004439DC"/>
    <w:rsid w:val="004469B0"/>
    <w:rsid w:val="00450BC0"/>
    <w:rsid w:val="00450EF0"/>
    <w:rsid w:val="00451FB6"/>
    <w:rsid w:val="0045206D"/>
    <w:rsid w:val="00452A36"/>
    <w:rsid w:val="004533ED"/>
    <w:rsid w:val="00453857"/>
    <w:rsid w:val="004570C4"/>
    <w:rsid w:val="00460FA8"/>
    <w:rsid w:val="0046453E"/>
    <w:rsid w:val="004649C0"/>
    <w:rsid w:val="0046712A"/>
    <w:rsid w:val="0046732A"/>
    <w:rsid w:val="00467347"/>
    <w:rsid w:val="004709BE"/>
    <w:rsid w:val="00471C59"/>
    <w:rsid w:val="004726B4"/>
    <w:rsid w:val="00473958"/>
    <w:rsid w:val="00473FAB"/>
    <w:rsid w:val="00474255"/>
    <w:rsid w:val="00476279"/>
    <w:rsid w:val="004764DE"/>
    <w:rsid w:val="00476681"/>
    <w:rsid w:val="0048131D"/>
    <w:rsid w:val="00482EC9"/>
    <w:rsid w:val="004845B6"/>
    <w:rsid w:val="00485574"/>
    <w:rsid w:val="00485EE0"/>
    <w:rsid w:val="00486125"/>
    <w:rsid w:val="00487F3F"/>
    <w:rsid w:val="0049093E"/>
    <w:rsid w:val="0049264E"/>
    <w:rsid w:val="00492CD6"/>
    <w:rsid w:val="0049308D"/>
    <w:rsid w:val="00494DEB"/>
    <w:rsid w:val="0049504B"/>
    <w:rsid w:val="00495B33"/>
    <w:rsid w:val="00497378"/>
    <w:rsid w:val="0049758D"/>
    <w:rsid w:val="0049759E"/>
    <w:rsid w:val="004A16A4"/>
    <w:rsid w:val="004A24FD"/>
    <w:rsid w:val="004A52AC"/>
    <w:rsid w:val="004A651D"/>
    <w:rsid w:val="004B23A6"/>
    <w:rsid w:val="004B32DC"/>
    <w:rsid w:val="004B7E0B"/>
    <w:rsid w:val="004B7F57"/>
    <w:rsid w:val="004C143E"/>
    <w:rsid w:val="004C2601"/>
    <w:rsid w:val="004C3CCC"/>
    <w:rsid w:val="004C4915"/>
    <w:rsid w:val="004C5C25"/>
    <w:rsid w:val="004C7949"/>
    <w:rsid w:val="004D1CAB"/>
    <w:rsid w:val="004D25D9"/>
    <w:rsid w:val="004D5673"/>
    <w:rsid w:val="004D5A67"/>
    <w:rsid w:val="004D658D"/>
    <w:rsid w:val="004D679A"/>
    <w:rsid w:val="004D6DFB"/>
    <w:rsid w:val="004E06C2"/>
    <w:rsid w:val="004E0863"/>
    <w:rsid w:val="004E0F4A"/>
    <w:rsid w:val="004E1069"/>
    <w:rsid w:val="004E237E"/>
    <w:rsid w:val="004E31AF"/>
    <w:rsid w:val="004E375F"/>
    <w:rsid w:val="004E4BB1"/>
    <w:rsid w:val="004E61D6"/>
    <w:rsid w:val="004F03ED"/>
    <w:rsid w:val="004F362A"/>
    <w:rsid w:val="004F3F90"/>
    <w:rsid w:val="004F4DCD"/>
    <w:rsid w:val="004F59AA"/>
    <w:rsid w:val="004F5C92"/>
    <w:rsid w:val="004F64F3"/>
    <w:rsid w:val="004F7847"/>
    <w:rsid w:val="00500BF8"/>
    <w:rsid w:val="00501D56"/>
    <w:rsid w:val="005026B4"/>
    <w:rsid w:val="005036DF"/>
    <w:rsid w:val="00504B3D"/>
    <w:rsid w:val="00505DAC"/>
    <w:rsid w:val="005067B5"/>
    <w:rsid w:val="00506F4D"/>
    <w:rsid w:val="0050754C"/>
    <w:rsid w:val="00510CB1"/>
    <w:rsid w:val="00513DD2"/>
    <w:rsid w:val="00521697"/>
    <w:rsid w:val="005229E7"/>
    <w:rsid w:val="0052349F"/>
    <w:rsid w:val="005237FB"/>
    <w:rsid w:val="00525EC8"/>
    <w:rsid w:val="005266AE"/>
    <w:rsid w:val="00527784"/>
    <w:rsid w:val="00530046"/>
    <w:rsid w:val="00530634"/>
    <w:rsid w:val="00532EF6"/>
    <w:rsid w:val="00535B46"/>
    <w:rsid w:val="0053640D"/>
    <w:rsid w:val="00536813"/>
    <w:rsid w:val="00537C23"/>
    <w:rsid w:val="0054138E"/>
    <w:rsid w:val="00541666"/>
    <w:rsid w:val="00542716"/>
    <w:rsid w:val="005439EB"/>
    <w:rsid w:val="00543FA0"/>
    <w:rsid w:val="00543FD1"/>
    <w:rsid w:val="0054420B"/>
    <w:rsid w:val="00545175"/>
    <w:rsid w:val="00546689"/>
    <w:rsid w:val="00551247"/>
    <w:rsid w:val="0055128C"/>
    <w:rsid w:val="00551B04"/>
    <w:rsid w:val="0055238C"/>
    <w:rsid w:val="005525E2"/>
    <w:rsid w:val="00561417"/>
    <w:rsid w:val="00562953"/>
    <w:rsid w:val="00562EBF"/>
    <w:rsid w:val="00563FC7"/>
    <w:rsid w:val="0056428E"/>
    <w:rsid w:val="00564622"/>
    <w:rsid w:val="00566AEC"/>
    <w:rsid w:val="005716F4"/>
    <w:rsid w:val="00571774"/>
    <w:rsid w:val="00571838"/>
    <w:rsid w:val="00572EAB"/>
    <w:rsid w:val="00573628"/>
    <w:rsid w:val="00574B95"/>
    <w:rsid w:val="00580FA5"/>
    <w:rsid w:val="00583C08"/>
    <w:rsid w:val="00585AE6"/>
    <w:rsid w:val="005862A8"/>
    <w:rsid w:val="0058799C"/>
    <w:rsid w:val="00587DFA"/>
    <w:rsid w:val="00591441"/>
    <w:rsid w:val="0059267B"/>
    <w:rsid w:val="005930AC"/>
    <w:rsid w:val="00593260"/>
    <w:rsid w:val="00594800"/>
    <w:rsid w:val="00594EE9"/>
    <w:rsid w:val="0059513B"/>
    <w:rsid w:val="0059572F"/>
    <w:rsid w:val="0059600E"/>
    <w:rsid w:val="005A7797"/>
    <w:rsid w:val="005A7D93"/>
    <w:rsid w:val="005B1CAF"/>
    <w:rsid w:val="005B5A41"/>
    <w:rsid w:val="005B61C6"/>
    <w:rsid w:val="005B6C85"/>
    <w:rsid w:val="005C1216"/>
    <w:rsid w:val="005C152C"/>
    <w:rsid w:val="005C4C6F"/>
    <w:rsid w:val="005C5D78"/>
    <w:rsid w:val="005C67A5"/>
    <w:rsid w:val="005C6D29"/>
    <w:rsid w:val="005D0DCE"/>
    <w:rsid w:val="005D3F01"/>
    <w:rsid w:val="005D430E"/>
    <w:rsid w:val="005D4BAF"/>
    <w:rsid w:val="005D53D1"/>
    <w:rsid w:val="005D561C"/>
    <w:rsid w:val="005D6C9A"/>
    <w:rsid w:val="005D6E15"/>
    <w:rsid w:val="005D76AD"/>
    <w:rsid w:val="005D76FE"/>
    <w:rsid w:val="005E2229"/>
    <w:rsid w:val="005E270B"/>
    <w:rsid w:val="005E394B"/>
    <w:rsid w:val="005E4215"/>
    <w:rsid w:val="005E49D0"/>
    <w:rsid w:val="005E5C1D"/>
    <w:rsid w:val="005E7E5B"/>
    <w:rsid w:val="005E7F50"/>
    <w:rsid w:val="005F0C21"/>
    <w:rsid w:val="005F177D"/>
    <w:rsid w:val="005F2772"/>
    <w:rsid w:val="005F4BC7"/>
    <w:rsid w:val="005F55AC"/>
    <w:rsid w:val="005F5FA2"/>
    <w:rsid w:val="005F6F27"/>
    <w:rsid w:val="005F71AB"/>
    <w:rsid w:val="005F71AE"/>
    <w:rsid w:val="005F764D"/>
    <w:rsid w:val="006007B6"/>
    <w:rsid w:val="00604B0B"/>
    <w:rsid w:val="00605CFE"/>
    <w:rsid w:val="00606A3C"/>
    <w:rsid w:val="0061078A"/>
    <w:rsid w:val="00615D39"/>
    <w:rsid w:val="0061670F"/>
    <w:rsid w:val="00617A7D"/>
    <w:rsid w:val="00620F4C"/>
    <w:rsid w:val="0062160E"/>
    <w:rsid w:val="00622151"/>
    <w:rsid w:val="0062422E"/>
    <w:rsid w:val="006310B0"/>
    <w:rsid w:val="006311A5"/>
    <w:rsid w:val="006318A8"/>
    <w:rsid w:val="00631A14"/>
    <w:rsid w:val="006346D5"/>
    <w:rsid w:val="00634999"/>
    <w:rsid w:val="00634BB5"/>
    <w:rsid w:val="00635702"/>
    <w:rsid w:val="00635C32"/>
    <w:rsid w:val="00637569"/>
    <w:rsid w:val="00641323"/>
    <w:rsid w:val="00644E40"/>
    <w:rsid w:val="00646152"/>
    <w:rsid w:val="00646EC3"/>
    <w:rsid w:val="00647760"/>
    <w:rsid w:val="00647D81"/>
    <w:rsid w:val="00647F0B"/>
    <w:rsid w:val="00650E98"/>
    <w:rsid w:val="006516A8"/>
    <w:rsid w:val="006525C4"/>
    <w:rsid w:val="00653286"/>
    <w:rsid w:val="00656943"/>
    <w:rsid w:val="0066075B"/>
    <w:rsid w:val="00660A51"/>
    <w:rsid w:val="006625F2"/>
    <w:rsid w:val="00662A50"/>
    <w:rsid w:val="006631CA"/>
    <w:rsid w:val="00665D50"/>
    <w:rsid w:val="006675BB"/>
    <w:rsid w:val="00667F8D"/>
    <w:rsid w:val="006709CC"/>
    <w:rsid w:val="006743AA"/>
    <w:rsid w:val="00676294"/>
    <w:rsid w:val="00677971"/>
    <w:rsid w:val="00680911"/>
    <w:rsid w:val="00680AA4"/>
    <w:rsid w:val="006839D9"/>
    <w:rsid w:val="00685D43"/>
    <w:rsid w:val="00687859"/>
    <w:rsid w:val="00687B44"/>
    <w:rsid w:val="00690071"/>
    <w:rsid w:val="00690773"/>
    <w:rsid w:val="00692068"/>
    <w:rsid w:val="006925A8"/>
    <w:rsid w:val="006943AE"/>
    <w:rsid w:val="00694C4C"/>
    <w:rsid w:val="006953E2"/>
    <w:rsid w:val="00695656"/>
    <w:rsid w:val="006967FC"/>
    <w:rsid w:val="00697247"/>
    <w:rsid w:val="00697E23"/>
    <w:rsid w:val="006A00B3"/>
    <w:rsid w:val="006A08F9"/>
    <w:rsid w:val="006A1D8C"/>
    <w:rsid w:val="006A4DC6"/>
    <w:rsid w:val="006A6FB7"/>
    <w:rsid w:val="006A7C2A"/>
    <w:rsid w:val="006B0766"/>
    <w:rsid w:val="006B13A0"/>
    <w:rsid w:val="006B26EA"/>
    <w:rsid w:val="006B71AB"/>
    <w:rsid w:val="006B756B"/>
    <w:rsid w:val="006B7BB8"/>
    <w:rsid w:val="006B7C91"/>
    <w:rsid w:val="006C10CE"/>
    <w:rsid w:val="006C274D"/>
    <w:rsid w:val="006C33FB"/>
    <w:rsid w:val="006C3576"/>
    <w:rsid w:val="006C4B72"/>
    <w:rsid w:val="006D1376"/>
    <w:rsid w:val="006D2243"/>
    <w:rsid w:val="006D29BE"/>
    <w:rsid w:val="006D374D"/>
    <w:rsid w:val="006D4A40"/>
    <w:rsid w:val="006E0B22"/>
    <w:rsid w:val="006E1A12"/>
    <w:rsid w:val="006E2BEC"/>
    <w:rsid w:val="006E394C"/>
    <w:rsid w:val="006E3CB7"/>
    <w:rsid w:val="006E3DC8"/>
    <w:rsid w:val="006E4C20"/>
    <w:rsid w:val="006E5118"/>
    <w:rsid w:val="006E58A9"/>
    <w:rsid w:val="006E6721"/>
    <w:rsid w:val="006E6837"/>
    <w:rsid w:val="006F0820"/>
    <w:rsid w:val="006F1A9D"/>
    <w:rsid w:val="006F72A0"/>
    <w:rsid w:val="006F7ED9"/>
    <w:rsid w:val="00702376"/>
    <w:rsid w:val="00702B89"/>
    <w:rsid w:val="00702E2F"/>
    <w:rsid w:val="007050D2"/>
    <w:rsid w:val="00706CE9"/>
    <w:rsid w:val="00707297"/>
    <w:rsid w:val="00712E74"/>
    <w:rsid w:val="0071303C"/>
    <w:rsid w:val="00713A68"/>
    <w:rsid w:val="00714DF9"/>
    <w:rsid w:val="00716A8D"/>
    <w:rsid w:val="007173CA"/>
    <w:rsid w:val="00720982"/>
    <w:rsid w:val="007216B7"/>
    <w:rsid w:val="00721BE5"/>
    <w:rsid w:val="007237A0"/>
    <w:rsid w:val="00723FA4"/>
    <w:rsid w:val="007246F8"/>
    <w:rsid w:val="007254E4"/>
    <w:rsid w:val="007255AF"/>
    <w:rsid w:val="00725E79"/>
    <w:rsid w:val="007273AF"/>
    <w:rsid w:val="007303EC"/>
    <w:rsid w:val="00730714"/>
    <w:rsid w:val="00732CDC"/>
    <w:rsid w:val="00733F61"/>
    <w:rsid w:val="00734356"/>
    <w:rsid w:val="00735CA8"/>
    <w:rsid w:val="00736081"/>
    <w:rsid w:val="00736E23"/>
    <w:rsid w:val="00736E2C"/>
    <w:rsid w:val="00742DDB"/>
    <w:rsid w:val="00744732"/>
    <w:rsid w:val="00744DBD"/>
    <w:rsid w:val="00746058"/>
    <w:rsid w:val="00746315"/>
    <w:rsid w:val="0074689B"/>
    <w:rsid w:val="00750AF8"/>
    <w:rsid w:val="007510BC"/>
    <w:rsid w:val="007514EA"/>
    <w:rsid w:val="00753F14"/>
    <w:rsid w:val="00754D5E"/>
    <w:rsid w:val="00756168"/>
    <w:rsid w:val="00760F7F"/>
    <w:rsid w:val="00763B75"/>
    <w:rsid w:val="007643D6"/>
    <w:rsid w:val="00764B44"/>
    <w:rsid w:val="00766896"/>
    <w:rsid w:val="0076690F"/>
    <w:rsid w:val="00767D18"/>
    <w:rsid w:val="00767DCE"/>
    <w:rsid w:val="00770555"/>
    <w:rsid w:val="00774529"/>
    <w:rsid w:val="0077475E"/>
    <w:rsid w:val="0077527D"/>
    <w:rsid w:val="0077553C"/>
    <w:rsid w:val="00775748"/>
    <w:rsid w:val="00777DA7"/>
    <w:rsid w:val="00777EF8"/>
    <w:rsid w:val="007808A9"/>
    <w:rsid w:val="00781160"/>
    <w:rsid w:val="00783CD0"/>
    <w:rsid w:val="00784018"/>
    <w:rsid w:val="00784121"/>
    <w:rsid w:val="0078742F"/>
    <w:rsid w:val="00790160"/>
    <w:rsid w:val="007913A4"/>
    <w:rsid w:val="007915BD"/>
    <w:rsid w:val="007919E1"/>
    <w:rsid w:val="00793342"/>
    <w:rsid w:val="00794EA6"/>
    <w:rsid w:val="00795580"/>
    <w:rsid w:val="007970FA"/>
    <w:rsid w:val="007A22D3"/>
    <w:rsid w:val="007A34F6"/>
    <w:rsid w:val="007A3EED"/>
    <w:rsid w:val="007A5639"/>
    <w:rsid w:val="007A69D1"/>
    <w:rsid w:val="007B0715"/>
    <w:rsid w:val="007B0932"/>
    <w:rsid w:val="007B0DAC"/>
    <w:rsid w:val="007B119A"/>
    <w:rsid w:val="007B13B2"/>
    <w:rsid w:val="007B4729"/>
    <w:rsid w:val="007B4731"/>
    <w:rsid w:val="007B54E9"/>
    <w:rsid w:val="007B5BA5"/>
    <w:rsid w:val="007B5EBA"/>
    <w:rsid w:val="007B79E4"/>
    <w:rsid w:val="007C0A90"/>
    <w:rsid w:val="007C1395"/>
    <w:rsid w:val="007C14F8"/>
    <w:rsid w:val="007C1728"/>
    <w:rsid w:val="007C31DD"/>
    <w:rsid w:val="007C5840"/>
    <w:rsid w:val="007C61A6"/>
    <w:rsid w:val="007C765B"/>
    <w:rsid w:val="007C783F"/>
    <w:rsid w:val="007C7D1B"/>
    <w:rsid w:val="007D0C70"/>
    <w:rsid w:val="007D2DFA"/>
    <w:rsid w:val="007D3EE6"/>
    <w:rsid w:val="007D4980"/>
    <w:rsid w:val="007D5E2B"/>
    <w:rsid w:val="007D6065"/>
    <w:rsid w:val="007D6D4E"/>
    <w:rsid w:val="007E0CA1"/>
    <w:rsid w:val="007E3056"/>
    <w:rsid w:val="007E524B"/>
    <w:rsid w:val="007E6003"/>
    <w:rsid w:val="007E641E"/>
    <w:rsid w:val="007E79B5"/>
    <w:rsid w:val="007E7D48"/>
    <w:rsid w:val="007F0685"/>
    <w:rsid w:val="007F2C17"/>
    <w:rsid w:val="007F3839"/>
    <w:rsid w:val="007F39F5"/>
    <w:rsid w:val="007F4D7B"/>
    <w:rsid w:val="007F5224"/>
    <w:rsid w:val="007F5241"/>
    <w:rsid w:val="007F6964"/>
    <w:rsid w:val="007F76EC"/>
    <w:rsid w:val="00800C53"/>
    <w:rsid w:val="00802C9C"/>
    <w:rsid w:val="0080331F"/>
    <w:rsid w:val="00806F67"/>
    <w:rsid w:val="00810551"/>
    <w:rsid w:val="008107A9"/>
    <w:rsid w:val="00811071"/>
    <w:rsid w:val="00811AA6"/>
    <w:rsid w:val="00811D4F"/>
    <w:rsid w:val="00811E6A"/>
    <w:rsid w:val="00813094"/>
    <w:rsid w:val="008138CD"/>
    <w:rsid w:val="00813C4F"/>
    <w:rsid w:val="008161EA"/>
    <w:rsid w:val="0081783D"/>
    <w:rsid w:val="00817B6A"/>
    <w:rsid w:val="00820F49"/>
    <w:rsid w:val="00823530"/>
    <w:rsid w:val="008237B2"/>
    <w:rsid w:val="00824101"/>
    <w:rsid w:val="00824C04"/>
    <w:rsid w:val="00825F8E"/>
    <w:rsid w:val="00826E3F"/>
    <w:rsid w:val="008306BC"/>
    <w:rsid w:val="00830C97"/>
    <w:rsid w:val="00831DAA"/>
    <w:rsid w:val="008327A0"/>
    <w:rsid w:val="0083339B"/>
    <w:rsid w:val="008347AE"/>
    <w:rsid w:val="008352A2"/>
    <w:rsid w:val="008358DE"/>
    <w:rsid w:val="00835A61"/>
    <w:rsid w:val="00836EF7"/>
    <w:rsid w:val="00844074"/>
    <w:rsid w:val="00846B25"/>
    <w:rsid w:val="00847376"/>
    <w:rsid w:val="008479F1"/>
    <w:rsid w:val="008510E2"/>
    <w:rsid w:val="008522ED"/>
    <w:rsid w:val="00852F39"/>
    <w:rsid w:val="00853B9E"/>
    <w:rsid w:val="00854157"/>
    <w:rsid w:val="008574C3"/>
    <w:rsid w:val="00861B66"/>
    <w:rsid w:val="00863C58"/>
    <w:rsid w:val="00864011"/>
    <w:rsid w:val="008648A2"/>
    <w:rsid w:val="00864C2B"/>
    <w:rsid w:val="008655EF"/>
    <w:rsid w:val="00870E02"/>
    <w:rsid w:val="00871DCC"/>
    <w:rsid w:val="00872075"/>
    <w:rsid w:val="00875FB3"/>
    <w:rsid w:val="008775AC"/>
    <w:rsid w:val="00880084"/>
    <w:rsid w:val="008811F7"/>
    <w:rsid w:val="00884B08"/>
    <w:rsid w:val="00884F0C"/>
    <w:rsid w:val="00890C00"/>
    <w:rsid w:val="0089282D"/>
    <w:rsid w:val="00894390"/>
    <w:rsid w:val="008949AF"/>
    <w:rsid w:val="008977DC"/>
    <w:rsid w:val="008A117A"/>
    <w:rsid w:val="008A193F"/>
    <w:rsid w:val="008A43DD"/>
    <w:rsid w:val="008A589D"/>
    <w:rsid w:val="008A5C1C"/>
    <w:rsid w:val="008A70A2"/>
    <w:rsid w:val="008B063A"/>
    <w:rsid w:val="008B0681"/>
    <w:rsid w:val="008B151C"/>
    <w:rsid w:val="008B1AA8"/>
    <w:rsid w:val="008B208B"/>
    <w:rsid w:val="008B25BD"/>
    <w:rsid w:val="008B44F7"/>
    <w:rsid w:val="008B45C7"/>
    <w:rsid w:val="008B4D2A"/>
    <w:rsid w:val="008B60BD"/>
    <w:rsid w:val="008B666E"/>
    <w:rsid w:val="008B688A"/>
    <w:rsid w:val="008C2767"/>
    <w:rsid w:val="008C38E8"/>
    <w:rsid w:val="008C5999"/>
    <w:rsid w:val="008C7EC2"/>
    <w:rsid w:val="008D1C15"/>
    <w:rsid w:val="008D26A2"/>
    <w:rsid w:val="008D28ED"/>
    <w:rsid w:val="008D675B"/>
    <w:rsid w:val="008E12A0"/>
    <w:rsid w:val="008E1E71"/>
    <w:rsid w:val="008E3554"/>
    <w:rsid w:val="008E3BEC"/>
    <w:rsid w:val="008E47A2"/>
    <w:rsid w:val="008F130B"/>
    <w:rsid w:val="008F147A"/>
    <w:rsid w:val="008F1B11"/>
    <w:rsid w:val="008F2254"/>
    <w:rsid w:val="008F3A32"/>
    <w:rsid w:val="008F5768"/>
    <w:rsid w:val="008F684B"/>
    <w:rsid w:val="008F6A7B"/>
    <w:rsid w:val="0090143C"/>
    <w:rsid w:val="0090564E"/>
    <w:rsid w:val="0090763F"/>
    <w:rsid w:val="00907E00"/>
    <w:rsid w:val="00910D4B"/>
    <w:rsid w:val="00914716"/>
    <w:rsid w:val="00915316"/>
    <w:rsid w:val="00915745"/>
    <w:rsid w:val="00915DA6"/>
    <w:rsid w:val="009179C4"/>
    <w:rsid w:val="00920343"/>
    <w:rsid w:val="009218E5"/>
    <w:rsid w:val="00921D6C"/>
    <w:rsid w:val="00921DFA"/>
    <w:rsid w:val="00922771"/>
    <w:rsid w:val="009230B7"/>
    <w:rsid w:val="0092394A"/>
    <w:rsid w:val="0092633F"/>
    <w:rsid w:val="0092666F"/>
    <w:rsid w:val="00927BE6"/>
    <w:rsid w:val="00930ACB"/>
    <w:rsid w:val="00930E03"/>
    <w:rsid w:val="00931B5A"/>
    <w:rsid w:val="00932293"/>
    <w:rsid w:val="00933B46"/>
    <w:rsid w:val="00940F18"/>
    <w:rsid w:val="0094270A"/>
    <w:rsid w:val="00942742"/>
    <w:rsid w:val="00944625"/>
    <w:rsid w:val="00944662"/>
    <w:rsid w:val="00945254"/>
    <w:rsid w:val="00945414"/>
    <w:rsid w:val="00945DB8"/>
    <w:rsid w:val="009460F6"/>
    <w:rsid w:val="009463C2"/>
    <w:rsid w:val="009464BD"/>
    <w:rsid w:val="00946C02"/>
    <w:rsid w:val="00947344"/>
    <w:rsid w:val="009477BE"/>
    <w:rsid w:val="00950F35"/>
    <w:rsid w:val="0095116C"/>
    <w:rsid w:val="00952020"/>
    <w:rsid w:val="009521F8"/>
    <w:rsid w:val="009545F6"/>
    <w:rsid w:val="0095509D"/>
    <w:rsid w:val="0095585A"/>
    <w:rsid w:val="00957180"/>
    <w:rsid w:val="00962474"/>
    <w:rsid w:val="00967BCA"/>
    <w:rsid w:val="00967ED4"/>
    <w:rsid w:val="0097334F"/>
    <w:rsid w:val="00973957"/>
    <w:rsid w:val="00973D0A"/>
    <w:rsid w:val="00974CAA"/>
    <w:rsid w:val="009765F7"/>
    <w:rsid w:val="00977737"/>
    <w:rsid w:val="009778B9"/>
    <w:rsid w:val="009837AE"/>
    <w:rsid w:val="00984049"/>
    <w:rsid w:val="00984591"/>
    <w:rsid w:val="009848BB"/>
    <w:rsid w:val="00985971"/>
    <w:rsid w:val="00985A59"/>
    <w:rsid w:val="00986ECD"/>
    <w:rsid w:val="0098789F"/>
    <w:rsid w:val="009900A0"/>
    <w:rsid w:val="009913EC"/>
    <w:rsid w:val="009939C2"/>
    <w:rsid w:val="009A0863"/>
    <w:rsid w:val="009A0B82"/>
    <w:rsid w:val="009A1429"/>
    <w:rsid w:val="009A1972"/>
    <w:rsid w:val="009A21EF"/>
    <w:rsid w:val="009A2E3D"/>
    <w:rsid w:val="009A325E"/>
    <w:rsid w:val="009A39A2"/>
    <w:rsid w:val="009A4B4B"/>
    <w:rsid w:val="009A59A5"/>
    <w:rsid w:val="009A5FFB"/>
    <w:rsid w:val="009B0087"/>
    <w:rsid w:val="009B122C"/>
    <w:rsid w:val="009B2B17"/>
    <w:rsid w:val="009B3108"/>
    <w:rsid w:val="009B36BC"/>
    <w:rsid w:val="009B4184"/>
    <w:rsid w:val="009B50BA"/>
    <w:rsid w:val="009B624C"/>
    <w:rsid w:val="009B6662"/>
    <w:rsid w:val="009C2FFE"/>
    <w:rsid w:val="009C74A3"/>
    <w:rsid w:val="009C7A66"/>
    <w:rsid w:val="009C7C31"/>
    <w:rsid w:val="009D0938"/>
    <w:rsid w:val="009D0D86"/>
    <w:rsid w:val="009D5E6C"/>
    <w:rsid w:val="009D7609"/>
    <w:rsid w:val="009D7824"/>
    <w:rsid w:val="009E1B6B"/>
    <w:rsid w:val="009E2BE4"/>
    <w:rsid w:val="009E4848"/>
    <w:rsid w:val="009F0F8C"/>
    <w:rsid w:val="009F2777"/>
    <w:rsid w:val="009F5901"/>
    <w:rsid w:val="009F5FD2"/>
    <w:rsid w:val="009F74C0"/>
    <w:rsid w:val="009F772A"/>
    <w:rsid w:val="009F7D54"/>
    <w:rsid w:val="009F7EFF"/>
    <w:rsid w:val="00A001F8"/>
    <w:rsid w:val="00A00915"/>
    <w:rsid w:val="00A016BD"/>
    <w:rsid w:val="00A042A6"/>
    <w:rsid w:val="00A065F1"/>
    <w:rsid w:val="00A07EC7"/>
    <w:rsid w:val="00A1051F"/>
    <w:rsid w:val="00A11969"/>
    <w:rsid w:val="00A1298F"/>
    <w:rsid w:val="00A1748C"/>
    <w:rsid w:val="00A179CE"/>
    <w:rsid w:val="00A202C0"/>
    <w:rsid w:val="00A21A2A"/>
    <w:rsid w:val="00A23349"/>
    <w:rsid w:val="00A23A1A"/>
    <w:rsid w:val="00A251C4"/>
    <w:rsid w:val="00A27352"/>
    <w:rsid w:val="00A278C4"/>
    <w:rsid w:val="00A27D11"/>
    <w:rsid w:val="00A305BF"/>
    <w:rsid w:val="00A30646"/>
    <w:rsid w:val="00A363D5"/>
    <w:rsid w:val="00A40465"/>
    <w:rsid w:val="00A411E2"/>
    <w:rsid w:val="00A42787"/>
    <w:rsid w:val="00A42A82"/>
    <w:rsid w:val="00A4401E"/>
    <w:rsid w:val="00A445AF"/>
    <w:rsid w:val="00A4513C"/>
    <w:rsid w:val="00A51731"/>
    <w:rsid w:val="00A51AD9"/>
    <w:rsid w:val="00A52059"/>
    <w:rsid w:val="00A52307"/>
    <w:rsid w:val="00A52B32"/>
    <w:rsid w:val="00A53670"/>
    <w:rsid w:val="00A53DD0"/>
    <w:rsid w:val="00A54165"/>
    <w:rsid w:val="00A5586A"/>
    <w:rsid w:val="00A57536"/>
    <w:rsid w:val="00A57878"/>
    <w:rsid w:val="00A578B5"/>
    <w:rsid w:val="00A57AEE"/>
    <w:rsid w:val="00A6032C"/>
    <w:rsid w:val="00A62E02"/>
    <w:rsid w:val="00A65492"/>
    <w:rsid w:val="00A66B59"/>
    <w:rsid w:val="00A6786E"/>
    <w:rsid w:val="00A67C25"/>
    <w:rsid w:val="00A70D69"/>
    <w:rsid w:val="00A71714"/>
    <w:rsid w:val="00A71BB4"/>
    <w:rsid w:val="00A72370"/>
    <w:rsid w:val="00A7516D"/>
    <w:rsid w:val="00A76B67"/>
    <w:rsid w:val="00A76C70"/>
    <w:rsid w:val="00A77363"/>
    <w:rsid w:val="00A80EE0"/>
    <w:rsid w:val="00A81145"/>
    <w:rsid w:val="00A832DB"/>
    <w:rsid w:val="00A842A5"/>
    <w:rsid w:val="00A8530E"/>
    <w:rsid w:val="00A85BFF"/>
    <w:rsid w:val="00A9300D"/>
    <w:rsid w:val="00A94BB9"/>
    <w:rsid w:val="00A955C1"/>
    <w:rsid w:val="00A9616D"/>
    <w:rsid w:val="00A97976"/>
    <w:rsid w:val="00AA0AD7"/>
    <w:rsid w:val="00AA266E"/>
    <w:rsid w:val="00AA3866"/>
    <w:rsid w:val="00AA44D3"/>
    <w:rsid w:val="00AA4651"/>
    <w:rsid w:val="00AA5FF1"/>
    <w:rsid w:val="00AA69DB"/>
    <w:rsid w:val="00AB1D9E"/>
    <w:rsid w:val="00AB1E8F"/>
    <w:rsid w:val="00AB2842"/>
    <w:rsid w:val="00AB44A5"/>
    <w:rsid w:val="00AB47C5"/>
    <w:rsid w:val="00AB6C5D"/>
    <w:rsid w:val="00AC18F1"/>
    <w:rsid w:val="00AC1E65"/>
    <w:rsid w:val="00AC322F"/>
    <w:rsid w:val="00AC3499"/>
    <w:rsid w:val="00AC3C81"/>
    <w:rsid w:val="00AC5137"/>
    <w:rsid w:val="00AC5D67"/>
    <w:rsid w:val="00AC5FB5"/>
    <w:rsid w:val="00AD22DB"/>
    <w:rsid w:val="00AD2947"/>
    <w:rsid w:val="00AD3E89"/>
    <w:rsid w:val="00AD41C9"/>
    <w:rsid w:val="00AD4A06"/>
    <w:rsid w:val="00AD4C6F"/>
    <w:rsid w:val="00AD6E59"/>
    <w:rsid w:val="00AE0497"/>
    <w:rsid w:val="00AE106B"/>
    <w:rsid w:val="00AE3865"/>
    <w:rsid w:val="00AE3FFA"/>
    <w:rsid w:val="00AE40B7"/>
    <w:rsid w:val="00AE5ABD"/>
    <w:rsid w:val="00AE639F"/>
    <w:rsid w:val="00AF1041"/>
    <w:rsid w:val="00AF106C"/>
    <w:rsid w:val="00AF1C67"/>
    <w:rsid w:val="00AF1E90"/>
    <w:rsid w:val="00AF2565"/>
    <w:rsid w:val="00AF3219"/>
    <w:rsid w:val="00AF4777"/>
    <w:rsid w:val="00AF4E05"/>
    <w:rsid w:val="00AF4EBF"/>
    <w:rsid w:val="00AF5DAC"/>
    <w:rsid w:val="00AF62E5"/>
    <w:rsid w:val="00B00A69"/>
    <w:rsid w:val="00B0192C"/>
    <w:rsid w:val="00B04B72"/>
    <w:rsid w:val="00B050DE"/>
    <w:rsid w:val="00B06760"/>
    <w:rsid w:val="00B06769"/>
    <w:rsid w:val="00B11CE8"/>
    <w:rsid w:val="00B13BCE"/>
    <w:rsid w:val="00B208A1"/>
    <w:rsid w:val="00B240C3"/>
    <w:rsid w:val="00B249B2"/>
    <w:rsid w:val="00B27E40"/>
    <w:rsid w:val="00B30CAD"/>
    <w:rsid w:val="00B3149E"/>
    <w:rsid w:val="00B33AE3"/>
    <w:rsid w:val="00B3655F"/>
    <w:rsid w:val="00B3667E"/>
    <w:rsid w:val="00B37716"/>
    <w:rsid w:val="00B418AE"/>
    <w:rsid w:val="00B43436"/>
    <w:rsid w:val="00B46CB6"/>
    <w:rsid w:val="00B47523"/>
    <w:rsid w:val="00B500D4"/>
    <w:rsid w:val="00B53803"/>
    <w:rsid w:val="00B545F4"/>
    <w:rsid w:val="00B556FF"/>
    <w:rsid w:val="00B56F80"/>
    <w:rsid w:val="00B57B05"/>
    <w:rsid w:val="00B57F39"/>
    <w:rsid w:val="00B612B8"/>
    <w:rsid w:val="00B626B7"/>
    <w:rsid w:val="00B62E07"/>
    <w:rsid w:val="00B71820"/>
    <w:rsid w:val="00B720EA"/>
    <w:rsid w:val="00B73081"/>
    <w:rsid w:val="00B750C3"/>
    <w:rsid w:val="00B768AD"/>
    <w:rsid w:val="00B779B9"/>
    <w:rsid w:val="00B77FA3"/>
    <w:rsid w:val="00B83CE4"/>
    <w:rsid w:val="00B84D07"/>
    <w:rsid w:val="00B85285"/>
    <w:rsid w:val="00B8590E"/>
    <w:rsid w:val="00B8664A"/>
    <w:rsid w:val="00B86859"/>
    <w:rsid w:val="00B875ED"/>
    <w:rsid w:val="00B9081D"/>
    <w:rsid w:val="00B920EC"/>
    <w:rsid w:val="00B927D6"/>
    <w:rsid w:val="00B92897"/>
    <w:rsid w:val="00B935F0"/>
    <w:rsid w:val="00B94B25"/>
    <w:rsid w:val="00B94CFC"/>
    <w:rsid w:val="00B962D6"/>
    <w:rsid w:val="00B965A4"/>
    <w:rsid w:val="00BA0224"/>
    <w:rsid w:val="00BA0674"/>
    <w:rsid w:val="00BA1D62"/>
    <w:rsid w:val="00BA31F9"/>
    <w:rsid w:val="00BA4FF6"/>
    <w:rsid w:val="00BA6893"/>
    <w:rsid w:val="00BB1750"/>
    <w:rsid w:val="00BB250D"/>
    <w:rsid w:val="00BB3057"/>
    <w:rsid w:val="00BB3FCA"/>
    <w:rsid w:val="00BB533A"/>
    <w:rsid w:val="00BB59C1"/>
    <w:rsid w:val="00BB617A"/>
    <w:rsid w:val="00BC3E66"/>
    <w:rsid w:val="00BC5566"/>
    <w:rsid w:val="00BC710C"/>
    <w:rsid w:val="00BC74B0"/>
    <w:rsid w:val="00BC7FB0"/>
    <w:rsid w:val="00BD1B6A"/>
    <w:rsid w:val="00BD1C30"/>
    <w:rsid w:val="00BD2444"/>
    <w:rsid w:val="00BD2BDF"/>
    <w:rsid w:val="00BD2DC1"/>
    <w:rsid w:val="00BD3DE4"/>
    <w:rsid w:val="00BD5659"/>
    <w:rsid w:val="00BD76A2"/>
    <w:rsid w:val="00BD7784"/>
    <w:rsid w:val="00BE105E"/>
    <w:rsid w:val="00BE10F2"/>
    <w:rsid w:val="00BE36EB"/>
    <w:rsid w:val="00BE5597"/>
    <w:rsid w:val="00BE65B7"/>
    <w:rsid w:val="00BE727B"/>
    <w:rsid w:val="00BE7423"/>
    <w:rsid w:val="00BF1451"/>
    <w:rsid w:val="00BF1A6A"/>
    <w:rsid w:val="00BF277E"/>
    <w:rsid w:val="00BF32EC"/>
    <w:rsid w:val="00BF34C4"/>
    <w:rsid w:val="00BF395D"/>
    <w:rsid w:val="00BF6D6B"/>
    <w:rsid w:val="00BF767F"/>
    <w:rsid w:val="00BF77D5"/>
    <w:rsid w:val="00C04ABA"/>
    <w:rsid w:val="00C056AD"/>
    <w:rsid w:val="00C07191"/>
    <w:rsid w:val="00C10064"/>
    <w:rsid w:val="00C12BA0"/>
    <w:rsid w:val="00C139EE"/>
    <w:rsid w:val="00C13DF7"/>
    <w:rsid w:val="00C17269"/>
    <w:rsid w:val="00C1768C"/>
    <w:rsid w:val="00C17D58"/>
    <w:rsid w:val="00C2087C"/>
    <w:rsid w:val="00C20C60"/>
    <w:rsid w:val="00C213A4"/>
    <w:rsid w:val="00C21F74"/>
    <w:rsid w:val="00C2370D"/>
    <w:rsid w:val="00C2393A"/>
    <w:rsid w:val="00C24DBA"/>
    <w:rsid w:val="00C25735"/>
    <w:rsid w:val="00C2738C"/>
    <w:rsid w:val="00C314AF"/>
    <w:rsid w:val="00C334D3"/>
    <w:rsid w:val="00C33EC4"/>
    <w:rsid w:val="00C34CB1"/>
    <w:rsid w:val="00C34DAB"/>
    <w:rsid w:val="00C36A85"/>
    <w:rsid w:val="00C3715F"/>
    <w:rsid w:val="00C40672"/>
    <w:rsid w:val="00C42EBD"/>
    <w:rsid w:val="00C43442"/>
    <w:rsid w:val="00C43971"/>
    <w:rsid w:val="00C44E26"/>
    <w:rsid w:val="00C46162"/>
    <w:rsid w:val="00C47CBD"/>
    <w:rsid w:val="00C50548"/>
    <w:rsid w:val="00C51C97"/>
    <w:rsid w:val="00C5241C"/>
    <w:rsid w:val="00C53F74"/>
    <w:rsid w:val="00C56A48"/>
    <w:rsid w:val="00C620F8"/>
    <w:rsid w:val="00C638F0"/>
    <w:rsid w:val="00C67612"/>
    <w:rsid w:val="00C67C6E"/>
    <w:rsid w:val="00C67E19"/>
    <w:rsid w:val="00C71721"/>
    <w:rsid w:val="00C71799"/>
    <w:rsid w:val="00C71DBE"/>
    <w:rsid w:val="00C72E05"/>
    <w:rsid w:val="00C75226"/>
    <w:rsid w:val="00C753CB"/>
    <w:rsid w:val="00C77BB1"/>
    <w:rsid w:val="00C80A47"/>
    <w:rsid w:val="00C80ACA"/>
    <w:rsid w:val="00C825FE"/>
    <w:rsid w:val="00C85AA1"/>
    <w:rsid w:val="00C879DC"/>
    <w:rsid w:val="00C90AE0"/>
    <w:rsid w:val="00C91C67"/>
    <w:rsid w:val="00C92E09"/>
    <w:rsid w:val="00C93AD7"/>
    <w:rsid w:val="00C93FE6"/>
    <w:rsid w:val="00C94E20"/>
    <w:rsid w:val="00C959CC"/>
    <w:rsid w:val="00C95D2F"/>
    <w:rsid w:val="00C96489"/>
    <w:rsid w:val="00C97421"/>
    <w:rsid w:val="00C97B08"/>
    <w:rsid w:val="00CA282C"/>
    <w:rsid w:val="00CA3015"/>
    <w:rsid w:val="00CA5303"/>
    <w:rsid w:val="00CB3691"/>
    <w:rsid w:val="00CB3BBA"/>
    <w:rsid w:val="00CB4698"/>
    <w:rsid w:val="00CB521E"/>
    <w:rsid w:val="00CB6721"/>
    <w:rsid w:val="00CB6B01"/>
    <w:rsid w:val="00CB6B0F"/>
    <w:rsid w:val="00CB6D43"/>
    <w:rsid w:val="00CC08B5"/>
    <w:rsid w:val="00CC0D24"/>
    <w:rsid w:val="00CC1004"/>
    <w:rsid w:val="00CC2664"/>
    <w:rsid w:val="00CC3195"/>
    <w:rsid w:val="00CC3C61"/>
    <w:rsid w:val="00CC3DD0"/>
    <w:rsid w:val="00CC4E52"/>
    <w:rsid w:val="00CC573D"/>
    <w:rsid w:val="00CD0EC1"/>
    <w:rsid w:val="00CD1A0B"/>
    <w:rsid w:val="00CD2372"/>
    <w:rsid w:val="00CD2A85"/>
    <w:rsid w:val="00CD4F47"/>
    <w:rsid w:val="00CD573A"/>
    <w:rsid w:val="00CD5F37"/>
    <w:rsid w:val="00CD5F56"/>
    <w:rsid w:val="00CE114D"/>
    <w:rsid w:val="00CE1222"/>
    <w:rsid w:val="00CE15E1"/>
    <w:rsid w:val="00CE3A14"/>
    <w:rsid w:val="00CE4347"/>
    <w:rsid w:val="00CE5A0F"/>
    <w:rsid w:val="00CE607F"/>
    <w:rsid w:val="00CE7356"/>
    <w:rsid w:val="00CE7D4B"/>
    <w:rsid w:val="00CF051B"/>
    <w:rsid w:val="00CF130E"/>
    <w:rsid w:val="00CF2A24"/>
    <w:rsid w:val="00CF42CA"/>
    <w:rsid w:val="00CF4470"/>
    <w:rsid w:val="00CF5BE0"/>
    <w:rsid w:val="00CF698A"/>
    <w:rsid w:val="00CF6F4D"/>
    <w:rsid w:val="00D00033"/>
    <w:rsid w:val="00D007CE"/>
    <w:rsid w:val="00D00AF9"/>
    <w:rsid w:val="00D00E17"/>
    <w:rsid w:val="00D03A8A"/>
    <w:rsid w:val="00D0499B"/>
    <w:rsid w:val="00D070CD"/>
    <w:rsid w:val="00D07892"/>
    <w:rsid w:val="00D100C9"/>
    <w:rsid w:val="00D1096F"/>
    <w:rsid w:val="00D10CE5"/>
    <w:rsid w:val="00D117D4"/>
    <w:rsid w:val="00D11A2D"/>
    <w:rsid w:val="00D14B8C"/>
    <w:rsid w:val="00D14BDC"/>
    <w:rsid w:val="00D205D1"/>
    <w:rsid w:val="00D20AA6"/>
    <w:rsid w:val="00D217E8"/>
    <w:rsid w:val="00D2264D"/>
    <w:rsid w:val="00D23A70"/>
    <w:rsid w:val="00D24304"/>
    <w:rsid w:val="00D24765"/>
    <w:rsid w:val="00D24E71"/>
    <w:rsid w:val="00D25014"/>
    <w:rsid w:val="00D26147"/>
    <w:rsid w:val="00D26AB1"/>
    <w:rsid w:val="00D273E7"/>
    <w:rsid w:val="00D2791F"/>
    <w:rsid w:val="00D31052"/>
    <w:rsid w:val="00D338AD"/>
    <w:rsid w:val="00D34273"/>
    <w:rsid w:val="00D34A43"/>
    <w:rsid w:val="00D35446"/>
    <w:rsid w:val="00D36357"/>
    <w:rsid w:val="00D43312"/>
    <w:rsid w:val="00D43499"/>
    <w:rsid w:val="00D4360E"/>
    <w:rsid w:val="00D45568"/>
    <w:rsid w:val="00D456FF"/>
    <w:rsid w:val="00D45CCE"/>
    <w:rsid w:val="00D4792B"/>
    <w:rsid w:val="00D47D83"/>
    <w:rsid w:val="00D50259"/>
    <w:rsid w:val="00D505E9"/>
    <w:rsid w:val="00D513F2"/>
    <w:rsid w:val="00D54101"/>
    <w:rsid w:val="00D5517A"/>
    <w:rsid w:val="00D5557E"/>
    <w:rsid w:val="00D61C47"/>
    <w:rsid w:val="00D626EE"/>
    <w:rsid w:val="00D6642A"/>
    <w:rsid w:val="00D66950"/>
    <w:rsid w:val="00D66C43"/>
    <w:rsid w:val="00D71024"/>
    <w:rsid w:val="00D71BC0"/>
    <w:rsid w:val="00D72232"/>
    <w:rsid w:val="00D74AF9"/>
    <w:rsid w:val="00D7583D"/>
    <w:rsid w:val="00D764EC"/>
    <w:rsid w:val="00D7673A"/>
    <w:rsid w:val="00D8027E"/>
    <w:rsid w:val="00D80DFF"/>
    <w:rsid w:val="00D81016"/>
    <w:rsid w:val="00D8265E"/>
    <w:rsid w:val="00D82901"/>
    <w:rsid w:val="00D83203"/>
    <w:rsid w:val="00D835F1"/>
    <w:rsid w:val="00D8457F"/>
    <w:rsid w:val="00D84996"/>
    <w:rsid w:val="00D85AE3"/>
    <w:rsid w:val="00D861CA"/>
    <w:rsid w:val="00D86240"/>
    <w:rsid w:val="00D86F3C"/>
    <w:rsid w:val="00D8705E"/>
    <w:rsid w:val="00D903EB"/>
    <w:rsid w:val="00D90AF2"/>
    <w:rsid w:val="00D9106C"/>
    <w:rsid w:val="00D91FC3"/>
    <w:rsid w:val="00D93CA3"/>
    <w:rsid w:val="00D9464D"/>
    <w:rsid w:val="00D9600F"/>
    <w:rsid w:val="00D97C86"/>
    <w:rsid w:val="00DA29A3"/>
    <w:rsid w:val="00DA34A6"/>
    <w:rsid w:val="00DA37E1"/>
    <w:rsid w:val="00DA6BAC"/>
    <w:rsid w:val="00DA7753"/>
    <w:rsid w:val="00DB04C4"/>
    <w:rsid w:val="00DB2442"/>
    <w:rsid w:val="00DB7226"/>
    <w:rsid w:val="00DB74BD"/>
    <w:rsid w:val="00DC0BAF"/>
    <w:rsid w:val="00DC1351"/>
    <w:rsid w:val="00DC1E84"/>
    <w:rsid w:val="00DC2AA0"/>
    <w:rsid w:val="00DC2C69"/>
    <w:rsid w:val="00DC3C25"/>
    <w:rsid w:val="00DC4B84"/>
    <w:rsid w:val="00DC6196"/>
    <w:rsid w:val="00DD0462"/>
    <w:rsid w:val="00DD1D62"/>
    <w:rsid w:val="00DD4C23"/>
    <w:rsid w:val="00DD5A03"/>
    <w:rsid w:val="00DD5D69"/>
    <w:rsid w:val="00DD713E"/>
    <w:rsid w:val="00DE1EF7"/>
    <w:rsid w:val="00DE2D53"/>
    <w:rsid w:val="00DE3666"/>
    <w:rsid w:val="00DE4E7E"/>
    <w:rsid w:val="00DE731B"/>
    <w:rsid w:val="00DF01F5"/>
    <w:rsid w:val="00DF0519"/>
    <w:rsid w:val="00DF21F7"/>
    <w:rsid w:val="00DF271C"/>
    <w:rsid w:val="00DF29E4"/>
    <w:rsid w:val="00DF2DB4"/>
    <w:rsid w:val="00DF5D88"/>
    <w:rsid w:val="00DF7BC8"/>
    <w:rsid w:val="00DF7CF2"/>
    <w:rsid w:val="00E007F2"/>
    <w:rsid w:val="00E00975"/>
    <w:rsid w:val="00E01511"/>
    <w:rsid w:val="00E01D49"/>
    <w:rsid w:val="00E02D43"/>
    <w:rsid w:val="00E03D93"/>
    <w:rsid w:val="00E042D8"/>
    <w:rsid w:val="00E04C24"/>
    <w:rsid w:val="00E051F5"/>
    <w:rsid w:val="00E05692"/>
    <w:rsid w:val="00E05C99"/>
    <w:rsid w:val="00E05DF5"/>
    <w:rsid w:val="00E0603C"/>
    <w:rsid w:val="00E07844"/>
    <w:rsid w:val="00E0796C"/>
    <w:rsid w:val="00E1033B"/>
    <w:rsid w:val="00E10A6E"/>
    <w:rsid w:val="00E12C8A"/>
    <w:rsid w:val="00E14E97"/>
    <w:rsid w:val="00E157AA"/>
    <w:rsid w:val="00E1682B"/>
    <w:rsid w:val="00E17524"/>
    <w:rsid w:val="00E20364"/>
    <w:rsid w:val="00E20EBA"/>
    <w:rsid w:val="00E2194B"/>
    <w:rsid w:val="00E21F87"/>
    <w:rsid w:val="00E24794"/>
    <w:rsid w:val="00E25A4E"/>
    <w:rsid w:val="00E25A74"/>
    <w:rsid w:val="00E273F9"/>
    <w:rsid w:val="00E279B9"/>
    <w:rsid w:val="00E27C37"/>
    <w:rsid w:val="00E32374"/>
    <w:rsid w:val="00E339D6"/>
    <w:rsid w:val="00E34B52"/>
    <w:rsid w:val="00E35241"/>
    <w:rsid w:val="00E37D46"/>
    <w:rsid w:val="00E40FFF"/>
    <w:rsid w:val="00E41760"/>
    <w:rsid w:val="00E50787"/>
    <w:rsid w:val="00E52745"/>
    <w:rsid w:val="00E527C5"/>
    <w:rsid w:val="00E54AF0"/>
    <w:rsid w:val="00E56282"/>
    <w:rsid w:val="00E56301"/>
    <w:rsid w:val="00E56514"/>
    <w:rsid w:val="00E57AE5"/>
    <w:rsid w:val="00E60AA9"/>
    <w:rsid w:val="00E61A22"/>
    <w:rsid w:val="00E62194"/>
    <w:rsid w:val="00E62571"/>
    <w:rsid w:val="00E638D6"/>
    <w:rsid w:val="00E63C9C"/>
    <w:rsid w:val="00E64C07"/>
    <w:rsid w:val="00E6665D"/>
    <w:rsid w:val="00E673ED"/>
    <w:rsid w:val="00E72DB0"/>
    <w:rsid w:val="00E72EA5"/>
    <w:rsid w:val="00E749E2"/>
    <w:rsid w:val="00E75599"/>
    <w:rsid w:val="00E75BD6"/>
    <w:rsid w:val="00E7672E"/>
    <w:rsid w:val="00E77201"/>
    <w:rsid w:val="00E809DC"/>
    <w:rsid w:val="00E81319"/>
    <w:rsid w:val="00E8147D"/>
    <w:rsid w:val="00E81901"/>
    <w:rsid w:val="00E81D6D"/>
    <w:rsid w:val="00E85CD7"/>
    <w:rsid w:val="00E86B06"/>
    <w:rsid w:val="00E87CB6"/>
    <w:rsid w:val="00E929D2"/>
    <w:rsid w:val="00E930E6"/>
    <w:rsid w:val="00E93ACE"/>
    <w:rsid w:val="00E94CE9"/>
    <w:rsid w:val="00E96D81"/>
    <w:rsid w:val="00E97835"/>
    <w:rsid w:val="00EA3281"/>
    <w:rsid w:val="00EA6298"/>
    <w:rsid w:val="00EA7B75"/>
    <w:rsid w:val="00EB0F2E"/>
    <w:rsid w:val="00EB2A54"/>
    <w:rsid w:val="00EB2ADF"/>
    <w:rsid w:val="00EB3435"/>
    <w:rsid w:val="00EB3D0F"/>
    <w:rsid w:val="00EB4865"/>
    <w:rsid w:val="00EB5CAC"/>
    <w:rsid w:val="00EB6EA4"/>
    <w:rsid w:val="00EB70D8"/>
    <w:rsid w:val="00EB71D5"/>
    <w:rsid w:val="00EC4470"/>
    <w:rsid w:val="00EC5AE5"/>
    <w:rsid w:val="00EC63F0"/>
    <w:rsid w:val="00EC78C7"/>
    <w:rsid w:val="00ED0BE8"/>
    <w:rsid w:val="00ED4206"/>
    <w:rsid w:val="00ED45A3"/>
    <w:rsid w:val="00ED4DBF"/>
    <w:rsid w:val="00ED5236"/>
    <w:rsid w:val="00ED550D"/>
    <w:rsid w:val="00ED59BE"/>
    <w:rsid w:val="00ED6499"/>
    <w:rsid w:val="00EE1575"/>
    <w:rsid w:val="00EE1BFD"/>
    <w:rsid w:val="00EE2131"/>
    <w:rsid w:val="00EE3B18"/>
    <w:rsid w:val="00EE3BB6"/>
    <w:rsid w:val="00EE53D3"/>
    <w:rsid w:val="00EE57F0"/>
    <w:rsid w:val="00EE5F8D"/>
    <w:rsid w:val="00EE69F3"/>
    <w:rsid w:val="00EE724B"/>
    <w:rsid w:val="00EE75BD"/>
    <w:rsid w:val="00EF1336"/>
    <w:rsid w:val="00EF1952"/>
    <w:rsid w:val="00EF1A2E"/>
    <w:rsid w:val="00EF2017"/>
    <w:rsid w:val="00EF3FE7"/>
    <w:rsid w:val="00EF48FA"/>
    <w:rsid w:val="00EF4D24"/>
    <w:rsid w:val="00EF5552"/>
    <w:rsid w:val="00EF5FD8"/>
    <w:rsid w:val="00EF63C2"/>
    <w:rsid w:val="00F00143"/>
    <w:rsid w:val="00F011EC"/>
    <w:rsid w:val="00F0216A"/>
    <w:rsid w:val="00F02434"/>
    <w:rsid w:val="00F04547"/>
    <w:rsid w:val="00F04F2D"/>
    <w:rsid w:val="00F067A0"/>
    <w:rsid w:val="00F1023C"/>
    <w:rsid w:val="00F109A1"/>
    <w:rsid w:val="00F142FB"/>
    <w:rsid w:val="00F14E98"/>
    <w:rsid w:val="00F17AF5"/>
    <w:rsid w:val="00F202AF"/>
    <w:rsid w:val="00F21935"/>
    <w:rsid w:val="00F21F6D"/>
    <w:rsid w:val="00F225E1"/>
    <w:rsid w:val="00F22AB4"/>
    <w:rsid w:val="00F22E11"/>
    <w:rsid w:val="00F234A4"/>
    <w:rsid w:val="00F23933"/>
    <w:rsid w:val="00F251AD"/>
    <w:rsid w:val="00F253DA"/>
    <w:rsid w:val="00F26A44"/>
    <w:rsid w:val="00F275C2"/>
    <w:rsid w:val="00F31C4B"/>
    <w:rsid w:val="00F31CD3"/>
    <w:rsid w:val="00F3369F"/>
    <w:rsid w:val="00F34173"/>
    <w:rsid w:val="00F349C1"/>
    <w:rsid w:val="00F37019"/>
    <w:rsid w:val="00F373B5"/>
    <w:rsid w:val="00F414D2"/>
    <w:rsid w:val="00F43F83"/>
    <w:rsid w:val="00F456A3"/>
    <w:rsid w:val="00F45A17"/>
    <w:rsid w:val="00F45C34"/>
    <w:rsid w:val="00F50871"/>
    <w:rsid w:val="00F523CC"/>
    <w:rsid w:val="00F52B06"/>
    <w:rsid w:val="00F5340D"/>
    <w:rsid w:val="00F543DC"/>
    <w:rsid w:val="00F553A6"/>
    <w:rsid w:val="00F56AFF"/>
    <w:rsid w:val="00F5752E"/>
    <w:rsid w:val="00F6013B"/>
    <w:rsid w:val="00F63627"/>
    <w:rsid w:val="00F6372D"/>
    <w:rsid w:val="00F63AB4"/>
    <w:rsid w:val="00F63FA7"/>
    <w:rsid w:val="00F64606"/>
    <w:rsid w:val="00F709BB"/>
    <w:rsid w:val="00F71178"/>
    <w:rsid w:val="00F716C7"/>
    <w:rsid w:val="00F723DA"/>
    <w:rsid w:val="00F72B72"/>
    <w:rsid w:val="00F76408"/>
    <w:rsid w:val="00F76BFB"/>
    <w:rsid w:val="00F805D8"/>
    <w:rsid w:val="00F81FE0"/>
    <w:rsid w:val="00F84E45"/>
    <w:rsid w:val="00F85BDE"/>
    <w:rsid w:val="00F877C3"/>
    <w:rsid w:val="00F87892"/>
    <w:rsid w:val="00F87A99"/>
    <w:rsid w:val="00F90A0A"/>
    <w:rsid w:val="00F915B8"/>
    <w:rsid w:val="00F9350F"/>
    <w:rsid w:val="00F952A2"/>
    <w:rsid w:val="00F9658F"/>
    <w:rsid w:val="00FA03BB"/>
    <w:rsid w:val="00FA0F63"/>
    <w:rsid w:val="00FA1248"/>
    <w:rsid w:val="00FA2225"/>
    <w:rsid w:val="00FA2707"/>
    <w:rsid w:val="00FA6377"/>
    <w:rsid w:val="00FA6C8C"/>
    <w:rsid w:val="00FA7354"/>
    <w:rsid w:val="00FB12EF"/>
    <w:rsid w:val="00FB13D1"/>
    <w:rsid w:val="00FB164A"/>
    <w:rsid w:val="00FB22A8"/>
    <w:rsid w:val="00FB455E"/>
    <w:rsid w:val="00FB57E9"/>
    <w:rsid w:val="00FB7551"/>
    <w:rsid w:val="00FB7644"/>
    <w:rsid w:val="00FC28BD"/>
    <w:rsid w:val="00FC31E9"/>
    <w:rsid w:val="00FC3867"/>
    <w:rsid w:val="00FC7D4F"/>
    <w:rsid w:val="00FD0A04"/>
    <w:rsid w:val="00FD16F7"/>
    <w:rsid w:val="00FD215E"/>
    <w:rsid w:val="00FD3346"/>
    <w:rsid w:val="00FD4E6F"/>
    <w:rsid w:val="00FD64F4"/>
    <w:rsid w:val="00FD7D60"/>
    <w:rsid w:val="00FE0CFC"/>
    <w:rsid w:val="00FE1B49"/>
    <w:rsid w:val="00FE2FB4"/>
    <w:rsid w:val="00FE324E"/>
    <w:rsid w:val="00FE3CD5"/>
    <w:rsid w:val="00FE3FBB"/>
    <w:rsid w:val="00FE4509"/>
    <w:rsid w:val="00FE59E2"/>
    <w:rsid w:val="00FE71B4"/>
    <w:rsid w:val="00FE71F9"/>
    <w:rsid w:val="00FF06AB"/>
    <w:rsid w:val="00FF0D91"/>
    <w:rsid w:val="00FF3F20"/>
    <w:rsid w:val="00FF4EE2"/>
    <w:rsid w:val="00FF57A1"/>
    <w:rsid w:val="00FF5F48"/>
    <w:rsid w:val="00FF706C"/>
    <w:rsid w:val="00FF7B69"/>
    <w:rsid w:val="01628850"/>
    <w:rsid w:val="01742626"/>
    <w:rsid w:val="017CA07F"/>
    <w:rsid w:val="019C138E"/>
    <w:rsid w:val="01CA6BE6"/>
    <w:rsid w:val="01D5E11A"/>
    <w:rsid w:val="02A8C9C1"/>
    <w:rsid w:val="02D69B08"/>
    <w:rsid w:val="0305A7CB"/>
    <w:rsid w:val="03506974"/>
    <w:rsid w:val="039E3322"/>
    <w:rsid w:val="03EB67D1"/>
    <w:rsid w:val="04BFC82E"/>
    <w:rsid w:val="04D75F0A"/>
    <w:rsid w:val="051E04CE"/>
    <w:rsid w:val="05272C0F"/>
    <w:rsid w:val="05418F0A"/>
    <w:rsid w:val="05482716"/>
    <w:rsid w:val="05FFDA6D"/>
    <w:rsid w:val="069CD950"/>
    <w:rsid w:val="06A81979"/>
    <w:rsid w:val="06FC4E98"/>
    <w:rsid w:val="0769AB9A"/>
    <w:rsid w:val="07D0521C"/>
    <w:rsid w:val="07D43065"/>
    <w:rsid w:val="07FA277F"/>
    <w:rsid w:val="080B732A"/>
    <w:rsid w:val="082FBE47"/>
    <w:rsid w:val="08554799"/>
    <w:rsid w:val="090E7CD7"/>
    <w:rsid w:val="0913BFEA"/>
    <w:rsid w:val="0A047D7D"/>
    <w:rsid w:val="0A29C69D"/>
    <w:rsid w:val="0AB49108"/>
    <w:rsid w:val="0B75863A"/>
    <w:rsid w:val="0BF884D9"/>
    <w:rsid w:val="0C03256B"/>
    <w:rsid w:val="0C196AF3"/>
    <w:rsid w:val="0C64408D"/>
    <w:rsid w:val="0CF9C373"/>
    <w:rsid w:val="0D187121"/>
    <w:rsid w:val="0D34F628"/>
    <w:rsid w:val="0E3FE948"/>
    <w:rsid w:val="0E4CCA92"/>
    <w:rsid w:val="0F1FA026"/>
    <w:rsid w:val="0F27918A"/>
    <w:rsid w:val="0F389D64"/>
    <w:rsid w:val="0F754A38"/>
    <w:rsid w:val="0FC930C7"/>
    <w:rsid w:val="0FD291F2"/>
    <w:rsid w:val="10519BE1"/>
    <w:rsid w:val="10774741"/>
    <w:rsid w:val="10BFE495"/>
    <w:rsid w:val="11E55F54"/>
    <w:rsid w:val="121E149F"/>
    <w:rsid w:val="1223D693"/>
    <w:rsid w:val="1293A34C"/>
    <w:rsid w:val="12D0EBC6"/>
    <w:rsid w:val="132ABD3D"/>
    <w:rsid w:val="1344EF50"/>
    <w:rsid w:val="13556167"/>
    <w:rsid w:val="1441CD67"/>
    <w:rsid w:val="14929ED9"/>
    <w:rsid w:val="14A25E40"/>
    <w:rsid w:val="1512EC1E"/>
    <w:rsid w:val="1578A26A"/>
    <w:rsid w:val="15D3F22E"/>
    <w:rsid w:val="15EFA753"/>
    <w:rsid w:val="16B4EC58"/>
    <w:rsid w:val="16FD22F0"/>
    <w:rsid w:val="170B89C2"/>
    <w:rsid w:val="189C9A57"/>
    <w:rsid w:val="18CC4CF3"/>
    <w:rsid w:val="18EB76E9"/>
    <w:rsid w:val="192E6674"/>
    <w:rsid w:val="196EC2D2"/>
    <w:rsid w:val="197642CC"/>
    <w:rsid w:val="19C74366"/>
    <w:rsid w:val="19EA9A72"/>
    <w:rsid w:val="1AC01C1B"/>
    <w:rsid w:val="1B0FCAA7"/>
    <w:rsid w:val="1B1BA798"/>
    <w:rsid w:val="1B8E8053"/>
    <w:rsid w:val="1BA44F09"/>
    <w:rsid w:val="1C2DFA1F"/>
    <w:rsid w:val="1C75A147"/>
    <w:rsid w:val="1D68F701"/>
    <w:rsid w:val="1E37EDDE"/>
    <w:rsid w:val="1E891F85"/>
    <w:rsid w:val="1F2236B1"/>
    <w:rsid w:val="1F5AF6A3"/>
    <w:rsid w:val="1FA225C8"/>
    <w:rsid w:val="1FC9DB12"/>
    <w:rsid w:val="2061C98C"/>
    <w:rsid w:val="20A4666C"/>
    <w:rsid w:val="20B54AC2"/>
    <w:rsid w:val="21078D46"/>
    <w:rsid w:val="2147D914"/>
    <w:rsid w:val="216DE011"/>
    <w:rsid w:val="219B554B"/>
    <w:rsid w:val="21A598FB"/>
    <w:rsid w:val="225896B4"/>
    <w:rsid w:val="2303E673"/>
    <w:rsid w:val="231AE183"/>
    <w:rsid w:val="2322F9B0"/>
    <w:rsid w:val="23748D29"/>
    <w:rsid w:val="23D1995F"/>
    <w:rsid w:val="252D3487"/>
    <w:rsid w:val="2538FC26"/>
    <w:rsid w:val="25411C18"/>
    <w:rsid w:val="2602C93D"/>
    <w:rsid w:val="260E35FB"/>
    <w:rsid w:val="274D2123"/>
    <w:rsid w:val="27B97140"/>
    <w:rsid w:val="289DD51F"/>
    <w:rsid w:val="28C6DC5E"/>
    <w:rsid w:val="28E446D7"/>
    <w:rsid w:val="29289765"/>
    <w:rsid w:val="29676AE3"/>
    <w:rsid w:val="29E20CA7"/>
    <w:rsid w:val="2A5DC320"/>
    <w:rsid w:val="2B0A9A9E"/>
    <w:rsid w:val="2BA97F79"/>
    <w:rsid w:val="2C0CCEC3"/>
    <w:rsid w:val="2C1C91E1"/>
    <w:rsid w:val="2C898C56"/>
    <w:rsid w:val="2CF2FAED"/>
    <w:rsid w:val="2DAC5B48"/>
    <w:rsid w:val="2DBA6A19"/>
    <w:rsid w:val="2DFF7DB9"/>
    <w:rsid w:val="2E029813"/>
    <w:rsid w:val="2E91602D"/>
    <w:rsid w:val="2FF59319"/>
    <w:rsid w:val="3007A457"/>
    <w:rsid w:val="31574FE8"/>
    <w:rsid w:val="328C431C"/>
    <w:rsid w:val="32ECCC2F"/>
    <w:rsid w:val="34208549"/>
    <w:rsid w:val="3584BC6F"/>
    <w:rsid w:val="35E3982D"/>
    <w:rsid w:val="35ED5FF0"/>
    <w:rsid w:val="3609EDF3"/>
    <w:rsid w:val="3629515B"/>
    <w:rsid w:val="37225E9E"/>
    <w:rsid w:val="3765212F"/>
    <w:rsid w:val="37C5D77F"/>
    <w:rsid w:val="38C19DB4"/>
    <w:rsid w:val="39019B36"/>
    <w:rsid w:val="39428F76"/>
    <w:rsid w:val="394B67DA"/>
    <w:rsid w:val="396F991A"/>
    <w:rsid w:val="3AB55555"/>
    <w:rsid w:val="3B2A997C"/>
    <w:rsid w:val="3B47D24F"/>
    <w:rsid w:val="3B7D4B41"/>
    <w:rsid w:val="3C05D9CF"/>
    <w:rsid w:val="3C1A4C38"/>
    <w:rsid w:val="3C874F59"/>
    <w:rsid w:val="3D2FE0D4"/>
    <w:rsid w:val="3E54820F"/>
    <w:rsid w:val="3E958229"/>
    <w:rsid w:val="3EEC06AA"/>
    <w:rsid w:val="3EFE3313"/>
    <w:rsid w:val="3F21803E"/>
    <w:rsid w:val="3F6576A5"/>
    <w:rsid w:val="3FC9887E"/>
    <w:rsid w:val="3FCB6AE7"/>
    <w:rsid w:val="3FD36C9D"/>
    <w:rsid w:val="4197B272"/>
    <w:rsid w:val="41B12E23"/>
    <w:rsid w:val="4359178D"/>
    <w:rsid w:val="439CD56E"/>
    <w:rsid w:val="4478FE6C"/>
    <w:rsid w:val="44A6062C"/>
    <w:rsid w:val="44DA8A22"/>
    <w:rsid w:val="44F14691"/>
    <w:rsid w:val="45310854"/>
    <w:rsid w:val="45835977"/>
    <w:rsid w:val="45B71F13"/>
    <w:rsid w:val="46465801"/>
    <w:rsid w:val="46A0A18C"/>
    <w:rsid w:val="46BB877A"/>
    <w:rsid w:val="46F695A2"/>
    <w:rsid w:val="47720208"/>
    <w:rsid w:val="479CECA0"/>
    <w:rsid w:val="498DEFFF"/>
    <w:rsid w:val="49A51E65"/>
    <w:rsid w:val="49D47DEE"/>
    <w:rsid w:val="4A2D328F"/>
    <w:rsid w:val="4B5648AE"/>
    <w:rsid w:val="4B6490B4"/>
    <w:rsid w:val="4BF38EC0"/>
    <w:rsid w:val="4BF6FDC7"/>
    <w:rsid w:val="4C3668E7"/>
    <w:rsid w:val="4C5C0B8C"/>
    <w:rsid w:val="4CB7B272"/>
    <w:rsid w:val="4CBA6C96"/>
    <w:rsid w:val="4CCC9062"/>
    <w:rsid w:val="4D5BD762"/>
    <w:rsid w:val="4D7F96D5"/>
    <w:rsid w:val="4DCBCE14"/>
    <w:rsid w:val="4E956804"/>
    <w:rsid w:val="500CE529"/>
    <w:rsid w:val="50153E32"/>
    <w:rsid w:val="505F906D"/>
    <w:rsid w:val="50C9E872"/>
    <w:rsid w:val="515EE9EF"/>
    <w:rsid w:val="525585DA"/>
    <w:rsid w:val="531E4B2A"/>
    <w:rsid w:val="536FB4EF"/>
    <w:rsid w:val="53B43F4B"/>
    <w:rsid w:val="53B4F072"/>
    <w:rsid w:val="5417DD31"/>
    <w:rsid w:val="54963665"/>
    <w:rsid w:val="554CFE6F"/>
    <w:rsid w:val="556550B7"/>
    <w:rsid w:val="55991213"/>
    <w:rsid w:val="559CA026"/>
    <w:rsid w:val="55B8BFEA"/>
    <w:rsid w:val="56534A14"/>
    <w:rsid w:val="567CC0C0"/>
    <w:rsid w:val="568688AA"/>
    <w:rsid w:val="56ADCA69"/>
    <w:rsid w:val="57914995"/>
    <w:rsid w:val="57B24E92"/>
    <w:rsid w:val="589DC330"/>
    <w:rsid w:val="58C8420A"/>
    <w:rsid w:val="594F2902"/>
    <w:rsid w:val="59842345"/>
    <w:rsid w:val="598A6DBE"/>
    <w:rsid w:val="59F1ED5B"/>
    <w:rsid w:val="5B4B7023"/>
    <w:rsid w:val="5B50FB9C"/>
    <w:rsid w:val="5C1AE034"/>
    <w:rsid w:val="5C516993"/>
    <w:rsid w:val="5CD8EA1D"/>
    <w:rsid w:val="5D3B44E2"/>
    <w:rsid w:val="5D662884"/>
    <w:rsid w:val="5DCE9FF3"/>
    <w:rsid w:val="5EC14D2E"/>
    <w:rsid w:val="5F2F1658"/>
    <w:rsid w:val="5F35FC77"/>
    <w:rsid w:val="5FBED3BA"/>
    <w:rsid w:val="60DED4A6"/>
    <w:rsid w:val="611B3A84"/>
    <w:rsid w:val="611BF53E"/>
    <w:rsid w:val="616D5C8C"/>
    <w:rsid w:val="617D61DC"/>
    <w:rsid w:val="6181923F"/>
    <w:rsid w:val="619A2801"/>
    <w:rsid w:val="61A6E54D"/>
    <w:rsid w:val="6269DB93"/>
    <w:rsid w:val="6278E0AB"/>
    <w:rsid w:val="62A9918E"/>
    <w:rsid w:val="635EC3BD"/>
    <w:rsid w:val="63A8E32D"/>
    <w:rsid w:val="63BFFBCA"/>
    <w:rsid w:val="63CC4389"/>
    <w:rsid w:val="644EFF52"/>
    <w:rsid w:val="6474A0EE"/>
    <w:rsid w:val="64B2A260"/>
    <w:rsid w:val="6520CB31"/>
    <w:rsid w:val="6531A866"/>
    <w:rsid w:val="65389A79"/>
    <w:rsid w:val="65E3A00E"/>
    <w:rsid w:val="6611161D"/>
    <w:rsid w:val="66CD2C4F"/>
    <w:rsid w:val="66D424C9"/>
    <w:rsid w:val="66F40566"/>
    <w:rsid w:val="67308438"/>
    <w:rsid w:val="677F3401"/>
    <w:rsid w:val="68697917"/>
    <w:rsid w:val="6914CBC9"/>
    <w:rsid w:val="6952C3E9"/>
    <w:rsid w:val="699AB49B"/>
    <w:rsid w:val="6A0E5491"/>
    <w:rsid w:val="6A6A6A45"/>
    <w:rsid w:val="6AA10E4D"/>
    <w:rsid w:val="6AE0D13B"/>
    <w:rsid w:val="6AEC0B11"/>
    <w:rsid w:val="6BAD2FBC"/>
    <w:rsid w:val="6BF5D97F"/>
    <w:rsid w:val="6C4B7E59"/>
    <w:rsid w:val="6C6B93AE"/>
    <w:rsid w:val="6C91D05B"/>
    <w:rsid w:val="6CA623CD"/>
    <w:rsid w:val="6CFB05AE"/>
    <w:rsid w:val="6DB4AC73"/>
    <w:rsid w:val="6DE8E634"/>
    <w:rsid w:val="6E93BD5D"/>
    <w:rsid w:val="6EDB6529"/>
    <w:rsid w:val="6EE74F9F"/>
    <w:rsid w:val="7072BBCF"/>
    <w:rsid w:val="70752866"/>
    <w:rsid w:val="70C32A35"/>
    <w:rsid w:val="70F5F1AA"/>
    <w:rsid w:val="710FF477"/>
    <w:rsid w:val="719F274F"/>
    <w:rsid w:val="7229ED94"/>
    <w:rsid w:val="7320F6F3"/>
    <w:rsid w:val="7322C1D2"/>
    <w:rsid w:val="732B8AE1"/>
    <w:rsid w:val="736E07F0"/>
    <w:rsid w:val="737D2EC7"/>
    <w:rsid w:val="73D72B40"/>
    <w:rsid w:val="74012AE8"/>
    <w:rsid w:val="74074E2C"/>
    <w:rsid w:val="745E2BEE"/>
    <w:rsid w:val="7462FA3D"/>
    <w:rsid w:val="7465FE6B"/>
    <w:rsid w:val="755DED53"/>
    <w:rsid w:val="755FA2C5"/>
    <w:rsid w:val="7564D2BD"/>
    <w:rsid w:val="756BF0EE"/>
    <w:rsid w:val="75B75E73"/>
    <w:rsid w:val="75C3458B"/>
    <w:rsid w:val="75EC88B2"/>
    <w:rsid w:val="763B9116"/>
    <w:rsid w:val="7684E371"/>
    <w:rsid w:val="769F4815"/>
    <w:rsid w:val="776363B7"/>
    <w:rsid w:val="784F3496"/>
    <w:rsid w:val="78FB9138"/>
    <w:rsid w:val="79063241"/>
    <w:rsid w:val="795668DF"/>
    <w:rsid w:val="79C72436"/>
    <w:rsid w:val="7ACBB4C2"/>
    <w:rsid w:val="7B228669"/>
    <w:rsid w:val="7B2829CE"/>
    <w:rsid w:val="7B44BBA4"/>
    <w:rsid w:val="7B525149"/>
    <w:rsid w:val="7BC7574B"/>
    <w:rsid w:val="7BD8DA82"/>
    <w:rsid w:val="7C9877BB"/>
    <w:rsid w:val="7CE66B1D"/>
    <w:rsid w:val="7D456025"/>
    <w:rsid w:val="7E480786"/>
    <w:rsid w:val="7EA44D2C"/>
    <w:rsid w:val="7EEE0C4A"/>
    <w:rsid w:val="7F27922B"/>
    <w:rsid w:val="7F6594BE"/>
    <w:rsid w:val="7F720FDA"/>
    <w:rsid w:val="7F9C2232"/>
    <w:rsid w:val="7FDB6E6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4A822"/>
  <w15:docId w15:val="{33DE839C-D87B-4E2B-BF73-EC34AF00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otham Book" w:eastAsia="Gotham Book" w:hAnsi="Gotham Book" w:cs="Times New Roman"/>
        <w:sz w:val="22"/>
        <w:szCs w:val="22"/>
        <w:lang w:val="fr-FR"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Normal"/>
    <w:next w:val="Normal"/>
    <w:link w:val="Titre1Car"/>
    <w:uiPriority w:val="9"/>
    <w:qFormat/>
    <w:rsid w:val="00B33AE3"/>
    <w:pPr>
      <w:keepNext/>
      <w:keepLines/>
      <w:spacing w:before="240" w:after="0"/>
      <w:outlineLvl w:val="0"/>
    </w:pPr>
    <w:rPr>
      <w:rFonts w:asciiTheme="majorHAnsi" w:eastAsiaTheme="majorEastAsia" w:hAnsiTheme="majorHAnsi" w:cstheme="majorBidi"/>
      <w:color w:val="1983BD" w:themeColor="accent1" w:themeShade="BF"/>
      <w:sz w:val="32"/>
      <w:szCs w:val="32"/>
    </w:rPr>
  </w:style>
  <w:style w:type="paragraph" w:styleId="Titre3">
    <w:name w:val="heading 3"/>
    <w:basedOn w:val="Normal"/>
    <w:next w:val="Normal"/>
    <w:link w:val="Titre3Car"/>
    <w:uiPriority w:val="9"/>
    <w:semiHidden/>
    <w:unhideWhenUsed/>
    <w:qFormat/>
    <w:rsid w:val="003B1F77"/>
    <w:pPr>
      <w:keepNext/>
      <w:keepLines/>
      <w:spacing w:before="40" w:after="0"/>
      <w:outlineLvl w:val="2"/>
    </w:pPr>
    <w:rPr>
      <w:rFonts w:asciiTheme="majorHAnsi" w:eastAsiaTheme="majorEastAsia" w:hAnsiTheme="majorHAnsi" w:cstheme="majorBidi"/>
      <w:color w:val="10577D"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3AE3"/>
    <w:rPr>
      <w:rFonts w:asciiTheme="majorHAnsi" w:eastAsiaTheme="majorEastAsia" w:hAnsiTheme="majorHAnsi" w:cstheme="majorBidi"/>
      <w:color w:val="1983BD" w:themeColor="accent1" w:themeShade="BF"/>
      <w:sz w:val="32"/>
      <w:szCs w:val="32"/>
    </w:rPr>
  </w:style>
  <w:style w:type="character" w:customStyle="1" w:styleId="Titre3Car">
    <w:name w:val="Titre 3 Car"/>
    <w:basedOn w:val="Policepardfaut"/>
    <w:link w:val="Titre3"/>
    <w:uiPriority w:val="9"/>
    <w:semiHidden/>
    <w:rsid w:val="003B1F77"/>
    <w:rPr>
      <w:rFonts w:asciiTheme="majorHAnsi" w:eastAsiaTheme="majorEastAsia" w:hAnsiTheme="majorHAnsi" w:cstheme="majorBidi"/>
      <w:color w:val="10577D" w:themeColor="accent1" w:themeShade="7F"/>
      <w:sz w:val="24"/>
      <w:szCs w:val="24"/>
    </w:rPr>
  </w:style>
  <w:style w:type="paragraph" w:styleId="En-tte">
    <w:name w:val="header"/>
    <w:basedOn w:val="Normal"/>
    <w:pPr>
      <w:tabs>
        <w:tab w:val="center" w:pos="4536"/>
        <w:tab w:val="right" w:pos="9072"/>
      </w:tabs>
      <w:spacing w:after="0"/>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pPr>
  </w:style>
  <w:style w:type="character" w:customStyle="1" w:styleId="PieddepageCar">
    <w:name w:val="Pied de page Car"/>
    <w:basedOn w:val="Policepardfaut"/>
    <w:uiPriority w:val="99"/>
  </w:style>
  <w:style w:type="paragraph" w:styleId="Paragraphedeliste">
    <w:name w:val="List Paragraph"/>
    <w:basedOn w:val="Normal"/>
    <w:link w:val="ParagraphedelisteCar"/>
    <w:uiPriority w:val="34"/>
    <w:qFormat/>
    <w:pPr>
      <w:spacing w:after="0"/>
      <w:ind w:left="720"/>
      <w:contextualSpacing/>
    </w:pPr>
    <w:rPr>
      <w:rFonts w:ascii="Calibri" w:hAnsi="Calibri" w:cs="Calibri"/>
    </w:rPr>
  </w:style>
  <w:style w:type="character" w:customStyle="1" w:styleId="ParagraphedelisteCar">
    <w:name w:val="Paragraphe de liste Car"/>
    <w:basedOn w:val="Policepardfaut"/>
    <w:link w:val="Paragraphedeliste"/>
    <w:uiPriority w:val="34"/>
    <w:rsid w:val="00B33AE3"/>
    <w:rPr>
      <w:rFonts w:ascii="Calibri" w:hAnsi="Calibri" w:cs="Calibri"/>
    </w:rPr>
  </w:style>
  <w:style w:type="character" w:styleId="Lienhypertexte">
    <w:name w:val="Hyperlink"/>
    <w:basedOn w:val="Policepardfaut"/>
    <w:rPr>
      <w:color w:val="7B7B7B"/>
      <w:u w:val="single"/>
    </w:rPr>
  </w:style>
  <w:style w:type="character" w:styleId="Mentionnonrsolue">
    <w:name w:val="Unresolved Mention"/>
    <w:basedOn w:val="Policepardfaut"/>
    <w:rPr>
      <w:color w:val="605E5C"/>
      <w:shd w:val="clear" w:color="auto" w:fill="E1DFDD"/>
    </w:rPr>
  </w:style>
  <w:style w:type="paragraph" w:styleId="Sansinterligne">
    <w:name w:val="No Spacing"/>
    <w:pPr>
      <w:suppressAutoHyphens/>
      <w:spacing w:after="0"/>
    </w:pPr>
  </w:style>
  <w:style w:type="character" w:customStyle="1" w:styleId="CommentaireCar">
    <w:name w:val="Commentaire Car"/>
    <w:basedOn w:val="Policepardfaut"/>
    <w:rPr>
      <w:sz w:val="20"/>
      <w:szCs w:val="20"/>
    </w:rPr>
  </w:style>
  <w:style w:type="paragraph" w:styleId="Textedebulles">
    <w:name w:val="Balloon Text"/>
    <w:basedOn w:val="Normal"/>
    <w:pPr>
      <w:spacing w:after="0"/>
    </w:pPr>
    <w:rPr>
      <w:rFonts w:ascii="Segoe UI" w:hAnsi="Segoe UI" w:cs="Segoe UI"/>
      <w:sz w:val="18"/>
      <w:szCs w:val="18"/>
    </w:rPr>
  </w:style>
  <w:style w:type="character" w:customStyle="1" w:styleId="TextedebullesCar">
    <w:name w:val="Texte de bulles Car"/>
    <w:basedOn w:val="Policepardfaut"/>
    <w:rPr>
      <w:rFonts w:ascii="Segoe UI" w:hAnsi="Segoe UI" w:cs="Segoe UI"/>
      <w:sz w:val="18"/>
      <w:szCs w:val="18"/>
    </w:rPr>
  </w:style>
  <w:style w:type="paragraph" w:styleId="Notedefin">
    <w:name w:val="endnote text"/>
    <w:basedOn w:val="Normal"/>
    <w:pPr>
      <w:spacing w:after="0"/>
    </w:pPr>
    <w:rPr>
      <w:sz w:val="20"/>
      <w:szCs w:val="20"/>
    </w:rPr>
  </w:style>
  <w:style w:type="character" w:customStyle="1" w:styleId="NotedefinCar">
    <w:name w:val="Note de fin Car"/>
    <w:basedOn w:val="Policepardfaut"/>
    <w:rPr>
      <w:sz w:val="20"/>
      <w:szCs w:val="20"/>
    </w:rPr>
  </w:style>
  <w:style w:type="character" w:styleId="Appeldenotedefin">
    <w:name w:val="endnote reference"/>
    <w:basedOn w:val="Policepardfaut"/>
    <w:rPr>
      <w:position w:val="0"/>
      <w:vertAlign w:val="superscript"/>
    </w:rPr>
  </w:style>
  <w:style w:type="character" w:customStyle="1" w:styleId="ObjetducommentaireCar">
    <w:name w:val="Objet du commentaire Car"/>
    <w:basedOn w:val="CommentaireCar"/>
    <w:rPr>
      <w:b/>
      <w:bCs/>
      <w:sz w:val="20"/>
      <w:szCs w:val="20"/>
    </w:rPr>
  </w:style>
  <w:style w:type="paragraph" w:styleId="Rvision">
    <w:name w:val="Revision"/>
    <w:pPr>
      <w:suppressAutoHyphens/>
      <w:spacing w:after="0"/>
    </w:pPr>
  </w:style>
  <w:style w:type="paragraph" w:customStyle="1" w:styleId="Default">
    <w:name w:val="Default"/>
    <w:pPr>
      <w:suppressAutoHyphens/>
      <w:autoSpaceDE w:val="0"/>
      <w:spacing w:after="0"/>
    </w:pPr>
    <w:rPr>
      <w:rFonts w:ascii="Gotham Bold" w:hAnsi="Gotham Bold" w:cs="Gotham Bold"/>
      <w:color w:val="000000"/>
      <w:sz w:val="24"/>
      <w:szCs w:val="24"/>
    </w:rPr>
  </w:style>
  <w:style w:type="paragraph" w:styleId="Notedebasdepage">
    <w:name w:val="footnote text"/>
    <w:basedOn w:val="Normal"/>
    <w:pPr>
      <w:spacing w:after="0"/>
    </w:pPr>
    <w:rPr>
      <w:sz w:val="20"/>
      <w:szCs w:val="20"/>
    </w:rPr>
  </w:style>
  <w:style w:type="character" w:customStyle="1" w:styleId="NotedebasdepageCar">
    <w:name w:val="Note de bas de page Car"/>
    <w:basedOn w:val="Policepardfaut"/>
    <w:rPr>
      <w:sz w:val="20"/>
      <w:szCs w:val="20"/>
    </w:rPr>
  </w:style>
  <w:style w:type="character" w:styleId="Appelnotedebasdep">
    <w:name w:val="footnote reference"/>
    <w:basedOn w:val="Policepardfaut"/>
    <w:rPr>
      <w:position w:val="0"/>
      <w:vertAlign w:val="superscript"/>
    </w:rPr>
  </w:style>
  <w:style w:type="paragraph" w:customStyle="1" w:styleId="Body2">
    <w:name w:val="Body 2"/>
    <w:basedOn w:val="Normal"/>
    <w:rsid w:val="00566AEC"/>
    <w:pPr>
      <w:suppressAutoHyphens w:val="0"/>
      <w:autoSpaceDN/>
      <w:spacing w:after="140" w:line="290" w:lineRule="auto"/>
      <w:ind w:left="992"/>
      <w:jc w:val="both"/>
    </w:pPr>
    <w:rPr>
      <w:rFonts w:ascii="Times New Roman" w:eastAsia="Times New Roman" w:hAnsi="Times New Roman"/>
      <w:kern w:val="20"/>
      <w:sz w:val="20"/>
      <w:szCs w:val="20"/>
      <w:lang w:val="en-GB"/>
    </w:rPr>
  </w:style>
  <w:style w:type="paragraph" w:styleId="NormalWeb">
    <w:name w:val="Normal (Web)"/>
    <w:basedOn w:val="Normal"/>
    <w:uiPriority w:val="99"/>
    <w:semiHidden/>
    <w:unhideWhenUsed/>
    <w:rsid w:val="001A58F2"/>
    <w:rPr>
      <w:rFonts w:ascii="Times New Roman" w:hAnsi="Times New Roman"/>
      <w:sz w:val="24"/>
      <w:szCs w:val="24"/>
    </w:rPr>
  </w:style>
  <w:style w:type="character" w:styleId="Mention">
    <w:name w:val="Mention"/>
    <w:basedOn w:val="Policepardfaut"/>
    <w:uiPriority w:val="99"/>
    <w:unhideWhenUsed/>
    <w:rsid w:val="006B756B"/>
    <w:rPr>
      <w:color w:val="2B579A"/>
      <w:shd w:val="clear" w:color="auto" w:fill="E1DFDD"/>
    </w:rPr>
  </w:style>
  <w:style w:type="character" w:styleId="Lienhypertextesuivivisit">
    <w:name w:val="FollowedHyperlink"/>
    <w:basedOn w:val="Policepardfaut"/>
    <w:uiPriority w:val="99"/>
    <w:semiHidden/>
    <w:unhideWhenUsed/>
    <w:rsid w:val="00D45CCE"/>
    <w:rPr>
      <w:color w:val="DBDBDB" w:themeColor="followedHyperlink"/>
      <w:u w:val="single"/>
    </w:rPr>
  </w:style>
  <w:style w:type="character" w:customStyle="1" w:styleId="CommentReference1">
    <w:name w:val="Comment Reference1"/>
    <w:basedOn w:val="Policepardfaut"/>
    <w:uiPriority w:val="99"/>
    <w:rsid w:val="008B208B"/>
    <w:rPr>
      <w:sz w:val="16"/>
      <w:szCs w:val="16"/>
    </w:rPr>
  </w:style>
  <w:style w:type="paragraph" w:customStyle="1" w:styleId="CommentText1">
    <w:name w:val="Comment Text1"/>
    <w:basedOn w:val="Normal"/>
    <w:uiPriority w:val="99"/>
    <w:rsid w:val="008B208B"/>
    <w:rPr>
      <w:sz w:val="20"/>
      <w:szCs w:val="20"/>
    </w:rPr>
  </w:style>
  <w:style w:type="paragraph" w:customStyle="1" w:styleId="CommentSubject1">
    <w:name w:val="Comment Subject1"/>
    <w:basedOn w:val="CommentText1"/>
    <w:next w:val="CommentText1"/>
    <w:rsid w:val="008B208B"/>
    <w:rPr>
      <w:b/>
      <w:bCs/>
    </w:rPr>
  </w:style>
  <w:style w:type="paragraph" w:styleId="Commentaire">
    <w:name w:val="annotation text"/>
    <w:basedOn w:val="Normal"/>
    <w:link w:val="CommentaireCar1"/>
    <w:uiPriority w:val="99"/>
    <w:unhideWhenUsed/>
    <w:rPr>
      <w:sz w:val="20"/>
      <w:szCs w:val="20"/>
    </w:rPr>
  </w:style>
  <w:style w:type="character" w:customStyle="1" w:styleId="CommentaireCar1">
    <w:name w:val="Commentaire Car1"/>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1"/>
    <w:uiPriority w:val="99"/>
    <w:semiHidden/>
    <w:unhideWhenUsed/>
    <w:rsid w:val="00EB71D5"/>
    <w:rPr>
      <w:b/>
      <w:bCs/>
    </w:rPr>
  </w:style>
  <w:style w:type="character" w:customStyle="1" w:styleId="ObjetducommentaireCar1">
    <w:name w:val="Objet du commentaire Car1"/>
    <w:basedOn w:val="CommentaireCar1"/>
    <w:link w:val="Objetducommentaire"/>
    <w:uiPriority w:val="99"/>
    <w:semiHidden/>
    <w:rsid w:val="00EB71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782690">
      <w:bodyDiv w:val="1"/>
      <w:marLeft w:val="0"/>
      <w:marRight w:val="0"/>
      <w:marTop w:val="0"/>
      <w:marBottom w:val="0"/>
      <w:divBdr>
        <w:top w:val="none" w:sz="0" w:space="0" w:color="auto"/>
        <w:left w:val="none" w:sz="0" w:space="0" w:color="auto"/>
        <w:bottom w:val="none" w:sz="0" w:space="0" w:color="auto"/>
        <w:right w:val="none" w:sz="0" w:space="0" w:color="auto"/>
      </w:divBdr>
    </w:div>
    <w:div w:id="1100294891">
      <w:bodyDiv w:val="1"/>
      <w:marLeft w:val="0"/>
      <w:marRight w:val="0"/>
      <w:marTop w:val="0"/>
      <w:marBottom w:val="0"/>
      <w:divBdr>
        <w:top w:val="none" w:sz="0" w:space="0" w:color="auto"/>
        <w:left w:val="none" w:sz="0" w:space="0" w:color="auto"/>
        <w:bottom w:val="none" w:sz="0" w:space="0" w:color="auto"/>
        <w:right w:val="none" w:sz="0" w:space="0" w:color="auto"/>
      </w:divBdr>
    </w:div>
    <w:div w:id="1238199982">
      <w:bodyDiv w:val="1"/>
      <w:marLeft w:val="0"/>
      <w:marRight w:val="0"/>
      <w:marTop w:val="0"/>
      <w:marBottom w:val="0"/>
      <w:divBdr>
        <w:top w:val="none" w:sz="0" w:space="0" w:color="auto"/>
        <w:left w:val="none" w:sz="0" w:space="0" w:color="auto"/>
        <w:bottom w:val="none" w:sz="0" w:space="0" w:color="auto"/>
        <w:right w:val="none" w:sz="0" w:space="0" w:color="auto"/>
      </w:divBdr>
    </w:div>
    <w:div w:id="1948854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ence-france-locale.fr/app/uploads/2026/01/afl_ppt_rapport_2025-fr.pdf" TargetMode="External"/><Relationship Id="rId18" Type="http://schemas.openxmlformats.org/officeDocument/2006/relationships/hyperlink" Target="mailto:justine.guigues@afl-banque.fr"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afl-banque.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gence-france-locale.fr/actualite/resultats-annuels-2025-le-groupe-afl-enregistre-des-resultats-historiques-et-double-son-resultat-ne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agence-france-locale.fr"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gence-france-locale.fr/app/uploads/2026/03/afl-rapport-esg-2025_03_19_fr.pdf"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justine.guigues@afl-banque.f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ustine.guigues@afl-banque.fr" TargetMode="External"/></Relationships>
</file>

<file path=word/theme/theme1.xml><?xml version="1.0" encoding="utf-8"?>
<a:theme xmlns:a="http://schemas.openxmlformats.org/drawingml/2006/main" name="Thème Office">
  <a:themeElements>
    <a:clrScheme name="AFL">
      <a:dk1>
        <a:sysClr val="windowText" lastClr="000000"/>
      </a:dk1>
      <a:lt1>
        <a:sysClr val="window" lastClr="FFFFFF"/>
      </a:lt1>
      <a:dk2>
        <a:srgbClr val="273780"/>
      </a:dk2>
      <a:lt2>
        <a:srgbClr val="303A7D"/>
      </a:lt2>
      <a:accent1>
        <a:srgbClr val="39A9E5"/>
      </a:accent1>
      <a:accent2>
        <a:srgbClr val="39A9E5"/>
      </a:accent2>
      <a:accent3>
        <a:srgbClr val="C30D25"/>
      </a:accent3>
      <a:accent4>
        <a:srgbClr val="C30D25"/>
      </a:accent4>
      <a:accent5>
        <a:srgbClr val="525252"/>
      </a:accent5>
      <a:accent6>
        <a:srgbClr val="A5A5A5"/>
      </a:accent6>
      <a:hlink>
        <a:srgbClr val="7B7B7B"/>
      </a:hlink>
      <a:folHlink>
        <a:srgbClr val="DBDBD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c98b7f-fdfa-4f13-99fc-40ec80e63427" xsi:nil="true"/>
    <lcf76f155ced4ddcb4097134ff3c332f xmlns="1d1ad879-d5c5-4662-8199-3dc8bba13c5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9F716E1407D64EB60CC5497A12D2D5" ma:contentTypeVersion="18" ma:contentTypeDescription="Crée un document." ma:contentTypeScope="" ma:versionID="4f56f6506c84d3393d3622d91f5fdd53">
  <xsd:schema xmlns:xsd="http://www.w3.org/2001/XMLSchema" xmlns:xs="http://www.w3.org/2001/XMLSchema" xmlns:p="http://schemas.microsoft.com/office/2006/metadata/properties" xmlns:ns2="1d1ad879-d5c5-4662-8199-3dc8bba13c58" xmlns:ns3="99c98b7f-fdfa-4f13-99fc-40ec80e63427" targetNamespace="http://schemas.microsoft.com/office/2006/metadata/properties" ma:root="true" ma:fieldsID="11dcc2b11e107c20961f6343d746f5b0" ns2:_="" ns3:_="">
    <xsd:import namespace="1d1ad879-d5c5-4662-8199-3dc8bba13c58"/>
    <xsd:import namespace="99c98b7f-fdfa-4f13-99fc-40ec80e634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ad879-d5c5-4662-8199-3dc8bba13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e183cbdb-e382-4333-9c66-ae7684ec51aa"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c98b7f-fdfa-4f13-99fc-40ec80e6342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1fb1b95e-0c79-4e40-aafb-4c2f058ec54b}" ma:internalName="TaxCatchAll" ma:showField="CatchAllData" ma:web="99c98b7f-fdfa-4f13-99fc-40ec80e634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E2AD6-E8B7-46AF-968F-4F1B3D93712C}">
  <ds:schemaRefs>
    <ds:schemaRef ds:uri="http://schemas.microsoft.com/office/2006/metadata/properties"/>
    <ds:schemaRef ds:uri="http://schemas.microsoft.com/office/infopath/2007/PartnerControls"/>
    <ds:schemaRef ds:uri="99c98b7f-fdfa-4f13-99fc-40ec80e63427"/>
    <ds:schemaRef ds:uri="1d1ad879-d5c5-4662-8199-3dc8bba13c58"/>
  </ds:schemaRefs>
</ds:datastoreItem>
</file>

<file path=customXml/itemProps2.xml><?xml version="1.0" encoding="utf-8"?>
<ds:datastoreItem xmlns:ds="http://schemas.openxmlformats.org/officeDocument/2006/customXml" ds:itemID="{0E4F6C71-5B04-41B7-B438-C22A9D506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ad879-d5c5-4662-8199-3dc8bba13c58"/>
    <ds:schemaRef ds:uri="99c98b7f-fdfa-4f13-99fc-40ec80e634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2368B-39E8-41BD-BF65-5C8AEBF8335D}">
  <ds:schemaRefs>
    <ds:schemaRef ds:uri="http://schemas.openxmlformats.org/officeDocument/2006/bibliography"/>
  </ds:schemaRefs>
</ds:datastoreItem>
</file>

<file path=customXml/itemProps4.xml><?xml version="1.0" encoding="utf-8"?>
<ds:datastoreItem xmlns:ds="http://schemas.openxmlformats.org/officeDocument/2006/customXml" ds:itemID="{4616B6D6-71CD-4331-A0EE-CE656E5DCDFA}">
  <ds:schemaRefs>
    <ds:schemaRef ds:uri="http://schemas.microsoft.com/sharepoint/v3/contenttype/forms"/>
  </ds:schemaRefs>
</ds:datastoreItem>
</file>

<file path=docMetadata/LabelInfo.xml><?xml version="1.0" encoding="utf-8"?>
<clbl:labelList xmlns:clbl="http://schemas.microsoft.com/office/2020/mipLabelMetadata">
  <clbl:label id="{080b10d6-b89a-4096-9ea0-d0ce70d3fb47}" enabled="1" method="Standard" siteId="{93e17354-e16f-4af0-9ae6-47009a0d39ef}" removed="0"/>
</clbl:labelList>
</file>

<file path=docProps/app.xml><?xml version="1.0" encoding="utf-8"?>
<Properties xmlns="http://schemas.openxmlformats.org/officeDocument/2006/extended-properties" xmlns:vt="http://schemas.openxmlformats.org/officeDocument/2006/docPropsVTypes">
  <Template>Normal</Template>
  <TotalTime>28</TotalTime>
  <Pages>7</Pages>
  <Words>2150</Words>
  <Characters>11484</Characters>
  <Application>Microsoft Office Word</Application>
  <DocSecurity>0</DocSecurity>
  <Lines>280</Lines>
  <Paragraphs>125</Paragraphs>
  <ScaleCrop>false</ScaleCrop>
  <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Aurélie TARDI</dc:creator>
  <cp:keywords/>
  <dc:description/>
  <cp:lastModifiedBy>Justine GUIGUES</cp:lastModifiedBy>
  <cp:revision>573</cp:revision>
  <cp:lastPrinted>2026-03-25T16:41:00Z</cp:lastPrinted>
  <dcterms:created xsi:type="dcterms:W3CDTF">2026-03-15T00:31:00Z</dcterms:created>
  <dcterms:modified xsi:type="dcterms:W3CDTF">2026-03-25T22:16:00Z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lassificationContentMarkingFooterShapeIds">
    <vt:lpwstr>17f6a98d,2a84ff44,60d4fad1</vt:lpwstr>
  </property>
  <property fmtid="{D5CDD505-2E9C-101B-9397-08002B2CF9AE}" pid="4" name="ClassificationContentMarkingFooterFontProps">
    <vt:lpwstr>#0078d7,10,Calibri</vt:lpwstr>
  </property>
  <property fmtid="{D5CDD505-2E9C-101B-9397-08002B2CF9AE}" pid="5" name="ClassificationContentMarkingFooterText">
    <vt:lpwstr>Classification : Internal</vt:lpwstr>
  </property>
  <property fmtid="{D5CDD505-2E9C-101B-9397-08002B2CF9AE}" pid="6" name="MSIP_Label_8ffbc0b8-e97b-47d1-beac-cb0955d66f3b_Enabled">
    <vt:lpwstr>true</vt:lpwstr>
  </property>
  <property fmtid="{D5CDD505-2E9C-101B-9397-08002B2CF9AE}" pid="7" name="MSIP_Label_8ffbc0b8-e97b-47d1-beac-cb0955d66f3b_SetDate">
    <vt:lpwstr>2024-12-04T17:02:31Z</vt:lpwstr>
  </property>
  <property fmtid="{D5CDD505-2E9C-101B-9397-08002B2CF9AE}" pid="8" name="MSIP_Label_8ffbc0b8-e97b-47d1-beac-cb0955d66f3b_Method">
    <vt:lpwstr>Privileged</vt:lpwstr>
  </property>
  <property fmtid="{D5CDD505-2E9C-101B-9397-08002B2CF9AE}" pid="9" name="MSIP_Label_8ffbc0b8-e97b-47d1-beac-cb0955d66f3b_Name">
    <vt:lpwstr>8ffbc0b8-e97b-47d1-beac-cb0955d66f3b</vt:lpwstr>
  </property>
  <property fmtid="{D5CDD505-2E9C-101B-9397-08002B2CF9AE}" pid="10" name="MSIP_Label_8ffbc0b8-e97b-47d1-beac-cb0955d66f3b_SiteId">
    <vt:lpwstr>614f9c25-bffa-42c7-86d8-964101f55fa2</vt:lpwstr>
  </property>
  <property fmtid="{D5CDD505-2E9C-101B-9397-08002B2CF9AE}" pid="11" name="MSIP_Label_8ffbc0b8-e97b-47d1-beac-cb0955d66f3b_ActionId">
    <vt:lpwstr>c4065c4b-a5d4-4dba-82b1-fb123e127e7a</vt:lpwstr>
  </property>
  <property fmtid="{D5CDD505-2E9C-101B-9397-08002B2CF9AE}" pid="12" name="MSIP_Label_8ffbc0b8-e97b-47d1-beac-cb0955d66f3b_ContentBits">
    <vt:lpwstr>2</vt:lpwstr>
  </property>
  <property fmtid="{D5CDD505-2E9C-101B-9397-08002B2CF9AE}" pid="13" name="ContentTypeId">
    <vt:lpwstr>0x0101002B9F716E1407D64EB60CC5497A12D2D5</vt:lpwstr>
  </property>
  <property fmtid="{D5CDD505-2E9C-101B-9397-08002B2CF9AE}" pid="14" name="docLang">
    <vt:lpwstr>fr</vt:lpwstr>
  </property>
</Properties>
</file>